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620395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534670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158750</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7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152400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February 1, 2014</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860" w:type="dxa"/>
        <w:tblCellMar>
          <w:top w:w="0" w:type="dxa"/>
          <w:left w:w="0" w:type="dxa"/>
          <w:bottom w:w="0" w:type="dxa"/>
          <w:right w:w="0" w:type="dxa"/>
        </w:tblCellMar>
      </w:tblPr>
      <w:tr>
        <w:trPr>
          <w:trHeight w:val="204"/>
        </w:trPr>
        <w:tc>
          <w:tcPr>
            <w:tcW w:w="5360" w:type="dxa"/>
            <w:vAlign w:val="bottom"/>
            <w:gridSpan w:val="2"/>
          </w:tcPr>
          <w:p>
            <w:pPr>
              <w:ind w:left="3040"/>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line="204" w:lineRule="exact"/>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gridSpan w:val="2"/>
          </w:tcPr>
          <w:p>
            <w:pPr>
              <w:spacing w:after="0"/>
              <w:rPr>
                <w:sz w:val="17"/>
                <w:szCs w:val="17"/>
                <w:color w:val="auto"/>
              </w:rPr>
            </w:pPr>
          </w:p>
        </w:tc>
        <w:tc>
          <w:tcPr>
            <w:tcW w:w="2640" w:type="dxa"/>
            <w:vAlign w:val="bottom"/>
          </w:tcPr>
          <w:p>
            <w:pPr>
              <w:spacing w:after="0"/>
              <w:rPr>
                <w:sz w:val="17"/>
                <w:szCs w:val="17"/>
                <w:color w:val="auto"/>
              </w:rPr>
            </w:pPr>
          </w:p>
        </w:tc>
      </w:tr>
      <w:tr>
        <w:trPr>
          <w:trHeight w:val="412"/>
        </w:trPr>
        <w:tc>
          <w:tcPr>
            <w:tcW w:w="3460" w:type="dxa"/>
            <w:vAlign w:val="bottom"/>
          </w:tcPr>
          <w:p>
            <w:pPr>
              <w:spacing w:after="0"/>
              <w:rPr>
                <w:sz w:val="24"/>
                <w:szCs w:val="24"/>
                <w:color w:val="auto"/>
              </w:rPr>
            </w:pPr>
          </w:p>
        </w:tc>
        <w:tc>
          <w:tcPr>
            <w:tcW w:w="248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9"/>
              </w:rPr>
              <w:t>Commission File No. 1-7819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57"/>
        </w:trPr>
        <w:tc>
          <w:tcPr>
            <w:tcW w:w="346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492"/>
        </w:trPr>
        <w:tc>
          <w:tcPr>
            <w:tcW w:w="9320" w:type="dxa"/>
            <w:vAlign w:val="bottom"/>
            <w:gridSpan w:val="8"/>
          </w:tcPr>
          <w:p>
            <w:pPr>
              <w:jc w:val="center"/>
              <w:ind w:left="285"/>
              <w:spacing w:after="0" w:line="491" w:lineRule="exact"/>
              <w:rPr>
                <w:sz w:val="20"/>
                <w:szCs w:val="20"/>
                <w:color w:val="auto"/>
              </w:rPr>
            </w:pPr>
            <w:r>
              <w:rPr>
                <w:rFonts w:ascii="Arial" w:cs="Arial" w:eastAsia="Arial" w:hAnsi="Arial"/>
                <w:sz w:val="43"/>
                <w:szCs w:val="43"/>
                <w:b w:val="1"/>
                <w:bCs w:val="1"/>
                <w:color w:val="auto"/>
                <w:w w:val="89"/>
              </w:rPr>
              <w:t>Analog Devices, Inc.</w:t>
            </w:r>
          </w:p>
        </w:tc>
      </w:tr>
      <w:tr>
        <w:trPr>
          <w:trHeight w:val="230"/>
        </w:trPr>
        <w:tc>
          <w:tcPr>
            <w:tcW w:w="9320" w:type="dxa"/>
            <w:vAlign w:val="bottom"/>
            <w:gridSpan w:val="8"/>
          </w:tcPr>
          <w:p>
            <w:pPr>
              <w:jc w:val="center"/>
              <w:ind w:left="265"/>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203"/>
        </w:trPr>
        <w:tc>
          <w:tcPr>
            <w:tcW w:w="346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93"/>
        </w:trPr>
        <w:tc>
          <w:tcPr>
            <w:tcW w:w="5940" w:type="dxa"/>
            <w:vAlign w:val="bottom"/>
            <w:gridSpan w:val="4"/>
          </w:tcPr>
          <w:p>
            <w:pPr>
              <w:jc w:val="center"/>
              <w:ind w:right="2460"/>
              <w:spacing w:after="0"/>
              <w:rPr>
                <w:sz w:val="20"/>
                <w:szCs w:val="20"/>
                <w:color w:val="auto"/>
              </w:rPr>
            </w:pPr>
            <w:r>
              <w:rPr>
                <w:rFonts w:ascii="Arial" w:cs="Arial" w:eastAsia="Arial" w:hAnsi="Arial"/>
                <w:sz w:val="18"/>
                <w:szCs w:val="18"/>
                <w:b w:val="1"/>
                <w:bCs w:val="1"/>
                <w:color w:val="auto"/>
                <w:w w:val="86"/>
              </w:rPr>
              <w:t>Massachusetts</w:t>
            </w:r>
          </w:p>
        </w:tc>
        <w:tc>
          <w:tcPr>
            <w:tcW w:w="3380" w:type="dxa"/>
            <w:vAlign w:val="bottom"/>
            <w:gridSpan w:val="4"/>
          </w:tcPr>
          <w:p>
            <w:pPr>
              <w:jc w:val="center"/>
              <w:ind w:left="1230"/>
              <w:spacing w:after="0"/>
              <w:rPr>
                <w:sz w:val="20"/>
                <w:szCs w:val="20"/>
                <w:color w:val="auto"/>
              </w:rPr>
            </w:pPr>
            <w:r>
              <w:rPr>
                <w:rFonts w:ascii="Arial" w:cs="Arial" w:eastAsia="Arial" w:hAnsi="Arial"/>
                <w:sz w:val="18"/>
                <w:szCs w:val="18"/>
                <w:b w:val="1"/>
                <w:bCs w:val="1"/>
                <w:color w:val="auto"/>
                <w:w w:val="89"/>
              </w:rPr>
              <w:t>04-2348234</w:t>
            </w:r>
          </w:p>
        </w:tc>
      </w:tr>
      <w:tr>
        <w:trPr>
          <w:trHeight w:val="218"/>
        </w:trPr>
        <w:tc>
          <w:tcPr>
            <w:tcW w:w="5940" w:type="dxa"/>
            <w:vAlign w:val="bottom"/>
            <w:gridSpan w:val="4"/>
          </w:tcPr>
          <w:p>
            <w:pPr>
              <w:jc w:val="center"/>
              <w:ind w:right="244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jc w:val="center"/>
              <w:ind w:left="508"/>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90"/>
        </w:trPr>
        <w:tc>
          <w:tcPr>
            <w:tcW w:w="5940" w:type="dxa"/>
            <w:vAlign w:val="bottom"/>
            <w:gridSpan w:val="4"/>
          </w:tcPr>
          <w:p>
            <w:pPr>
              <w:jc w:val="center"/>
              <w:ind w:right="2460"/>
              <w:spacing w:after="0"/>
              <w:rPr>
                <w:sz w:val="20"/>
                <w:szCs w:val="20"/>
                <w:color w:val="auto"/>
              </w:rPr>
            </w:pPr>
            <w:r>
              <w:rPr>
                <w:rFonts w:ascii="Arial" w:cs="Arial" w:eastAsia="Arial" w:hAnsi="Arial"/>
                <w:sz w:val="18"/>
                <w:szCs w:val="18"/>
                <w:b w:val="1"/>
                <w:bCs w:val="1"/>
                <w:color w:val="auto"/>
                <w:w w:val="90"/>
              </w:rPr>
              <w:t>One Technology Way, Norwood, MA</w:t>
            </w:r>
          </w:p>
        </w:tc>
        <w:tc>
          <w:tcPr>
            <w:tcW w:w="3380" w:type="dxa"/>
            <w:vAlign w:val="bottom"/>
            <w:gridSpan w:val="4"/>
          </w:tcPr>
          <w:p>
            <w:pPr>
              <w:jc w:val="center"/>
              <w:ind w:left="1230"/>
              <w:spacing w:after="0"/>
              <w:rPr>
                <w:sz w:val="20"/>
                <w:szCs w:val="20"/>
                <w:color w:val="auto"/>
              </w:rPr>
            </w:pPr>
            <w:r>
              <w:rPr>
                <w:rFonts w:ascii="Arial" w:cs="Arial" w:eastAsia="Arial" w:hAnsi="Arial"/>
                <w:sz w:val="18"/>
                <w:szCs w:val="18"/>
                <w:b w:val="1"/>
                <w:bCs w:val="1"/>
                <w:color w:val="auto"/>
                <w:w w:val="89"/>
              </w:rPr>
              <w:t>02062-9106</w:t>
            </w:r>
          </w:p>
        </w:tc>
      </w:tr>
      <w:tr>
        <w:trPr>
          <w:trHeight w:val="218"/>
        </w:trPr>
        <w:tc>
          <w:tcPr>
            <w:tcW w:w="5940" w:type="dxa"/>
            <w:vAlign w:val="bottom"/>
            <w:gridSpan w:val="4"/>
          </w:tcPr>
          <w:p>
            <w:pPr>
              <w:jc w:val="center"/>
              <w:ind w:right="246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jc w:val="center"/>
              <w:ind w:left="508"/>
              <w:spacing w:after="0"/>
              <w:rPr>
                <w:sz w:val="20"/>
                <w:szCs w:val="20"/>
                <w:color w:val="auto"/>
              </w:rPr>
            </w:pPr>
            <w:r>
              <w:rPr>
                <w:rFonts w:ascii="Arial" w:cs="Arial" w:eastAsia="Arial" w:hAnsi="Arial"/>
                <w:sz w:val="14"/>
                <w:szCs w:val="14"/>
                <w:i w:val="1"/>
                <w:iCs w:val="1"/>
                <w:color w:val="auto"/>
                <w:w w:val="93"/>
              </w:rPr>
              <w:t>(Zip Code)</w:t>
            </w:r>
          </w:p>
        </w:tc>
      </w:tr>
      <w:tr>
        <w:trPr>
          <w:trHeight w:val="371"/>
        </w:trPr>
        <w:tc>
          <w:tcPr>
            <w:tcW w:w="5900" w:type="dxa"/>
            <w:vAlign w:val="bottom"/>
            <w:gridSpan w:val="3"/>
          </w:tcPr>
          <w:p>
            <w:pPr>
              <w:jc w:val="center"/>
              <w:ind w:left="3725"/>
              <w:spacing w:after="0"/>
              <w:rPr>
                <w:sz w:val="20"/>
                <w:szCs w:val="20"/>
                <w:color w:val="auto"/>
              </w:rPr>
            </w:pPr>
            <w:r>
              <w:rPr>
                <w:rFonts w:ascii="Arial" w:cs="Arial" w:eastAsia="Arial" w:hAnsi="Arial"/>
                <w:sz w:val="18"/>
                <w:szCs w:val="18"/>
                <w:b w:val="1"/>
                <w:bCs w:val="1"/>
                <w:color w:val="auto"/>
                <w:w w:val="90"/>
              </w:rPr>
              <w:t>(781) 329-4700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62"/>
        </w:trPr>
        <w:tc>
          <w:tcPr>
            <w:tcW w:w="9320" w:type="dxa"/>
            <w:vAlign w:val="bottom"/>
            <w:gridSpan w:val="8"/>
          </w:tcPr>
          <w:p>
            <w:pPr>
              <w:jc w:val="center"/>
              <w:ind w:left="285"/>
              <w:spacing w:after="0"/>
              <w:rPr>
                <w:sz w:val="20"/>
                <w:szCs w:val="20"/>
                <w:color w:val="auto"/>
              </w:rPr>
            </w:pPr>
            <w:r>
              <w:rPr>
                <w:rFonts w:ascii="Arial" w:cs="Arial" w:eastAsia="Arial" w:hAnsi="Arial"/>
                <w:sz w:val="14"/>
                <w:szCs w:val="14"/>
                <w:i w:val="1"/>
                <w:iCs w:val="1"/>
                <w:color w:val="auto"/>
                <w:w w:val="92"/>
              </w:rPr>
              <w:t>(Registrant’s telephone number, including area code)</w:t>
            </w:r>
          </w:p>
        </w:tc>
      </w:tr>
      <w:tr>
        <w:trPr>
          <w:trHeight w:val="182"/>
        </w:trPr>
        <w:tc>
          <w:tcPr>
            <w:tcW w:w="9320" w:type="dxa"/>
            <w:vAlign w:val="bottom"/>
            <w:gridSpan w:val="8"/>
          </w:tcPr>
          <w:p>
            <w:pPr>
              <w:jc w:val="center"/>
              <w:ind w:left="285"/>
              <w:spacing w:after="0"/>
              <w:rPr>
                <w:sz w:val="20"/>
                <w:szCs w:val="20"/>
                <w:color w:val="auto"/>
              </w:rPr>
            </w:pPr>
            <w:r>
              <w:rPr>
                <w:rFonts w:ascii="Arial" w:cs="Arial" w:eastAsia="Arial" w:hAnsi="Arial"/>
                <w:sz w:val="14"/>
                <w:szCs w:val="14"/>
                <w:i w:val="1"/>
                <w:iCs w:val="1"/>
                <w:color w:val="auto"/>
                <w:w w:val="93"/>
              </w:rPr>
              <w:t>(Former name, former address and former fiscal year, if changed since last report)</w:t>
            </w:r>
          </w:p>
        </w:tc>
      </w:tr>
      <w:tr>
        <w:trPr>
          <w:trHeight w:val="255"/>
        </w:trPr>
        <w:tc>
          <w:tcPr>
            <w:tcW w:w="346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spacing w:after="0"/>
              <w:rPr>
                <w:sz w:val="22"/>
                <w:szCs w:val="22"/>
                <w:color w:val="auto"/>
              </w:rPr>
            </w:pPr>
          </w:p>
        </w:tc>
      </w:tr>
    </w:tbl>
    <w:p>
      <w:pPr>
        <w:spacing w:after="0" w:line="36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8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240"/>
          </w:cols>
          <w:pgMar w:left="240" w:top="1017" w:right="419" w:bottom="1440" w:gutter="0" w:footer="0" w:header="0"/>
        </w:sectPr>
      </w:pPr>
    </w:p>
    <w:p>
      <w:pPr>
        <w:spacing w:after="0" w:line="1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920" w:space="720"/>
            <w:col w:w="4680" w:space="720"/>
            <w:col w:w="2220" w:space="720"/>
            <w:col w:w="260"/>
          </w:cols>
          <w:pgMar w:left="240" w:top="1017" w:right="41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920" w:space="720"/>
            <w:col w:w="160" w:space="100"/>
            <w:col w:w="4420" w:space="720"/>
            <w:col w:w="2220" w:space="720"/>
            <w:col w:w="260"/>
          </w:cols>
          <w:pgMar w:left="240" w:top="1017" w:right="419" w:bottom="1440" w:gutter="0" w:footer="0" w:header="0"/>
          <w:type w:val="continuous"/>
        </w:sect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As of February 1, 2014 there were 312,527,904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0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240"/>
          </w:cols>
          <w:pgMar w:left="240" w:top="1017"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6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1, 2014</w:t>
            </w:r>
          </w:p>
        </w:tc>
        <w:tc>
          <w:tcPr>
            <w:tcW w:w="220" w:type="dxa"/>
            <w:vAlign w:val="bottom"/>
          </w:tcPr>
          <w:p>
            <w:pPr>
              <w:spacing w:after="0"/>
              <w:rPr>
                <w:sz w:val="22"/>
                <w:szCs w:val="22"/>
                <w:color w:val="auto"/>
              </w:rPr>
            </w:pPr>
          </w:p>
        </w:tc>
        <w:tc>
          <w:tcPr>
            <w:tcW w:w="1480" w:type="dxa"/>
            <w:vAlign w:val="bottom"/>
          </w:tcPr>
          <w:p>
            <w:pPr>
              <w:jc w:val="right"/>
              <w:ind w:right="231"/>
              <w:spacing w:after="0"/>
              <w:rPr>
                <w:sz w:val="20"/>
                <w:szCs w:val="20"/>
                <w:color w:val="auto"/>
              </w:rPr>
            </w:pPr>
            <w:r>
              <w:rPr>
                <w:rFonts w:ascii="Arial" w:cs="Arial" w:eastAsia="Arial" w:hAnsi="Arial"/>
                <w:sz w:val="14"/>
                <w:szCs w:val="14"/>
                <w:b w:val="1"/>
                <w:bCs w:val="1"/>
                <w:color w:val="auto"/>
              </w:rPr>
              <w:t>February 2, 2013</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622,134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Cost of sales (1)</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219,120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231,850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390,284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Research and development (1)</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125,164</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Selling, marketing, general and administrative (1)</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98,178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97,560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Special charges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14,071</w:t>
            </w: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229,509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236,795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153,489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Nonoperating expense (income):</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150,109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23,305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18,887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152,586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131,222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to compute earnings per share – basic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312,286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303,484</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to compute earnings per share – diluted</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310,275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Dividends declared and paid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900" w:type="dxa"/>
            <w:vAlign w:val="bottom"/>
            <w:tcBorders>
              <w:bottom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(1) Includes stock-based compensation expense as follows:</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200"/>
              <w:spacing w:after="0"/>
              <w:rPr>
                <w:sz w:val="20"/>
                <w:szCs w:val="20"/>
                <w:color w:val="auto"/>
              </w:rPr>
            </w:pPr>
            <w:r>
              <w:rPr>
                <w:rFonts w:ascii="Arial" w:cs="Arial" w:eastAsia="Arial" w:hAnsi="Arial"/>
                <w:sz w:val="18"/>
                <w:szCs w:val="18"/>
                <w:color w:val="auto"/>
              </w:rPr>
              <w:t>Cost of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43"/>
        </w:trPr>
        <w:tc>
          <w:tcPr>
            <w:tcW w:w="7900" w:type="dxa"/>
            <w:vAlign w:val="bottom"/>
          </w:tcPr>
          <w:p>
            <w:pPr>
              <w:ind w:left="1200"/>
              <w:spacing w:after="0"/>
              <w:rPr>
                <w:sz w:val="20"/>
                <w:szCs w:val="20"/>
                <w:color w:val="auto"/>
              </w:rPr>
            </w:pPr>
            <w:r>
              <w:rPr>
                <w:rFonts w:ascii="Arial" w:cs="Arial" w:eastAsia="Arial" w:hAnsi="Arial"/>
                <w:sz w:val="18"/>
                <w:szCs w:val="18"/>
                <w:color w:val="auto"/>
              </w:rPr>
              <w:t>Selling, marketing, general and administrative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4,991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1, 2014</w:t>
            </w:r>
          </w:p>
        </w:tc>
        <w:tc>
          <w:tcPr>
            <w:tcW w:w="220" w:type="dxa"/>
            <w:vAlign w:val="bottom"/>
          </w:tcPr>
          <w:p>
            <w:pPr>
              <w:spacing w:after="0"/>
              <w:rPr>
                <w:sz w:val="22"/>
                <w:szCs w:val="22"/>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February 2, 2013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152,586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131,222</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r>
      <w:tr>
        <w:trPr>
          <w:trHeight w:val="229"/>
        </w:trPr>
        <w:tc>
          <w:tcPr>
            <w:tcW w:w="7900" w:type="dxa"/>
            <w:vAlign w:val="bottom"/>
          </w:tcPr>
          <w:p>
            <w:pPr>
              <w:ind w:left="180"/>
              <w:spacing w:after="0"/>
              <w:rPr>
                <w:sz w:val="20"/>
                <w:szCs w:val="20"/>
                <w:color w:val="auto"/>
              </w:rPr>
            </w:pPr>
            <w:r>
              <w:rPr>
                <w:rFonts w:ascii="Arial" w:cs="Arial" w:eastAsia="Arial" w:hAnsi="Arial"/>
                <w:sz w:val="18"/>
                <w:szCs w:val="18"/>
                <w:color w:val="auto"/>
                <w:w w:val="96"/>
              </w:rPr>
              <w:t>Change in unrealized holding (losses) gains (net of taxes of $33 and $46, respectively) on securities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classified as short-term investments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314</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Change in unrealized (losses) gains (net of taxes of $329 and $528, respectively) on derivative instruments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designated as cash flow hedges</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3,538</w:t>
            </w:r>
          </w:p>
        </w:tc>
      </w:tr>
      <w:tr>
        <w:trPr>
          <w:trHeight w:val="229"/>
        </w:trPr>
        <w:tc>
          <w:tcPr>
            <w:tcW w:w="7900" w:type="dxa"/>
            <w:vAlign w:val="bottom"/>
          </w:tcPr>
          <w:p>
            <w:pPr>
              <w:ind w:left="180"/>
              <w:spacing w:after="0"/>
              <w:rPr>
                <w:sz w:val="20"/>
                <w:szCs w:val="20"/>
                <w:color w:val="auto"/>
              </w:rPr>
            </w:pPr>
            <w:r>
              <w:rPr>
                <w:rFonts w:ascii="Arial" w:cs="Arial" w:eastAsia="Arial" w:hAnsi="Arial"/>
                <w:sz w:val="18"/>
                <w:szCs w:val="18"/>
                <w:color w:val="auto"/>
                <w:w w:val="92"/>
              </w:rPr>
              <w:t>Changes in pension plans including prior service cost, transition obligation, net actuarial loss and foreign</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currency translation adjustments, (net of taxes of $162 and $0 respectively)</w:t>
            </w:r>
          </w:p>
        </w:tc>
        <w:tc>
          <w:tcPr>
            <w:tcW w:w="220" w:type="dxa"/>
            <w:vAlign w:val="bottom"/>
          </w:tcPr>
          <w:p>
            <w:pPr>
              <w:spacing w:after="0"/>
              <w:rPr>
                <w:sz w:val="20"/>
                <w:szCs w:val="20"/>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(3,503)</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150,195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131,921</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7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 2014</w:t>
            </w:r>
          </w:p>
        </w:tc>
        <w:tc>
          <w:tcPr>
            <w:tcW w:w="200" w:type="dxa"/>
            <w:vAlign w:val="bottom"/>
          </w:tcPr>
          <w:p>
            <w:pPr>
              <w:spacing w:after="0"/>
              <w:rPr>
                <w:sz w:val="16"/>
                <w:szCs w:val="16"/>
                <w:color w:val="auto"/>
              </w:rPr>
            </w:pPr>
          </w:p>
        </w:tc>
        <w:tc>
          <w:tcPr>
            <w:tcW w:w="1480" w:type="dxa"/>
            <w:vAlign w:val="bottom"/>
          </w:tcPr>
          <w:p>
            <w:pPr>
              <w:jc w:val="right"/>
              <w:ind w:right="219"/>
              <w:spacing w:after="0"/>
              <w:rPr>
                <w:sz w:val="20"/>
                <w:szCs w:val="20"/>
                <w:color w:val="auto"/>
              </w:rPr>
            </w:pPr>
            <w:r>
              <w:rPr>
                <w:rFonts w:ascii="Arial" w:cs="Arial" w:eastAsia="Arial" w:hAnsi="Arial"/>
                <w:sz w:val="14"/>
                <w:szCs w:val="14"/>
                <w:b w:val="1"/>
                <w:bCs w:val="1"/>
                <w:color w:val="auto"/>
                <w:w w:val="97"/>
              </w:rPr>
              <w:t>November 2, 2013</w:t>
            </w:r>
          </w:p>
        </w:tc>
        <w:tc>
          <w:tcPr>
            <w:tcW w:w="0" w:type="dxa"/>
            <w:vAlign w:val="bottom"/>
          </w:tcPr>
          <w:p>
            <w:pPr>
              <w:spacing w:after="0"/>
              <w:rPr>
                <w:sz w:val="1"/>
                <w:szCs w:val="1"/>
                <w:color w:val="auto"/>
              </w:rPr>
            </w:pPr>
          </w:p>
        </w:tc>
      </w:tr>
      <w:tr>
        <w:trPr>
          <w:trHeight w:val="236"/>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392,089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4,283,882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4,290,823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328,787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325,144</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Inventories (1)</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289,935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283,337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112,106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136,299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Prepaid income tax</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2,363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42,342</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5,470,959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5,472,425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at Cost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Land and buildings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464,771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458,853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1,764,789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1,733,850</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Office equipment</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47,706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49,321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Leasehold improvements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50,870</w:t>
            </w: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2,329,536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2,292,894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1,800,526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1,784,723</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Net property, plant and equipment</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529,010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508,171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compensation plan investments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18,047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17,364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3,816</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283,167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284,112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28,552</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22,229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26,226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41,084</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other assets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399,499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401,154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6,399,468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6,381,750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124,619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119,994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on shipments to distributors, net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245,236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247,428</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10,678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45,490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157,600</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519,494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570,512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872,378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872,241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6,037</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compensation plan liability</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18,047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17,364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176,408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176,020</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non-current liabilities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1,084,339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1,071,662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Commitments and contingencies</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$1.00 par value, 471,934 shares authorized, none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900" w:type="dxa"/>
            <w:vAlign w:val="bottom"/>
          </w:tcPr>
          <w:p>
            <w:pPr>
              <w:ind w:left="180"/>
              <w:spacing w:after="0"/>
              <w:rPr>
                <w:sz w:val="20"/>
                <w:szCs w:val="20"/>
                <w:color w:val="auto"/>
              </w:rPr>
            </w:pPr>
            <w:r>
              <w:rPr>
                <w:rFonts w:ascii="Arial" w:cs="Arial" w:eastAsia="Arial" w:hAnsi="Arial"/>
                <w:sz w:val="16"/>
                <w:szCs w:val="16"/>
                <w:color w:val="auto"/>
              </w:rPr>
              <w:t>Common stock, $0.16 2/3 par value, 1,200,000,000 shares authorized, 312,527,904 shares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180"/>
              <w:spacing w:after="0"/>
              <w:rPr>
                <w:sz w:val="20"/>
                <w:szCs w:val="20"/>
                <w:color w:val="auto"/>
              </w:rPr>
            </w:pPr>
            <w:r>
              <w:rPr>
                <w:rFonts w:ascii="Arial" w:cs="Arial" w:eastAsia="Arial" w:hAnsi="Arial"/>
                <w:sz w:val="16"/>
                <w:szCs w:val="16"/>
                <w:color w:val="auto"/>
              </w:rPr>
              <w:t>issued and outstanding (311,045,084 on November 2, 2013)</w:t>
            </w:r>
          </w:p>
        </w:tc>
        <w:tc>
          <w:tcPr>
            <w:tcW w:w="2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52,089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51,842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in excess of par value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723,520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711,879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4,102,963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4,056,401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(80,546)</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4,795,635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4,739,576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6,399,468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6,381,750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0" w:right="2840" w:firstLine="272"/>
        <w:spacing w:after="0" w:line="522" w:lineRule="auto"/>
        <w:tabs>
          <w:tab w:leader="none" w:pos="65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$2,196 and $2,273 related to stock-based compensation at February 1, 2014 and November 2, 2013, respectively. See accompanying notes.</w:t>
      </w:r>
    </w:p>
    <w:p>
      <w:pPr>
        <w:sectPr>
          <w:pgSz w:w="11900" w:h="16838" w:orient="portrait"/>
          <w:cols w:equalWidth="0" w:num="1">
            <w:col w:w="11420"/>
          </w:cols>
          <w:pgMar w:left="240" w:top="773" w:right="239" w:bottom="0" w:gutter="0" w:footer="0" w:header="0"/>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73"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ANALOG DEVICES,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 2014</w:t>
            </w:r>
          </w:p>
        </w:tc>
        <w:tc>
          <w:tcPr>
            <w:tcW w:w="20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4"/>
                <w:szCs w:val="14"/>
                <w:b w:val="1"/>
                <w:bCs w:val="1"/>
                <w:color w:val="auto"/>
              </w:rPr>
              <w:t>February 2, 2013</w:t>
            </w:r>
          </w:p>
        </w:tc>
      </w:tr>
      <w:tr>
        <w:trPr>
          <w:trHeight w:val="210"/>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60"/>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152,586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131,222</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27,335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27,755</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11,407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13,061</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Excess tax benefit-stock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(5,975)</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(9,635)</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non-cash activity</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(1,362)</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(24,730)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2,848</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26,747</w:t>
            </w: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157,473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157,969</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60"/>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Purchases of short-term available-for-sale investments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(2,234,996)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(1,653,593)</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short-term available-for-sale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2,029,319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1,551,147</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Sales of short-term available-for-sale investments</w:t>
            </w:r>
          </w:p>
        </w:tc>
        <w:tc>
          <w:tcPr>
            <w:tcW w:w="2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212,819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283,164</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Additions to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(18,269)</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Increase in other assets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(2,048)</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for) provided by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160,401</w:t>
            </w:r>
          </w:p>
        </w:tc>
      </w:tr>
      <w:tr>
        <w:trPr>
          <w:trHeight w:val="204"/>
        </w:trPr>
        <w:tc>
          <w:tcPr>
            <w:tcW w:w="790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60"/>
        </w:trPr>
        <w:tc>
          <w:tcPr>
            <w:tcW w:w="7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Term loan repayments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(60,108)</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Dividend payments to shareholders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(106,024)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(90,679)</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(88,963)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Proceeds from employee stock plans</w:t>
            </w:r>
          </w:p>
        </w:tc>
        <w:tc>
          <w:tcPr>
            <w:tcW w:w="2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79,600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113,770</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consideration payment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Increase (decrease) in other financing activities</w:t>
            </w:r>
          </w:p>
        </w:tc>
        <w:tc>
          <w:tcPr>
            <w:tcW w:w="22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22,248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(1,027)</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5,975</w:t>
            </w: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Net cash used for financing activities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(87,308)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(52,822)</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1,416</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25,138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266,964</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392,089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528,833</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417,227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795,797</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FEBRUARY 1,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2, 2013 and related notes. The results of operations for the interim periods shown in this report are not necessarily indicative of the results that may be expected for the fiscal year ending November 1, 2014 or any future period.</w:t>
      </w:r>
    </w:p>
    <w:p>
      <w:pPr>
        <w:spacing w:after="0" w:line="10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Certain amounts reported in previous periods have been reclassified to conform to the fiscal 2014 presentation. Such reclassified amounts are immaterial. The Company has a 52-53 week fiscal year that ends on the Saturday closest to the last day in October. Fiscal 2014 and fiscal 2013 are 52-week fiscal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9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As a result,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12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Distributors are granted price-adjustment credits for sales to their customers when the distributor’s standard cost (i.e., the Company’s sales price to the distributor) does not provide the distributor with an appropriate margin on its sales to its customers. As distributors negotiate selling prices with their customers, the final sales price agreed upon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119"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the specific product in the distributor’s inventory at the time of the price decrease.</w:t>
      </w:r>
    </w:p>
    <w:p>
      <w:pPr>
        <w:spacing w:after="0" w:line="9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2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 Shipping costs are charged to cost of sales as incurred.</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frequent contact with the distributors to ensure reserves are established for all known material issues.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 w:name="page7"/>
    <w:bookmarkEnd w:id="6"/>
    <w:p>
      <w:pPr>
        <w:ind w:right="140" w:firstLine="432"/>
        <w:spacing w:after="0" w:line="259" w:lineRule="auto"/>
        <w:rPr>
          <w:sz w:val="20"/>
          <w:szCs w:val="20"/>
          <w:color w:val="auto"/>
        </w:rPr>
      </w:pPr>
      <w:r>
        <w:rPr>
          <w:rFonts w:ascii="Arial" w:cs="Arial" w:eastAsia="Arial" w:hAnsi="Arial"/>
          <w:sz w:val="18"/>
          <w:szCs w:val="18"/>
          <w:color w:val="auto"/>
        </w:rPr>
        <w:t>As of February 1, 2014 and November 2, 2013, the Company had gross deferred revenue of $306.3 million and $309.2 million, respectively, and gross deferred cost of sales of $61.1 million and $61.8 million, respectively. Deferred income on shipments to distributors decreased in the first three months of fiscal 2014 primarily as a result of increased shipment volumes of lower margin products to end customers, partially offset by a stronger concentration of higher margin product shipments into the channel.</w:t>
      </w:r>
    </w:p>
    <w:p>
      <w:pPr>
        <w:spacing w:after="0" w:line="133" w:lineRule="exact"/>
        <w:rPr>
          <w:sz w:val="20"/>
          <w:szCs w:val="20"/>
          <w:color w:val="auto"/>
        </w:rPr>
      </w:pPr>
    </w:p>
    <w:p>
      <w:pPr>
        <w:jc w:val="both"/>
        <w:ind w:right="640" w:firstLine="432"/>
        <w:spacing w:after="0" w:line="264" w:lineRule="auto"/>
        <w:rPr>
          <w:sz w:val="20"/>
          <w:szCs w:val="20"/>
          <w:color w:val="auto"/>
        </w:rPr>
      </w:pPr>
      <w:r>
        <w:rPr>
          <w:rFonts w:ascii="Arial" w:cs="Arial" w:eastAsia="Arial" w:hAnsi="Arial"/>
          <w:sz w:val="18"/>
          <w:szCs w:val="18"/>
          <w:color w:val="auto"/>
        </w:rPr>
        <w:t>The Company generally offers a twelve-month warranty for its products. The Company’s warranty policy provides for replacement of defective products. Specific accruals are recorded for known product warranty issues. Product warranty expenses during each of the three-month periods ended February 1, 2014 and February 2, 2013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22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three years for restricted stock units. Determining the amount of stock-based compensation to be recorded requires the Company to develop estimates used in calculating the grant-date fair value of stock options.</w:t>
      </w:r>
    </w:p>
    <w:p>
      <w:pPr>
        <w:spacing w:after="0" w:line="18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i w:val="1"/>
          <w:iCs w:val="1"/>
          <w:color w:val="auto"/>
        </w:rPr>
        <w:t xml:space="preserve">Grant-Date Fair Value </w:t>
      </w:r>
      <w:r>
        <w:rPr>
          <w:rFonts w:ascii="Arial" w:cs="Arial" w:eastAsia="Arial" w:hAnsi="Arial"/>
          <w:sz w:val="17"/>
          <w:szCs w:val="17"/>
          <w:color w:val="auto"/>
        </w:rPr>
        <w:t>— The Company uses the Black-Scholes valuation model to calculate the grant-date fair value of stock option awards. The use of</w:t>
      </w:r>
      <w:r>
        <w:rPr>
          <w:rFonts w:ascii="Arial" w:cs="Arial" w:eastAsia="Arial" w:hAnsi="Arial"/>
          <w:sz w:val="17"/>
          <w:szCs w:val="17"/>
          <w:i w:val="1"/>
          <w:iCs w:val="1"/>
          <w:color w:val="auto"/>
        </w:rPr>
        <w:t xml:space="preserve"> </w:t>
      </w:r>
      <w:r>
        <w:rPr>
          <w:rFonts w:ascii="Arial" w:cs="Arial" w:eastAsia="Arial" w:hAnsi="Arial"/>
          <w:sz w:val="17"/>
          <w:szCs w:val="17"/>
          <w:color w:val="auto"/>
        </w:rPr>
        <w:t>valuation models requires the Company to make estimates and assumptions, such as expected volatility, expected term, risk-free interest rate, expected dividend yield and forfeiture rates. The grant-date fair value of restricted stock units represents the value of the Company’s common stock on the date of grant, reduced by the present value of dividends expected to be paid on the Company’s common stock prior to vesting.</w:t>
      </w:r>
    </w:p>
    <w:p>
      <w:pPr>
        <w:spacing w:after="0" w:line="171" w:lineRule="exact"/>
        <w:rPr>
          <w:sz w:val="20"/>
          <w:szCs w:val="20"/>
          <w:color w:val="auto"/>
        </w:rPr>
      </w:pPr>
    </w:p>
    <w:p>
      <w:pPr>
        <w:ind w:right="380" w:firstLine="432"/>
        <w:spacing w:after="0" w:line="272" w:lineRule="auto"/>
        <w:rPr>
          <w:sz w:val="20"/>
          <w:szCs w:val="20"/>
          <w:color w:val="auto"/>
        </w:rPr>
      </w:pPr>
      <w:r>
        <w:rPr>
          <w:rFonts w:ascii="Arial" w:cs="Arial" w:eastAsia="Arial" w:hAnsi="Arial"/>
          <w:sz w:val="18"/>
          <w:szCs w:val="18"/>
          <w:color w:val="auto"/>
        </w:rPr>
        <w:t>Information pertaining to the Company’s stock option awards and the related estimated weighted-average assumptions to calculate the fair value of stock options granted during the three-month periods ended February 1, 2014 and February 2, 2013 are as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440" w:type="dxa"/>
            <w:vAlign w:val="bottom"/>
            <w:tcBorders>
              <w:bottom w:val="single" w:sz="8" w:color="auto"/>
            </w:tcBorders>
            <w:gridSpan w:val="3"/>
          </w:tcPr>
          <w:p>
            <w:pPr>
              <w:jc w:val="right"/>
              <w:ind w:right="952"/>
              <w:spacing w:after="0"/>
              <w:rPr>
                <w:sz w:val="20"/>
                <w:szCs w:val="20"/>
                <w:color w:val="auto"/>
              </w:rPr>
            </w:pPr>
            <w:r>
              <w:rPr>
                <w:rFonts w:ascii="Arial" w:cs="Arial" w:eastAsia="Arial" w:hAnsi="Arial"/>
                <w:sz w:val="14"/>
                <w:szCs w:val="14"/>
                <w:b w:val="1"/>
                <w:bCs w:val="1"/>
                <w:color w:val="auto"/>
              </w:rPr>
              <w:t>Three Months Ended</w:t>
            </w:r>
          </w:p>
        </w:tc>
      </w:tr>
      <w:tr>
        <w:trPr>
          <w:trHeight w:val="229"/>
        </w:trPr>
        <w:tc>
          <w:tcPr>
            <w:tcW w:w="798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Options</w:t>
            </w:r>
          </w:p>
        </w:tc>
        <w:tc>
          <w:tcPr>
            <w:tcW w:w="1780" w:type="dxa"/>
            <w:vAlign w:val="bottom"/>
            <w:gridSpan w:val="2"/>
          </w:tcPr>
          <w:p>
            <w:pPr>
              <w:ind w:left="320"/>
              <w:spacing w:after="0"/>
              <w:rPr>
                <w:sz w:val="20"/>
                <w:szCs w:val="20"/>
                <w:color w:val="auto"/>
              </w:rPr>
            </w:pPr>
            <w:r>
              <w:rPr>
                <w:rFonts w:ascii="Arial" w:cs="Arial" w:eastAsia="Arial" w:hAnsi="Arial"/>
                <w:sz w:val="14"/>
                <w:szCs w:val="14"/>
                <w:b w:val="1"/>
                <w:bCs w:val="1"/>
                <w:color w:val="auto"/>
              </w:rPr>
              <w:t>February 1, 2014</w:t>
            </w:r>
          </w:p>
        </w:tc>
        <w:tc>
          <w:tcPr>
            <w:tcW w:w="1660" w:type="dxa"/>
            <w:vAlign w:val="bottom"/>
          </w:tcPr>
          <w:p>
            <w:pPr>
              <w:jc w:val="right"/>
              <w:ind w:right="212"/>
              <w:spacing w:after="0"/>
              <w:rPr>
                <w:sz w:val="20"/>
                <w:szCs w:val="20"/>
                <w:color w:val="auto"/>
              </w:rPr>
            </w:pPr>
            <w:r>
              <w:rPr>
                <w:rFonts w:ascii="Arial" w:cs="Arial" w:eastAsia="Arial" w:hAnsi="Arial"/>
                <w:sz w:val="14"/>
                <w:szCs w:val="14"/>
                <w:b w:val="1"/>
                <w:bCs w:val="1"/>
                <w:color w:val="auto"/>
              </w:rPr>
              <w:t>February 2,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44"/>
        </w:trPr>
        <w:tc>
          <w:tcPr>
            <w:tcW w:w="7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granted (in thousands)</w:t>
            </w:r>
          </w:p>
        </w:tc>
        <w:tc>
          <w:tcPr>
            <w:tcW w:w="16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w:t>
            </w:r>
          </w:p>
        </w:tc>
      </w:tr>
      <w:tr>
        <w:trPr>
          <w:trHeight w:val="243"/>
        </w:trPr>
        <w:tc>
          <w:tcPr>
            <w:tcW w:w="7980" w:type="dxa"/>
            <w:vAlign w:val="bottom"/>
            <w:gridSpan w:val="3"/>
          </w:tcPr>
          <w:p>
            <w:pPr>
              <w:ind w:left="40"/>
              <w:spacing w:after="0"/>
              <w:rPr>
                <w:sz w:val="20"/>
                <w:szCs w:val="20"/>
                <w:color w:val="auto"/>
              </w:rPr>
            </w:pPr>
            <w:r>
              <w:rPr>
                <w:rFonts w:ascii="Arial" w:cs="Arial" w:eastAsia="Arial" w:hAnsi="Arial"/>
                <w:sz w:val="18"/>
                <w:szCs w:val="18"/>
                <w:color w:val="auto"/>
              </w:rPr>
              <w:t>Weighted-average exercise price</w:t>
            </w:r>
          </w:p>
        </w:tc>
        <w:tc>
          <w:tcPr>
            <w:tcW w:w="1680" w:type="dxa"/>
            <w:vAlign w:val="bottom"/>
          </w:tcPr>
          <w:p>
            <w:pPr>
              <w:jc w:val="right"/>
              <w:ind w:right="114"/>
              <w:spacing w:after="0"/>
              <w:rPr>
                <w:sz w:val="20"/>
                <w:szCs w:val="20"/>
                <w:color w:val="auto"/>
              </w:rPr>
            </w:pPr>
            <w:r>
              <w:rPr>
                <w:rFonts w:ascii="Arial" w:cs="Arial" w:eastAsia="Arial" w:hAnsi="Arial"/>
                <w:sz w:val="18"/>
                <w:szCs w:val="18"/>
                <w:color w:val="auto"/>
              </w:rPr>
              <w:t>$48.97</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$39.98</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w:t>
            </w:r>
          </w:p>
        </w:tc>
        <w:tc>
          <w:tcPr>
            <w:tcW w:w="16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$5.87</w:t>
            </w:r>
          </w:p>
        </w:tc>
      </w:tr>
      <w:tr>
        <w:trPr>
          <w:trHeight w:val="243"/>
        </w:trPr>
        <w:tc>
          <w:tcPr>
            <w:tcW w:w="7980" w:type="dxa"/>
            <w:vAlign w:val="bottom"/>
            <w:gridSpan w:val="3"/>
          </w:tcPr>
          <w:p>
            <w:pPr>
              <w:ind w:left="40"/>
              <w:spacing w:after="0"/>
              <w:rPr>
                <w:sz w:val="20"/>
                <w:szCs w:val="20"/>
                <w:color w:val="auto"/>
              </w:rPr>
            </w:pPr>
            <w:r>
              <w:rPr>
                <w:rFonts w:ascii="Arial" w:cs="Arial" w:eastAsia="Arial" w:hAnsi="Arial"/>
                <w:sz w:val="18"/>
                <w:szCs w:val="18"/>
                <w:color w:val="auto"/>
              </w:rPr>
              <w:t>Assumptions:</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expected volatility</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43"/>
        </w:trPr>
        <w:tc>
          <w:tcPr>
            <w:tcW w:w="798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term (in years)</w:t>
            </w:r>
          </w:p>
        </w:tc>
        <w:tc>
          <w:tcPr>
            <w:tcW w:w="1680" w:type="dxa"/>
            <w:vAlign w:val="bottom"/>
          </w:tcPr>
          <w:p>
            <w:pPr>
              <w:jc w:val="right"/>
              <w:ind w:right="11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5.3</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798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dividend yield</w:t>
            </w:r>
          </w:p>
        </w:tc>
        <w:tc>
          <w:tcPr>
            <w:tcW w:w="16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75"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 the remaining maturities of the traded options used to estimate volatility are at least one year.</w:t>
      </w:r>
    </w:p>
    <w:p>
      <w:pPr>
        <w:spacing w:after="0" w:line="21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2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as the risk-free interest rate.</w:t>
      </w:r>
    </w:p>
    <w:p>
      <w:pPr>
        <w:spacing w:after="0" w:line="11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quarter and dividing that result by the closing stock price on the date of grant.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7" w:name="page8"/>
    <w:bookmarkEnd w:id="7"/>
    <w:p>
      <w:pPr>
        <w:ind w:right="340"/>
        <w:spacing w:after="0" w:line="342" w:lineRule="auto"/>
        <w:rPr>
          <w:sz w:val="20"/>
          <w:szCs w:val="20"/>
          <w:color w:val="auto"/>
        </w:rPr>
      </w:pPr>
      <w:r>
        <w:rPr>
          <w:rFonts w:ascii="Arial" w:cs="Arial" w:eastAsia="Arial" w:hAnsi="Arial"/>
          <w:sz w:val="16"/>
          <w:szCs w:val="16"/>
          <w:color w:val="auto"/>
        </w:rPr>
        <w:t>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 Expense</w:t>
      </w:r>
    </w:p>
    <w:p>
      <w:pPr>
        <w:spacing w:after="0" w:line="17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4.4% to all unvested stock-based awards as of February 1, 2014. The rate of 4.4%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Additional paid-in-capital (APIC) Pool</w:t>
      </w:r>
    </w:p>
    <w:p>
      <w:pPr>
        <w:spacing w:after="0" w:line="90"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condensed consolidated statements of income. During the three-month periods ended February 1, 2014 and February 2, 2013, the Company had available APIC pool to absorb tax deficiencies recorded and as a result, these deficiencies did not affect its results of operations.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 Activity</w:t>
      </w:r>
    </w:p>
    <w:p>
      <w:pPr>
        <w:spacing w:after="0" w:line="9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 summary of the activity under the Company’s stock option plans as of February 1, 2014 and changes during the three-month period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February 1, 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58"/>
        </w:trPr>
        <w:tc>
          <w:tcPr>
            <w:tcW w:w="5500" w:type="dxa"/>
            <w:vAlign w:val="bottom"/>
            <w:gridSpan w:val="3"/>
            <w:vMerge w:val="continue"/>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3"/>
                <w:szCs w:val="13"/>
                <w:color w:val="auto"/>
              </w:rPr>
            </w:pPr>
          </w:p>
        </w:tc>
        <w:tc>
          <w:tcPr>
            <w:tcW w:w="16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Price Per Share</w:t>
            </w:r>
          </w:p>
        </w:tc>
        <w:tc>
          <w:tcPr>
            <w:tcW w:w="13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Term in Years</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0" w:type="dxa"/>
            <w:vAlign w:val="bottom"/>
            <w:tcBorders>
              <w:top w:val="single" w:sz="8" w:color="auto"/>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November 2, 2013</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18,992</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$33.56</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$48.97</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$31.76</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Options 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(115)</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$40.79</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expired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$45.46</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Options outstanding at February 1, 2014</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16,362</w:t>
            </w:r>
          </w:p>
        </w:tc>
        <w:tc>
          <w:tcPr>
            <w:tcW w:w="162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$33.79</w:t>
            </w:r>
          </w:p>
        </w:tc>
        <w:tc>
          <w:tcPr>
            <w:tcW w:w="1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$236,988</w:t>
            </w: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Options exercisable at February 1, 2014</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11,131</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$30.04</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$202,894</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Options vested or expected to vest at February 1, 2014 (1)</w:t>
            </w: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gridSpan w:val="3"/>
            <w:vMerge w:val="continue"/>
          </w:tcPr>
          <w:p>
            <w:pPr>
              <w:spacing w:after="0"/>
              <w:rPr>
                <w:sz w:val="21"/>
                <w:szCs w:val="21"/>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15,976</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$33.57</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$234,806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211" w:lineRule="exact"/>
        <w:rPr>
          <w:sz w:val="20"/>
          <w:szCs w:val="20"/>
          <w:color w:val="auto"/>
        </w:rPr>
      </w:pPr>
    </w:p>
    <w:p>
      <w:pPr>
        <w:ind w:left="60" w:firstLine="405"/>
        <w:spacing w:after="0" w:line="264" w:lineRule="auto"/>
        <w:rPr>
          <w:sz w:val="20"/>
          <w:szCs w:val="20"/>
          <w:color w:val="auto"/>
        </w:rPr>
      </w:pPr>
      <w:r>
        <w:rPr>
          <w:rFonts w:ascii="Arial" w:cs="Arial" w:eastAsia="Arial" w:hAnsi="Arial"/>
          <w:sz w:val="18"/>
          <w:szCs w:val="18"/>
          <w:color w:val="auto"/>
        </w:rPr>
        <w:t>During the three months ended February 1, 2014, the total intrinsic value of options exercised (i.e., the difference between the market price at exercise and the price paid by the employee to exercise the options) was $44.9 million and the total amount of proceeds received by the Company from the exercise of these options was $79.6 million.</w:t>
      </w:r>
    </w:p>
    <w:p>
      <w:pPr>
        <w:spacing w:after="0" w:line="181" w:lineRule="exact"/>
        <w:rPr>
          <w:sz w:val="20"/>
          <w:szCs w:val="20"/>
          <w:color w:val="auto"/>
        </w:rPr>
      </w:pPr>
    </w:p>
    <w:p>
      <w:pPr>
        <w:ind w:left="60" w:firstLine="405"/>
        <w:spacing w:after="0" w:line="264" w:lineRule="auto"/>
        <w:rPr>
          <w:sz w:val="20"/>
          <w:szCs w:val="20"/>
          <w:color w:val="auto"/>
        </w:rPr>
      </w:pPr>
      <w:r>
        <w:rPr>
          <w:rFonts w:ascii="Arial" w:cs="Arial" w:eastAsia="Arial" w:hAnsi="Arial"/>
          <w:sz w:val="18"/>
          <w:szCs w:val="18"/>
          <w:color w:val="auto"/>
        </w:rPr>
        <w:t>During the three months ended February 2, 2013, the total intrinsic value of options exercised (i.e., the difference between the market price at exercise and the price paid by the employee to exercise the options) was $52.0 million and the total amount of proceeds received by the Company from the exercise of these options was $113.8 million.</w:t>
      </w:r>
    </w:p>
    <w:p>
      <w:pPr>
        <w:spacing w:after="0" w:line="181" w:lineRule="exact"/>
        <w:rPr>
          <w:sz w:val="20"/>
          <w:szCs w:val="20"/>
          <w:color w:val="auto"/>
        </w:rPr>
      </w:pPr>
    </w:p>
    <w:p>
      <w:pPr>
        <w:ind w:left="60" w:right="440" w:firstLine="405"/>
        <w:spacing w:after="0" w:line="277" w:lineRule="auto"/>
        <w:rPr>
          <w:sz w:val="20"/>
          <w:szCs w:val="20"/>
          <w:color w:val="auto"/>
        </w:rPr>
      </w:pPr>
      <w:r>
        <w:rPr>
          <w:rFonts w:ascii="Arial" w:cs="Arial" w:eastAsia="Arial" w:hAnsi="Arial"/>
          <w:sz w:val="18"/>
          <w:szCs w:val="18"/>
          <w:color w:val="auto"/>
        </w:rPr>
        <w:t>A summary of the Company’s restricted stock unit award activity as of February 1, 2014 and changes during the three-month period then ended is presented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8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February 1, 2014</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58"/>
        </w:trPr>
        <w:tc>
          <w:tcPr>
            <w:tcW w:w="8340" w:type="dxa"/>
            <w:vAlign w:val="bottom"/>
            <w:gridSpan w:val="3"/>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November 2, 2013</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2,493</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Units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24</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(38)</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February 1, 2014</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1,695</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As of February 1, 2014, there was $70.3 million of total unrecognized compensation cost related to unvested share-based awards comprised of stock options and restricted stock units. That cost is expected to be recognized over a weighted-average period of 1.4 years . The total grant-date fair value of shares that vested during the three months ended February 1, 2014 and February 2, 2013 was approximately $39.5 million and $50.2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Stock Repurchase</w:t>
      </w:r>
    </w:p>
    <w:p>
      <w:pPr>
        <w:spacing w:after="0" w:line="9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Company’s common stock repurchase program has been in place since August 2004. As of February 1, 2014, in the aggregate, the Board of Directors has authorized the Company to repurchase $5.0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February 1, 2014, the Company had repurchased a total of approximately 131.6 million shares of its common stock for approximately $4,556.6 million under this program. As of February 1, 2014, an additional $443.4 million remains available for repurchase of shares under the current authorized program. The repurchased shares are held as authorized but unissued shares of common stock. The Company also, from time to time, repurchases shares in settlement of employee tax withholding obligations due upon the vesting of restricted stock units, or in certain limited circumstances to satisfy the exercise price of options granted to the Company’s employees under the Company’s equity compensation plans. Any future common stock repurchases will be dependent upon several factors, including the Company's financial performance, outlook, liquidity and the amount of cash the Company has available in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Accumulated Other Comprehensive Income (Loss)</w:t>
      </w:r>
    </w:p>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provides the changes in accumulated other comprehensive income (loss), OCI, by component and the related tax effects during the first three months of fiscal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holding Gains on</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holding (losses) on</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Foreign currency</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securities</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securities</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holding Gains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translation</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classified as short-</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classified as short-</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(losses) on</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adjustment</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term investments</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term investments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Derivatives</w:t>
            </w:r>
          </w:p>
        </w:tc>
        <w:tc>
          <w:tcPr>
            <w:tcW w:w="14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Pension Plans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November 3, 2013</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(80,546)</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Other comprehensive income before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(3,378)</w:t>
            </w:r>
          </w:p>
        </w:tc>
      </w:tr>
      <w:tr>
        <w:trPr>
          <w:trHeight w:val="27"/>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out of other</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Tax effects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w:t>
            </w:r>
          </w:p>
        </w:tc>
      </w:tr>
      <w:tr>
        <w:trPr>
          <w:trHeight w:val="27"/>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February 1, 2014</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7,020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(90,050)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(82,937)</w:t>
            </w: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amounts reclassified out of accumulated other comprehensive income into the consolidated condensed statement of income, with presentation location during each period were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2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February 1, 2014</w:t>
            </w:r>
          </w:p>
        </w:tc>
        <w:tc>
          <w:tcPr>
            <w:tcW w:w="12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Component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37"/>
        </w:trPr>
        <w:tc>
          <w:tcPr>
            <w:tcW w:w="6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Unrealized holding (losses) gains on derivatives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marketing, general and</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60"/>
              <w:spacing w:after="0"/>
              <w:rPr>
                <w:sz w:val="20"/>
                <w:szCs w:val="20"/>
                <w:color w:val="auto"/>
              </w:rPr>
            </w:pPr>
            <w:r>
              <w:rPr>
                <w:rFonts w:ascii="Arial" w:cs="Arial" w:eastAsia="Arial" w:hAnsi="Arial"/>
                <w:sz w:val="18"/>
                <w:szCs w:val="18"/>
                <w:color w:val="auto"/>
              </w:rPr>
              <w:t>Treasury rate lock</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pension components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260"/>
              <w:spacing w:after="0"/>
              <w:rPr>
                <w:sz w:val="20"/>
                <w:szCs w:val="20"/>
                <w:color w:val="auto"/>
              </w:rPr>
            </w:pPr>
            <w:r>
              <w:rPr>
                <w:rFonts w:ascii="Arial" w:cs="Arial" w:eastAsia="Arial" w:hAnsi="Arial"/>
                <w:sz w:val="18"/>
                <w:szCs w:val="18"/>
                <w:color w:val="auto"/>
              </w:rPr>
              <w:t>Transition obligation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Prior service credit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6760" w:type="dxa"/>
            <w:vAlign w:val="bottom"/>
            <w:gridSpan w:val="2"/>
          </w:tcPr>
          <w:p>
            <w:pPr>
              <w:ind w:left="260"/>
              <w:spacing w:after="0"/>
              <w:rPr>
                <w:sz w:val="20"/>
                <w:szCs w:val="20"/>
                <w:color w:val="auto"/>
              </w:rPr>
            </w:pPr>
            <w:r>
              <w:rPr>
                <w:rFonts w:ascii="Arial" w:cs="Arial" w:eastAsia="Arial" w:hAnsi="Arial"/>
                <w:sz w:val="18"/>
                <w:szCs w:val="18"/>
                <w:color w:val="auto"/>
              </w:rPr>
              <w:t>Actuarial losses</w:t>
            </w: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Total amounts reclassified out of accumulated other comprehensive income, 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60" w:hanging="4"/>
        <w:spacing w:after="0" w:line="290" w:lineRule="auto"/>
        <w:tabs>
          <w:tab w:leader="none" w:pos="84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amortization of pension components is included in the computation of net periodic pension cost. For further information see Note 13, </w:t>
      </w:r>
      <w:r>
        <w:rPr>
          <w:rFonts w:ascii="Arial" w:cs="Arial" w:eastAsia="Arial" w:hAnsi="Arial"/>
          <w:sz w:val="17"/>
          <w:szCs w:val="17"/>
          <w:i w:val="1"/>
          <w:iCs w:val="1"/>
          <w:color w:val="auto"/>
        </w:rPr>
        <w:t>Retirement Plans</w:t>
      </w:r>
      <w:r>
        <w:rPr>
          <w:rFonts w:ascii="Arial" w:cs="Arial" w:eastAsia="Arial" w:hAnsi="Arial"/>
          <w:sz w:val="17"/>
          <w:szCs w:val="17"/>
          <w:color w:val="auto"/>
        </w:rPr>
        <w:t>, contained in Item 8 of the Annual Report on Form 10-K for the fiscal year ended November 2, 2013.</w:t>
      </w:r>
    </w:p>
    <w:p>
      <w:pPr>
        <w:spacing w:after="0" w:line="16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estimates $1.6 million of net derivative unrealized holding gains included in OCI will be reclassified into earnings within the next twelve months. There was no ineffectiveness in the three-month periods ended February 1, 2014 and February 2, 2013.</w:t>
      </w:r>
    </w:p>
    <w:p>
      <w:pPr>
        <w:spacing w:after="0" w:line="116"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Unrealized gains and losses on available-for-sale securities classified as short-term investments at February 1, 2014 and November 2, 2013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1, 2014</w:t>
            </w:r>
          </w:p>
        </w:tc>
        <w:tc>
          <w:tcPr>
            <w:tcW w:w="160" w:type="dxa"/>
            <w:vAlign w:val="bottom"/>
          </w:tcPr>
          <w:p>
            <w:pPr>
              <w:spacing w:after="0"/>
              <w:rPr>
                <w:sz w:val="16"/>
                <w:szCs w:val="16"/>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November 2, 2013</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securities classified as short-term investments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losses on securities classified as short-term investments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gains on securities classified as short-term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As of February 1, 2014, the Company held 143 investment securities, 40 of which were in an unrealized loss position with an aggregate fair value of $1,281.6 million. As of November 2, 2013, the Company held 137 investment securities, 31 of which were in an unrealized loss position with an aggregate fair value of $972.2 million. These unrealized losses were primarily related to corporate obligations that earn lower interest rates than current market rates. None of these investments have been in a loss position for more than twelve months. As the Company does not intend to sell these investments and it is unlikely that the Company will be required to sell the investments before recovery of their amortized basis, which will be at maturity, the Company does not consider those investments to be other-than-temporarily impaired at February 1, 2014 and November 2, 2013.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22" w:right="239" w:bottom="1440" w:gutter="0" w:footer="0" w:header="0"/>
        </w:sectPr>
      </w:pPr>
    </w:p>
    <w:bookmarkStart w:id="10" w:name="page11"/>
    <w:bookmarkEnd w:id="10"/>
    <w:p>
      <w:pPr>
        <w:ind w:left="440"/>
        <w:spacing w:after="0"/>
        <w:rPr>
          <w:sz w:val="20"/>
          <w:szCs w:val="20"/>
          <w:color w:val="auto"/>
        </w:rPr>
      </w:pPr>
      <w:r>
        <w:rPr>
          <w:rFonts w:ascii="Arial" w:cs="Arial" w:eastAsia="Arial" w:hAnsi="Arial"/>
          <w:sz w:val="16"/>
          <w:szCs w:val="16"/>
          <w:color w:val="auto"/>
        </w:rPr>
        <w:t>Realized gains or losses on investments are determined based on the specific identification basis and are recognized in nonoperating (income)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net realized gains or losses from the sales of available-for-sale investments during any of the fiscal periods presented.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Earnings Per Share</w:t>
      </w:r>
    </w:p>
    <w:p>
      <w:pPr>
        <w:spacing w:after="0" w:line="9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were excluded because they were anti-dilutive. Those potential shares, determined based on the weighted average exercise prices during the respective periods, related to the Company’s outstanding stock options could be dilutive in the future.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1, 2014</w:t>
            </w:r>
          </w:p>
        </w:tc>
        <w:tc>
          <w:tcPr>
            <w:tcW w:w="20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 2013</w:t>
            </w:r>
          </w:p>
        </w:tc>
        <w:tc>
          <w:tcPr>
            <w:tcW w:w="0" w:type="dxa"/>
            <w:vAlign w:val="bottom"/>
          </w:tcPr>
          <w:p>
            <w:pPr>
              <w:spacing w:after="0"/>
              <w:rPr>
                <w:sz w:val="1"/>
                <w:szCs w:val="1"/>
                <w:color w:val="auto"/>
              </w:rPr>
            </w:pPr>
          </w:p>
        </w:tc>
      </w:tr>
      <w:tr>
        <w:trPr>
          <w:trHeight w:val="275"/>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152,586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131,222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shares: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312,286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303,484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Earnings per share 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0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shares: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312,286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303,484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Assumed exercise of common stock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6,791</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Arial" w:cs="Arial" w:eastAsia="Arial" w:hAnsi="Arial"/>
                <w:sz w:val="18"/>
                <w:szCs w:val="18"/>
                <w:color w:val="auto"/>
              </w:rPr>
              <w:t>Weighted-average common and common equivalent shares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318,017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310,275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Earnings per share 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Anti-dilutive shares related to:</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 stock options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5,641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Special Charges</w:t>
      </w:r>
    </w:p>
    <w:p>
      <w:pPr>
        <w:spacing w:after="0" w:line="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12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following tables display the special charges taken for ongoing actions and a roll-forward from November 2, 2013 to February 1, 2014 of the employee separation and exit cost accruals established related to these actions.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473"/>
              <w:spacing w:after="0"/>
              <w:rPr>
                <w:sz w:val="20"/>
                <w:szCs w:val="20"/>
                <w:color w:val="auto"/>
              </w:rPr>
            </w:pPr>
            <w:r>
              <w:rPr>
                <w:rFonts w:ascii="Arial" w:cs="Arial" w:eastAsia="Arial" w:hAnsi="Arial"/>
                <w:sz w:val="14"/>
                <w:szCs w:val="14"/>
                <w:b w:val="1"/>
                <w:bCs w:val="1"/>
                <w:color w:val="auto"/>
              </w:rPr>
              <w:t>Reduction of Operating Costs</w:t>
            </w:r>
          </w:p>
        </w:tc>
        <w:tc>
          <w:tcPr>
            <w:tcW w:w="0" w:type="dxa"/>
            <w:vAlign w:val="bottom"/>
          </w:tcPr>
          <w:p>
            <w:pPr>
              <w:spacing w:after="0"/>
              <w:rPr>
                <w:sz w:val="1"/>
                <w:szCs w:val="1"/>
                <w:color w:val="auto"/>
              </w:rPr>
            </w:pPr>
          </w:p>
        </w:tc>
      </w:tr>
      <w:tr>
        <w:trPr>
          <w:trHeight w:val="229"/>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 of Income</w:t>
            </w: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Workforce reductions</w:t>
            </w:r>
          </w:p>
        </w:tc>
        <w:tc>
          <w:tcPr>
            <w:tcW w:w="4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Facility closure costs</w:t>
            </w:r>
          </w:p>
        </w:tc>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Non-cash impairment charge</w:t>
            </w:r>
          </w:p>
        </w:tc>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Other items</w:t>
            </w:r>
          </w:p>
        </w:tc>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Charges</w:t>
            </w:r>
          </w:p>
        </w:tc>
        <w:tc>
          <w:tcPr>
            <w:tcW w:w="4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Accrued Restructuring</w:t>
            </w:r>
          </w:p>
        </w:tc>
        <w:tc>
          <w:tcPr>
            <w:tcW w:w="180" w:type="dxa"/>
            <w:vAlign w:val="bottom"/>
          </w:tcPr>
          <w:p>
            <w:pPr>
              <w:spacing w:after="0"/>
              <w:rPr>
                <w:sz w:val="14"/>
                <w:szCs w:val="14"/>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rPr>
              <w:t>Reduction of</w:t>
            </w:r>
          </w:p>
        </w:tc>
        <w:tc>
          <w:tcPr>
            <w:tcW w:w="0" w:type="dxa"/>
            <w:vAlign w:val="bottom"/>
          </w:tcPr>
          <w:p>
            <w:pPr>
              <w:spacing w:after="0"/>
              <w:rPr>
                <w:sz w:val="1"/>
                <w:szCs w:val="1"/>
                <w:color w:val="auto"/>
              </w:rPr>
            </w:pPr>
          </w:p>
        </w:tc>
      </w:tr>
      <w:tr>
        <w:trPr>
          <w:trHeight w:val="158"/>
        </w:trPr>
        <w:tc>
          <w:tcPr>
            <w:tcW w:w="9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w w:val="95"/>
              </w:rPr>
              <w:t>Operating Costs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November 2,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19,955</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First quarter 2014 special charge</w:t>
            </w: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Effect of foreign currency on accrual</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February 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Reduction of Operating Costs</w:t>
      </w:r>
    </w:p>
    <w:p>
      <w:pPr>
        <w:spacing w:after="0" w:line="90"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During fiscal 2012, the Company recorded special charges of approximately $8.4 million. These special charges included: $8.0 million for severance and fringe benefit costs in accordance with its ongoing benefit plan or statutory requirements at foreign locations for 95 manufacturing, engineering and selling, marketing, general and administrative (SMG&amp;A) employees; $0.2 million for lease obligation costs for facilities that the Company ceased using during the third quarter of fiscal 2012; $0.1 million for contract termination costs; and $0.2 million for the write-off of property, plant and equipment. The Company terminated the employment of all employees associated with these actions.</w:t>
      </w:r>
    </w:p>
    <w:p>
      <w:pPr>
        <w:spacing w:after="0" w:line="3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During fiscal 2013, the Company recorded special charges of approximately $29.8 million for severance and fringe benefit costs in accordance with its ongoing benefit plan or statutory requirements at foreign locations for 235 engineering and SMG&amp;A employees. As of February 1, 2014, the Company employed 35 of the 235 employees included in this cost reduction action. These employees must continue to be employed by the Company until their employment is involuntarily terminated in order to receive the severance benefit.</w:t>
      </w:r>
    </w:p>
    <w:p>
      <w:pPr>
        <w:spacing w:after="0" w:line="52"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color w:val="auto"/>
        </w:rPr>
        <w:t>During the first quarter of fiscal 2014, the Company recorded a special charge of approximately $2.7 million for severance and fringe benefit costs in accordance with its ongoing benefit plan or statutory requirements at foreign locations for 30 engineering and SMG&amp;A employees. As of February 1, 2014, the Company employed 12 of the 30 employees included in this cost reduction action. These employees must continue to be employed by the Company until their employment is involuntarily terminated in order to receive the severance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Segment Information</w:t>
      </w:r>
    </w:p>
    <w:p>
      <w:pPr>
        <w:spacing w:after="0" w:line="94"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 The results below in the consumer end market are reflective of the sale of the Company's microphone product line in the fourth quarter of fiscal 2013.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February 1, 2014</w:t>
            </w: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4"/>
                <w:szCs w:val="14"/>
                <w:b w:val="1"/>
                <w:bCs w:val="1"/>
                <w:color w:val="auto"/>
              </w:rPr>
              <w:t>February 2, 2013</w:t>
            </w: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440" w:type="dxa"/>
            <w:vAlign w:val="bottom"/>
          </w:tcPr>
          <w:p>
            <w:pPr>
              <w:jc w:val="right"/>
              <w:ind w:right="497"/>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4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44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290,365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281,209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124,157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107,760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74,119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107,356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139,597</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125,809</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628,238</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622,134</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8890</wp:posOffset>
            </wp:positionV>
            <wp:extent cx="1835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8890</wp:posOffset>
            </wp:positionV>
            <wp:extent cx="1835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-721995</wp:posOffset>
            </wp:positionV>
            <wp:extent cx="1835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-721995</wp:posOffset>
            </wp:positionV>
            <wp:extent cx="1835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 The results below in the other analog product category market are reflective of the sale of the Company's microphone product line in the fourth quarter of fiscal 2013.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February 1, 2014</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February 2, 2013</w:t>
            </w: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42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4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440" w:type="dxa"/>
            <w:vAlign w:val="bottom"/>
          </w:tcPr>
          <w:p>
            <w:pPr>
              <w:jc w:val="right"/>
              <w:ind w:right="49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290,551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277,940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Amplifiers / Radio frequency</w:t>
            </w: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164,714</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157,978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79,419</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95,158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Subtotal analog signal processing</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534,684</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531,076</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38,710</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39,382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573,394</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570,458</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54,844</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51,676</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628,238</w:t>
            </w:r>
          </w:p>
        </w:tc>
        <w:tc>
          <w:tcPr>
            <w:tcW w:w="1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622,134</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8890</wp:posOffset>
            </wp:positionV>
            <wp:extent cx="1835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8890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-130175</wp:posOffset>
            </wp:positionV>
            <wp:extent cx="1835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-130175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90"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Revenue by geographic region, based on the primary location of the Company's customers’ design activity for its products, for the three-month periods ended February 1, 2014 and February 2, 2013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r>
      <w:tr>
        <w:trPr>
          <w:trHeight w:val="229"/>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Region</w:t>
            </w:r>
          </w:p>
        </w:tc>
        <w:tc>
          <w:tcPr>
            <w:tcW w:w="180" w:type="dxa"/>
            <w:vAlign w:val="bottom"/>
          </w:tcPr>
          <w:p>
            <w:pPr>
              <w:spacing w:after="0"/>
              <w:rPr>
                <w:sz w:val="19"/>
                <w:szCs w:val="19"/>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1, 2014</w:t>
            </w:r>
          </w:p>
        </w:tc>
        <w:tc>
          <w:tcPr>
            <w:tcW w:w="20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4"/>
                <w:szCs w:val="14"/>
                <w:b w:val="1"/>
                <w:bCs w:val="1"/>
                <w:color w:val="auto"/>
                <w:w w:val="99"/>
              </w:rPr>
              <w:t>February 2,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7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204,271</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19,436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23,512</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189,298</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71,091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64,688</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84,769</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54,242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55,596</w:t>
            </w:r>
          </w:p>
        </w:tc>
      </w:tr>
      <w:tr>
        <w:trPr>
          <w:trHeight w:val="27"/>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628,238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622,134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In the three-month periods ended February 1, 2014 and February 2, 2013, the predominant country comprising “Rest of North and South America” is Canada; the predominant countries comprising “Europe” are Germany, Sweden, France and the United Kingdom; and the predominant countries comprising “Rest of Asia” are Taiwan and South Korea.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w:t>
      </w:r>
    </w:p>
    <w:p>
      <w:pPr>
        <w:spacing w:after="0" w:line="9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ind w:right="240"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16"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tables below, set forth by level the Company’s financial assets and liabilities, excluding accrued interest components that were accounted for at fair value on a recurring basis as of February 1, 2014 and November 2, 2013. The tables exclude cash on hand and assets and liabilities that are measured at historical cost or any basis other than fair value. As of February 1, 2014 and November 2, 2013, the Company held $38.6 million and $45.6 million, respectively, of cash and held-to-maturity investments that were excluded from the tables below.</w:t>
      </w:r>
    </w:p>
    <w:p>
      <w:pPr>
        <w:spacing w:after="0" w:line="109"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February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975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77,726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77,726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300,862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3,798,468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3,798,468</w:t>
            </w: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282,549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282,549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62,761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62,761</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greater than one year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140,104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18,514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96,240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4,584,744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4,680,984</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February 1, 2014 was $3,886.4 million.</w:t>
      </w:r>
    </w:p>
    <w:p>
      <w:pPr>
        <w:spacing w:after="0" w:line="23"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Company has a master netting arrangement by counterparty with respect to derivative contracts. See Note 10,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for more information related to the Company's master netting arrangements.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ind w:left="7740"/>
        <w:spacing w:after="0"/>
        <w:rPr>
          <w:sz w:val="20"/>
          <w:szCs w:val="20"/>
          <w:color w:val="auto"/>
        </w:rPr>
      </w:pPr>
      <w:r>
        <w:rPr>
          <w:rFonts w:ascii="Arial" w:cs="Arial" w:eastAsia="Arial" w:hAnsi="Arial"/>
          <w:sz w:val="14"/>
          <w:szCs w:val="14"/>
          <w:b w:val="1"/>
          <w:bCs w:val="1"/>
          <w:color w:val="auto"/>
        </w:rPr>
        <w:t>November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97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186,896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186,896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159,556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3,764,213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3,764,213</w:t>
            </w: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207,521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207,521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113,886</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greater than one year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17,431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17,431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204,327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4,452,646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4,656,973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6,479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November 2, 2013 was $3,824.0 million.</w:t>
      </w:r>
    </w:p>
    <w:p>
      <w:pPr>
        <w:spacing w:after="0" w:line="23"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Company has a master netting arrangement by counterparty with respect to derivative contracts. See Note 10,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for more information related to the Company's master netting arrangements.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116"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1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18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 The fair value of the contingent consideration was estimated utilizing the income approach and is based upon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inputs not observable in the market. The income approach is based on two steps. The first step involves a projection of the cash flows that is based on the Company’s estimates of the timing and probability of achieving the defined milestones. The second step involves converting the cash flows into a present value equivalent through discounting. The discount rate reflects the Baa costs of debt plus the relevant risk associated with the asset and the time value of money.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3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fair value measurement of the contingent consideration encompasses the following significant unobservable inputs: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Unobservable Inputs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940" w:type="dxa"/>
            <w:vAlign w:val="bottom"/>
            <w:gridSpan w:val="3"/>
            <w:vMerge w:val="restart"/>
          </w:tcPr>
          <w:p>
            <w:pPr>
              <w:ind w:left="40"/>
              <w:spacing w:after="0"/>
              <w:rPr>
                <w:sz w:val="20"/>
                <w:szCs w:val="20"/>
                <w:color w:val="auto"/>
              </w:rPr>
            </w:pPr>
            <w:r>
              <w:rPr>
                <w:rFonts w:ascii="Arial" w:cs="Arial" w:eastAsia="Arial" w:hAnsi="Arial"/>
                <w:sz w:val="18"/>
                <w:szCs w:val="18"/>
                <w:color w:val="auto"/>
              </w:rPr>
              <w:t>Estimated contingent consideration payments</w:t>
            </w: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940" w:type="dxa"/>
            <w:vAlign w:val="bottom"/>
            <w:gridSpan w:val="3"/>
            <w:vMerge w:val="continue"/>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$5,000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 - 10%</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Timing of cash flows</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1 - 20 months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Probability of achievement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6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Changes in the fair value of the contingent consideration subsequent to the acquisition date that are primarily driven by assumptions pertaining to the achievement of the defined milestones will be recognized in operating income in the period of the estimated fair value change. Significant increases or decreases in any of the inputs in isolation may result in a fluctuation in the fair value measurement.</w:t>
      </w:r>
    </w:p>
    <w:p>
      <w:pPr>
        <w:spacing w:after="0" w:line="1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the change in the fair value of the contingent consideration measured using significant unobservable inputs (Level 3) as of November 2, 2013 and February 1,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316"/>
              <w:spacing w:after="0"/>
              <w:rPr>
                <w:sz w:val="20"/>
                <w:szCs w:val="20"/>
                <w:color w:val="auto"/>
              </w:rPr>
            </w:pPr>
            <w:r>
              <w:rPr>
                <w:rFonts w:ascii="Arial" w:cs="Arial" w:eastAsia="Arial" w:hAnsi="Arial"/>
                <w:sz w:val="14"/>
                <w:szCs w:val="14"/>
                <w:b w:val="1"/>
                <w:bCs w:val="1"/>
                <w:color w:val="auto"/>
              </w:rPr>
              <w:t>Contingent</w:t>
            </w:r>
          </w:p>
        </w:tc>
      </w:tr>
      <w:tr>
        <w:trPr>
          <w:trHeight w:val="192"/>
        </w:trPr>
        <w:tc>
          <w:tcPr>
            <w:tcW w:w="9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Consideration</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Balance as of November 2, 2013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6,479</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made (1)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Fair value adjustment (2)</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203</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February 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4,682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2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payment is reflected in the Company's condensed consolidated statements of cash flows as cash used in financing activities related to the liability recognized at fair value as of the acquisition date and as cash provided by operating activities related to the fair value adjustments previously recognized in earnings.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Recorded in research and development expense in the Company's condensed consolidated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April 4, 2011, the Company issued $375.0 million aggregate principal amount of 3.0% senior unsecured notes due April 15, 2016 (the 2016 Notes) with semi-annual fixed interest payments due on April 15 and October 15 of each year, commencing October 15, 2011. Based on quotes received from third-party banks, the fair value of the 2016 Notes as of February 1, 2014 and November 2, 2013 was $391.5 million and $392.8 million, respectively, and is classified as a Level 1 measurement according to the fair value hierarchy.</w:t>
      </w:r>
    </w:p>
    <w:p>
      <w:pPr>
        <w:spacing w:after="0" w:line="13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On June 3, 2013, the Company issued $500.0 million aggregate principal amount of 2.875% senior unsecured notes due June 1, 2023 (the 2023 Notes) with semi-annual fixed interest payments due on June 1 and December 1 of each year, commencing December 1, 2013. Based on quotes received from third-party banks, the fair value of the 2023 Notes as of February 1, 2014 and November 2, 2013 was $463.0 million and $466.0 million, respectively, and is classified as a Level 1 measurement according to the fair value hierarchy.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Derivatives</w:t>
      </w:r>
    </w:p>
    <w:p>
      <w:pPr>
        <w:spacing w:after="0" w:line="94"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i w:val="1"/>
          <w:iCs w:val="1"/>
          <w:color w:val="auto"/>
        </w:rPr>
        <w:t xml:space="preserve">Foreign Exchange Exposure Management </w:t>
      </w:r>
      <w:r>
        <w:rPr>
          <w:rFonts w:ascii="Arial" w:cs="Arial" w:eastAsia="Arial" w:hAnsi="Arial"/>
          <w:sz w:val="18"/>
          <w:szCs w:val="18"/>
          <w:color w:val="auto"/>
        </w:rPr>
        <w:t>— The Company enters into forward foreign currency exchange contracts to offset certain operational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exposures from the impact of changes in foreign currency exchange rates. Such exposures result from the portion of the Company’s operations, assets and liabilities that are denominated in currencies other</w:t>
      </w:r>
    </w:p>
    <w:p>
      <w:pPr>
        <w:ind w:right="40"/>
        <w:spacing w:after="0" w:line="286" w:lineRule="auto"/>
        <w:rPr>
          <w:sz w:val="20"/>
          <w:szCs w:val="20"/>
          <w:color w:val="auto"/>
        </w:rPr>
      </w:pPr>
      <w:r>
        <w:rPr>
          <w:rFonts w:ascii="Arial" w:cs="Arial" w:eastAsia="Arial" w:hAnsi="Arial"/>
          <w:sz w:val="16"/>
          <w:szCs w:val="16"/>
          <w:color w:val="auto"/>
        </w:rPr>
        <w:t>than the U.S. dollar, primarily the Euro; other significant exposures include the Philippine Peso, the Japanese Yen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reported as a component of accumulated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p>
      <w:pPr>
        <w:ind w:right="260"/>
        <w:spacing w:after="0" w:line="279" w:lineRule="auto"/>
        <w:rPr>
          <w:sz w:val="20"/>
          <w:szCs w:val="20"/>
          <w:color w:val="auto"/>
        </w:rPr>
      </w:pPr>
      <w:r>
        <w:rPr>
          <w:rFonts w:ascii="Arial" w:cs="Arial" w:eastAsia="Arial" w:hAnsi="Arial"/>
          <w:sz w:val="17"/>
          <w:szCs w:val="17"/>
          <w:color w:val="auto"/>
        </w:rPr>
        <w:t>certain recorded assets and liabilities in a non-functional currency. Changes in the fair value of these undesignated hedges are recognized in other (income) expense immediately as an offset to the changes in the fair value of the asset or liability being hedged. As of February 1, 2014 and November 2, 2013, the total notional amount of these undesignated hedges was $37.4 million and $33.4 million, respectively. The fair value of these undesignated hedges in the Company’s condensed consolidated balance sheets as of February 1, 2014 and November 2, 2013 was immaterial.</w:t>
      </w:r>
    </w:p>
    <w:p>
      <w:pPr>
        <w:spacing w:after="0" w:line="117"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i w:val="1"/>
          <w:iCs w:val="1"/>
          <w:color w:val="auto"/>
        </w:rPr>
        <w:t xml:space="preserve">Interest Rate Exposure Management </w:t>
      </w:r>
      <w:r>
        <w:rPr>
          <w:rFonts w:ascii="Arial" w:cs="Arial" w:eastAsia="Arial" w:hAnsi="Arial"/>
          <w:sz w:val="17"/>
          <w:szCs w:val="17"/>
          <w:color w:val="auto"/>
        </w:rPr>
        <w:t>— The Company's current and future debt may be subject to interest rate risk. The Company utilizes interest rate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derivatives to alter interest rate exposure in an attempt to reduce the effects of these changes. On April 24, 2013, the Company entered into a treasury rate lock agreement with Bank of America. This agreement allowed the Company to lock a 10-year US Treasury rate of 1.7845% through June 14, 2013 for its anticipated issuance of the 2023 Notes. The Company designated this agreement as a cash flow hedge. On June 3, 2013, the Company terminated the treasury rate lock simultaneously with the issuance of the 2023 Notes which resulted in a gain of approximately $11.0 million. This gain is being amortized into interest expense over the 10-year term of the 2023 Notes. See Note 5, </w:t>
      </w:r>
      <w:r>
        <w:rPr>
          <w:rFonts w:ascii="Arial" w:cs="Arial" w:eastAsia="Arial" w:hAnsi="Arial"/>
          <w:sz w:val="17"/>
          <w:szCs w:val="17"/>
          <w:i w:val="1"/>
          <w:iCs w:val="1"/>
          <w:color w:val="auto"/>
        </w:rPr>
        <w:t>Accumulated Other Comprehensive Income (Loss)</w:t>
      </w:r>
      <w:r>
        <w:rPr>
          <w:rFonts w:ascii="Arial" w:cs="Arial" w:eastAsia="Arial" w:hAnsi="Arial"/>
          <w:sz w:val="17"/>
          <w:szCs w:val="17"/>
          <w:color w:val="auto"/>
        </w:rPr>
        <w:t>, for more information relating to the amortization of the treasury rate lock into interest expense.</w:t>
      </w:r>
    </w:p>
    <w:p>
      <w:pPr>
        <w:spacing w:after="0" w:line="124"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On June 30, 2009, the Company entered into interest rate swap transactions related to its outstanding 2014 Notes where the Company swapped the notional amount of its $375.0 million of fixed rate debt at 5.0% into floating interest rate debt through July 1, 2014. The Company designated these swaps as fair value hedges.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amounts earned and owed under the swap agreements were accrued each period and were reported in interest expense. There was no ineffectiveness recognized in any of the periods presented. In the second quarter of fiscal 2012, the Company terminated the interest rate swap agreement. The Company received $19.8 million in cash proceeds from the swap termination, which included $1.3 million in accrued interest. As a result of the termination, the carrying value of the 2014 Notes was adjusted for the change in the fair value of the interest component of the debt up to the date of the termination of the swap in an amount equal to the fair value of the swap, and was amortized into earnings as a reduction of interest expense over the remaining life of the debt. During the third quarter of fiscal 2013, in conjunction with the redemption of the 2014 Notes, the Company recognized the remaining $8.6 million in unamortized proceeds received from the termination of the interest rate swap as other, net expense.</w:t>
      </w:r>
    </w:p>
    <w:p>
      <w:pPr>
        <w:spacing w:after="0" w:line="11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February 1, 2014, nonperformance is not perceived to be a significant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67"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The Company records the fair value of its derivative financial instruments in its condensed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or the ineffective portion of designated hedges are reported in earnings as they occur.</w:t>
      </w:r>
    </w:p>
    <w:p>
      <w:pPr>
        <w:spacing w:after="0" w:line="10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February 1, 2014 and November 2, 2013 was $194.6 million and $196.9 million, respectively. The fair values of these hedging instruments in the Company’s condensed consolidated balance sheets as of February 1, 2014 and November 2, 2013 were as follows: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7" w:name="page18"/>
    <w:bookmarkEnd w:id="17"/>
    <w:p>
      <w:pPr>
        <w:ind w:left="9320"/>
        <w:spacing w:after="0"/>
        <w:rPr>
          <w:sz w:val="20"/>
          <w:szCs w:val="20"/>
          <w:color w:val="auto"/>
        </w:rPr>
      </w:pPr>
      <w:r>
        <w:rPr>
          <w:rFonts w:ascii="Arial" w:cs="Arial" w:eastAsia="Arial" w:hAnsi="Arial"/>
          <w:sz w:val="14"/>
          <w:szCs w:val="14"/>
          <w:b w:val="1"/>
          <w:bCs w:val="1"/>
          <w:color w:val="auto"/>
        </w:rPr>
        <w:t>Fair Value At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100" w:type="dxa"/>
            <w:vAlign w:val="bottom"/>
            <w:tcBorders>
              <w:top w:val="single" w:sz="8" w:color="CCEEFF"/>
            </w:tcBorders>
            <w:shd w:val="clear" w:color="auto" w:fill="CCEEFF"/>
          </w:tcPr>
          <w:p>
            <w:pPr>
              <w:spacing w:after="0"/>
              <w:rPr>
                <w:sz w:val="23"/>
                <w:szCs w:val="23"/>
                <w:color w:val="auto"/>
              </w:rPr>
            </w:pPr>
          </w:p>
        </w:tc>
        <w:tc>
          <w:tcPr>
            <w:tcW w:w="3860" w:type="dxa"/>
            <w:vAlign w:val="bottom"/>
            <w:tcBorders>
              <w:top w:val="single" w:sz="8" w:color="CCEEFF"/>
              <w:bottom w:val="single" w:sz="8" w:color="auto"/>
            </w:tcBorders>
            <w:shd w:val="clear" w:color="auto" w:fill="CCEEFF"/>
          </w:tcPr>
          <w:p>
            <w:pPr>
              <w:ind w:left="12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140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w w:val="99"/>
              </w:rPr>
              <w:t>February 1, 2014</w:t>
            </w: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4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4"/>
                <w:szCs w:val="14"/>
                <w:b w:val="1"/>
                <w:bCs w:val="1"/>
                <w:color w:val="auto"/>
                <w:w w:val="95"/>
              </w:rPr>
              <w:t>November 2, 2013</w:t>
            </w: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Forward foreign currency exchange contracts</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2,377</w:t>
            </w:r>
          </w:p>
        </w:tc>
      </w:tr>
      <w:tr>
        <w:trPr>
          <w:trHeight w:val="27"/>
        </w:trPr>
        <w:tc>
          <w:tcPr>
            <w:tcW w:w="4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100" w:type="dxa"/>
            <w:vAlign w:val="bottom"/>
            <w:shd w:val="clear" w:color="auto" w:fill="CCEEFF"/>
          </w:tcPr>
          <w:p>
            <w:pPr>
              <w:spacing w:after="0"/>
              <w:rPr>
                <w:sz w:val="21"/>
                <w:szCs w:val="21"/>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accumulated other comprehensive income into the condensed consolidated statement of income related to forward foreign currency exchange contracts, see Note 5, </w:t>
      </w:r>
      <w:r>
        <w:rPr>
          <w:rFonts w:ascii="Arial" w:cs="Arial" w:eastAsia="Arial" w:hAnsi="Arial"/>
          <w:sz w:val="18"/>
          <w:szCs w:val="18"/>
          <w:i w:val="1"/>
          <w:iCs w:val="1"/>
          <w:color w:val="auto"/>
        </w:rPr>
        <w:t>Accumulated Other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(Loss)</w:t>
      </w:r>
      <w:r>
        <w:rPr>
          <w:rFonts w:ascii="Arial" w:cs="Arial" w:eastAsia="Arial" w:hAnsi="Arial"/>
          <w:sz w:val="18"/>
          <w:szCs w:val="18"/>
          <w:color w:val="auto"/>
        </w:rPr>
        <w:t>.</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All of the Company’s derivative financial instruments are subject to master netting arrangements that allow the Company and its counterparties to net settle amounts owed to each other. Derivative assets and liabilities that can be net settled under these arrangements have been presented in the Company's consolidated balance sheet on a net basis. As of February 1, 2014 and November 2, 2013, none of the master netting arrangements involved collateral. The following table presents the gross amounts of the Company's derivative assets and liabilities and the net amounts recorded in our consolidated balance sheet:</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1, 2014</w:t>
            </w:r>
          </w:p>
        </w:tc>
        <w:tc>
          <w:tcPr>
            <w:tcW w:w="180" w:type="dxa"/>
            <w:vAlign w:val="bottom"/>
          </w:tcPr>
          <w:p>
            <w:pPr>
              <w:spacing w:after="0"/>
              <w:rPr>
                <w:sz w:val="16"/>
                <w:szCs w:val="16"/>
                <w:color w:val="auto"/>
              </w:rPr>
            </w:pPr>
          </w:p>
        </w:tc>
        <w:tc>
          <w:tcPr>
            <w:tcW w:w="142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November 2,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 of recognized (liabilities) assets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Gross amounts offset in the consolidated balance sheet</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(1,950)</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 presented in the consolidated balance sheet (liabilities)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The Company evaluates goodwill for impairment annually,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3) or more frequently if indicators of impairment exist. For the Company’s latest annual impairment assessment that occurred on August 4, 2013, the Company identified its reporting units to be its five operating segments,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in any of the fiscal periods presented. The Company’s next annual impairment assessment will be performed as of the first day of the fourth quarter of fiscal 2014, unless indicators arise that would require the Company to reevaluate at an earlier date. The following table presents the changes in goodwill during the first three months of fiscal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Three Months Ended</w:t>
            </w:r>
          </w:p>
        </w:tc>
      </w:tr>
      <w:tr>
        <w:trPr>
          <w:trHeight w:val="250"/>
        </w:trPr>
        <w:tc>
          <w:tcPr>
            <w:tcW w:w="96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February 1, 2014</w:t>
            </w:r>
          </w:p>
        </w:tc>
      </w:tr>
      <w:tr>
        <w:trPr>
          <w:trHeight w:val="250"/>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November 2,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284,112</w:t>
            </w:r>
          </w:p>
        </w:tc>
      </w:tr>
      <w:tr>
        <w:trPr>
          <w:trHeight w:val="243"/>
        </w:trPr>
        <w:tc>
          <w:tcPr>
            <w:tcW w:w="96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7"/>
        </w:trPr>
        <w:tc>
          <w:tcPr>
            <w:tcW w:w="9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February 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283,167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reviews finite-lived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6" w:right="239" w:bottom="1440" w:gutter="0" w:footer="0" w:header="0"/>
        </w:sectPr>
      </w:pPr>
    </w:p>
    <w:bookmarkStart w:id="18" w:name="page19"/>
    <w:bookmarkEnd w:id="18"/>
    <w:p>
      <w:pPr>
        <w:ind w:right="400"/>
        <w:spacing w:after="0" w:line="277" w:lineRule="auto"/>
        <w:rPr>
          <w:sz w:val="20"/>
          <w:szCs w:val="20"/>
          <w:color w:val="auto"/>
        </w:rPr>
      </w:pPr>
      <w:r>
        <w:rPr>
          <w:rFonts w:ascii="Arial" w:cs="Arial" w:eastAsia="Arial" w:hAnsi="Arial"/>
          <w:sz w:val="18"/>
          <w:szCs w:val="18"/>
          <w:color w:val="auto"/>
        </w:rPr>
        <w:t xml:space="preserve">a discounted cash flow technique. As of February 1, 2014 and November 2, 2013, the Company’s finite-lived intangible assets consisted of the following which related to the acquisition of Multigig, Inc. (See Note 16, </w:t>
      </w:r>
      <w:r>
        <w:rPr>
          <w:rFonts w:ascii="Arial" w:cs="Arial" w:eastAsia="Arial" w:hAnsi="Arial"/>
          <w:sz w:val="18"/>
          <w:szCs w:val="18"/>
          <w:i w:val="1"/>
          <w:iCs w:val="1"/>
          <w:color w:val="auto"/>
        </w:rPr>
        <w:t>Acquisitions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February 1, 2014</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02"/>
              <w:spacing w:after="0"/>
              <w:rPr>
                <w:sz w:val="20"/>
                <w:szCs w:val="20"/>
                <w:color w:val="auto"/>
              </w:rPr>
            </w:pPr>
            <w:r>
              <w:rPr>
                <w:rFonts w:ascii="Arial" w:cs="Arial" w:eastAsia="Arial" w:hAnsi="Arial"/>
                <w:sz w:val="14"/>
                <w:szCs w:val="14"/>
                <w:b w:val="1"/>
                <w:bCs w:val="1"/>
                <w:color w:val="auto"/>
              </w:rPr>
              <w:t>November 2, 2013</w:t>
            </w: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20" w:type="dxa"/>
            <w:vAlign w:val="bottom"/>
          </w:tcPr>
          <w:p>
            <w:pPr>
              <w:ind w:left="4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13"/>
                <w:szCs w:val="13"/>
                <w:color w:val="auto"/>
              </w:rPr>
            </w:pPr>
          </w:p>
        </w:tc>
        <w:tc>
          <w:tcPr>
            <w:tcW w:w="134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tcPr>
          <w:p>
            <w:pPr>
              <w:ind w:left="380"/>
              <w:spacing w:after="0"/>
              <w:rPr>
                <w:sz w:val="20"/>
                <w:szCs w:val="20"/>
                <w:color w:val="auto"/>
              </w:rPr>
            </w:pPr>
            <w:r>
              <w:rPr>
                <w:rFonts w:ascii="Arial" w:cs="Arial" w:eastAsia="Arial" w:hAnsi="Arial"/>
                <w:sz w:val="14"/>
                <w:szCs w:val="14"/>
                <w:b w:val="1"/>
                <w:bCs w:val="1"/>
                <w:color w:val="auto"/>
                <w:w w:val="95"/>
              </w:rPr>
              <w:t>Amortization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6"/>
                <w:szCs w:val="16"/>
                <w:color w:val="auto"/>
              </w:rPr>
            </w:pPr>
          </w:p>
        </w:tc>
        <w:tc>
          <w:tcPr>
            <w:tcW w:w="1340" w:type="dxa"/>
            <w:vAlign w:val="bottom"/>
          </w:tcPr>
          <w:p>
            <w:pPr>
              <w:ind w:left="140"/>
              <w:spacing w:after="0"/>
              <w:rPr>
                <w:sz w:val="20"/>
                <w:szCs w:val="20"/>
                <w:color w:val="auto"/>
              </w:rPr>
            </w:pPr>
            <w:r>
              <w:rPr>
                <w:rFonts w:ascii="Arial" w:cs="Arial" w:eastAsia="Arial" w:hAnsi="Arial"/>
                <w:sz w:val="14"/>
                <w:szCs w:val="14"/>
                <w:b w:val="1"/>
                <w:bCs w:val="1"/>
                <w:color w:val="auto"/>
              </w:rPr>
              <w:t>Amortization</w:t>
            </w:r>
          </w:p>
        </w:tc>
      </w:tr>
      <w:tr>
        <w:trPr>
          <w:trHeight w:val="243"/>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Technology-based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102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403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348</w:t>
            </w: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For the three-month periods ended February 1, 2014 and February 2, 2013, amortization expense related to finite-lived intangible assets was $0.1 million and $0.1 million, respectively. The remaining amortization expense will be recognized over a period of approximately 3.3 years.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expects annual amortization expense for intangible assets to be: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2060" w:type="dxa"/>
            <w:vAlign w:val="bottom"/>
          </w:tcPr>
          <w:p>
            <w:pPr>
              <w:jc w:val="right"/>
              <w:ind w:right="254"/>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360" w:type="dxa"/>
            <w:vAlign w:val="bottom"/>
            <w:gridSpan w:val="3"/>
            <w:vMerge w:val="restart"/>
          </w:tcPr>
          <w:p>
            <w:pPr>
              <w:ind w:left="40"/>
              <w:spacing w:after="0"/>
              <w:rPr>
                <w:sz w:val="20"/>
                <w:szCs w:val="20"/>
                <w:color w:val="auto"/>
              </w:rPr>
            </w:pPr>
            <w:r>
              <w:rPr>
                <w:rFonts w:ascii="Arial" w:cs="Arial" w:eastAsia="Arial" w:hAnsi="Arial"/>
                <w:sz w:val="18"/>
                <w:szCs w:val="18"/>
                <w:color w:val="auto"/>
              </w:rPr>
              <w:t>Remainder of fiscal 2014</w:t>
            </w: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360" w:type="dxa"/>
            <w:vAlign w:val="bottom"/>
            <w:gridSpan w:val="3"/>
            <w:vMerge w:val="continue"/>
          </w:tcPr>
          <w:p>
            <w:pPr>
              <w:spacing w:after="0"/>
              <w:rPr>
                <w:sz w:val="20"/>
                <w:szCs w:val="20"/>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8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864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640" w:type="dxa"/>
            <w:vAlign w:val="bottom"/>
            <w:shd w:val="clear" w:color="auto" w:fill="CCEEFF"/>
          </w:tcPr>
          <w:p>
            <w:pPr>
              <w:spacing w:after="0"/>
              <w:rPr>
                <w:sz w:val="21"/>
                <w:szCs w:val="21"/>
                <w:color w:val="auto"/>
              </w:rPr>
            </w:pPr>
          </w:p>
        </w:tc>
        <w:tc>
          <w:tcPr>
            <w:tcW w:w="2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40" w:firstLine="432"/>
        <w:spacing w:after="0" w:line="342" w:lineRule="auto"/>
        <w:rPr>
          <w:sz w:val="20"/>
          <w:szCs w:val="20"/>
          <w:color w:val="auto"/>
        </w:rPr>
      </w:pPr>
      <w:r>
        <w:rPr>
          <w:rFonts w:ascii="Arial" w:cs="Arial" w:eastAsia="Arial" w:hAnsi="Arial"/>
          <w:sz w:val="16"/>
          <w:szCs w:val="16"/>
          <w:color w:val="auto"/>
        </w:rPr>
        <w:t>Indefinite-lived intangible assets are tested for impairment on an annual basis on the first day of the fourth quarter (on or about August 3) or more frequently if indicators of impairment exist. No impairment of intangible assets resulted from the impairment tests in any of the fiscal periods presented.</w:t>
      </w:r>
    </w:p>
    <w:p>
      <w:pPr>
        <w:spacing w:after="0" w:line="7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Intangible assets, excluding in-process research and development (IPR&amp;D), are amortized on a straight-line basis over their estimated useful lives or on an accelerated method of amortization that is expected to reflect the estimated pattern of economic use. IPR&amp;D assets are considered indefinite-lived intangible assets until completion or abandonment of the associated research and development efforts. Upon completion of the projects, the IPR&amp;D assets will be amortized over their estimated useful lives.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Indefinite-lived intangible assets consisted of $27.8 million of IPR&amp;D as of February 1, 2014 and November 2,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Pension Plans</w:t>
      </w:r>
    </w:p>
    <w:p>
      <w:pPr>
        <w:spacing w:after="0" w:line="94"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1, 2014</w:t>
            </w: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Arial" w:cs="Arial" w:eastAsia="Arial" w:hAnsi="Arial"/>
                <w:sz w:val="14"/>
                <w:szCs w:val="14"/>
                <w:b w:val="1"/>
                <w:bCs w:val="1"/>
                <w:color w:val="auto"/>
                <w:w w:val="99"/>
              </w:rPr>
              <w:t>February 2,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3,137</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Amortization of initial net obligation</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748</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pension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Pension contributions of $4.6 million were made by the Company during the three months ended February 1, 2014. The Company presently anticipates contributing an additional $12.9 million to fund its defined benefit pension plans in fiscal year 2014 for a total of $17.5 million.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13 – Revolving Credit Facility</w:t>
      </w:r>
    </w:p>
    <w:p>
      <w:pPr>
        <w:spacing w:after="0" w:line="229"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color w:val="auto"/>
        </w:rPr>
        <w:t>As of February 1, 2014, the Company had $4,701.1 million of cash and cash equivalents and short-term investments, of which $1,244.1 million was held in the United States. The balance of the Company's cash and cash equivalents and short-term investments was held outside the United States in various foreign subsidiaries. As the Company intends to reinvest its foreign earnings indefinitely, this cash is not available to meet the Company's cash requirements in the United States, including cash dividends and common stock repurchases. During December 2012, the Company terminated its five-year, $165.0 million unsecured revolving credit facility with certain institutional lenders entered into in May 2008. On December 19, 2012, the Company entered into a five-year, $500.0 million senior unsecured revolving credit facility with certain institutional lenders (the Credit Agreement). To date, the Company has not borrowed under this credit facility but the Company may borrow in the future and use the proceeds for repayment of existing indebtedness, stock repurchases, acquisitions, capital expenditures, working capital and other lawful corporate purposes. Revolving loans under the Credit Agreement (other than swing line loans) bear interest, at the Company's option, at either a rate equal to (a) the Eurodollar Rate (as defined in the Credit Agreement) plus a margin based on the Company's debt rating or (b) the Base Rate (defined as the highest of (i) the Bank of America prime rate, (ii) the Federal Funds Rate (as defined in the Credit Agreement) plus .50% and (iii) one month Eurodollar Rate plus 1.00%) plus a margin based on the Company's debt rating. The terms of the facility impose restrictions on the Company’s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February 1, 2014, the Company was compliant with these covenants.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Debt</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June 30, 2009, the Company issued $375.0 million aggregate principal amount of 5.0% senior unsecured notes due July 1, 2014 (the 2014 Notes) with semi-annual fixed interest payments due on January 1 and July 1 of each year, commencing January 1, 2010. The sale of the 2014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were amortized over the term of the 2014 Notes.</w:t>
      </w:r>
    </w:p>
    <w:p>
      <w:pPr>
        <w:spacing w:after="0" w:line="11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On June 30, 2009, the Company entered into interest rate swap transactions related to its outstanding 2014 Notes where the Company swapped the notional amount of its $375.0 million of fixed rate debt at 5.0% into floating interest rate debt through July 1, 2014</w:t>
      </w:r>
      <w:r>
        <w:rPr>
          <w:rFonts w:ascii="Arial" w:cs="Arial" w:eastAsia="Arial" w:hAnsi="Arial"/>
          <w:sz w:val="17"/>
          <w:szCs w:val="17"/>
          <w:color w:val="FF0000"/>
        </w:rPr>
        <w:t>.</w:t>
      </w:r>
      <w:r>
        <w:rPr>
          <w:rFonts w:ascii="Arial" w:cs="Arial" w:eastAsia="Arial" w:hAnsi="Arial"/>
          <w:sz w:val="17"/>
          <w:szCs w:val="17"/>
          <w:color w:val="auto"/>
        </w:rPr>
        <w:t xml:space="preserve">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 In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Company's condensed consolidated statements of cash flows. As a result of the termination, the carrying value of the 2014 Notes was adjusted for the change in the fair value of the interest component of the debt up to the date of the termination of the swap in an amount equal to the fair value of the swap, and was amortized into earnings as a reduction of interest expense over the remaining life of the debt. During the third quarter of fiscal 2013, in conjunction with the redemption of the 2014 Notes, the Company recognized the remaining $8.6 million unamortized proceeds received from the termination of the interest rate swap as other, net expense, within non-operating (income) expense.</w:t>
      </w:r>
    </w:p>
    <w:p>
      <w:pPr>
        <w:spacing w:after="0" w:line="4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During the third quarter of fiscal 2013, the Company redeemed its outstanding 2014 Notes. The redemption price was 104.744% of the principal amount of the 2014 Notes. The Company applied the provisions of Accounting Standards Codification (ASC) Subtopic 470-50, </w:t>
      </w:r>
      <w:r>
        <w:rPr>
          <w:rFonts w:ascii="Arial" w:cs="Arial" w:eastAsia="Arial" w:hAnsi="Arial"/>
          <w:sz w:val="17"/>
          <w:szCs w:val="17"/>
          <w:i w:val="1"/>
          <w:iCs w:val="1"/>
          <w:color w:val="auto"/>
        </w:rPr>
        <w:t>Modifications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Extinguishments </w:t>
      </w:r>
      <w:r>
        <w:rPr>
          <w:rFonts w:ascii="Arial" w:cs="Arial" w:eastAsia="Arial" w:hAnsi="Arial"/>
          <w:sz w:val="17"/>
          <w:szCs w:val="17"/>
          <w:color w:val="auto"/>
        </w:rPr>
        <w:t>(ASC 470-50) in order to determine if the terms of the debt were substantially different and, as a result, whether to apply modification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extinguishment accounting. The Company concluded that the debt transaction qualified as a debt extinguishment and as a result recognized a net loss on debt extinguishment of approximately $10.2 million recorded in other, net expense within non-operating (income) expense. This loss was comprised of the make-whole premium of $17.8 million paid to bondholders on the 2014 Notes in accordance with the terms of the notes, the recognition of the remaining $8.6 million of unamortized proceeds received from the termination of the interest rate swap associated with the debt, and the write off of approximately $1.0 million of debt issuance and discount costs that remained to be amortized. The write off of the remaining unamortized portion of debt issuance costs, discount and swap proceeds were reflected in the Company's condensed consolidated statements of cash flows within operating activities, and the make-whole premium is reflected within financing activities.</w:t>
      </w:r>
    </w:p>
    <w:p>
      <w:pPr>
        <w:spacing w:after="0" w:line="29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On December 22, 2010, Analog Devices Holdings B.V., a wholly owned subsidiary of the Company, entered into a credit agreement with Bank of America, N.A., London Branch as administrative agent. The borrower’s obligations were guaranteed by the Company. The credit agreement provided for a term loan facility of $145.0 million, which was set to mature 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0" w:name="page21"/>
    <w:bookmarkEnd w:id="20"/>
    <w:p>
      <w:pPr>
        <w:spacing w:after="0" w:line="272" w:lineRule="auto"/>
        <w:rPr>
          <w:sz w:val="20"/>
          <w:szCs w:val="20"/>
          <w:color w:val="auto"/>
        </w:rPr>
      </w:pPr>
      <w:r>
        <w:rPr>
          <w:rFonts w:ascii="Arial" w:cs="Arial" w:eastAsia="Arial" w:hAnsi="Arial"/>
          <w:sz w:val="17"/>
          <w:szCs w:val="17"/>
          <w:color w:val="auto"/>
        </w:rPr>
        <w:t>December 22, 2013. During the first quarter of fiscal 2013, the Company repaid the remaining outstanding principal balance on the loan of $60.1 million and the credit agreement was terminated. The terms of the agreement provided for a three year principal amortization schedule with $3.6 million payable quarterly every March, June, September and December with the balance payable upon the maturity date. During fiscal 2011 and fiscal 2012, the Company made additional principal payments of $17.5 million and $42.0 million, respectively. The loan bore interest at a fluctuating rate for each period equal to the LIBOR rate corresponding with the tenor of the interest period plus a spread of 1.25%. The terms of this facility included limitations on subsidiary indebtedness and on liens against the assets of the Company and its subsidiaries, and also included financial covenants that required the Company to maintain a minimum interest coverage ratio and not exceed a maximum leverage ratio.</w:t>
      </w:r>
    </w:p>
    <w:p>
      <w:pPr>
        <w:spacing w:after="0" w:line="124"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On April 4, 2011, the Company issued $375.0 million aggregate principal amount of 3.0% senior unsecured notes due April 15, 2016 (the 2016 Notes) with semi-annual fixed interest payments due on April 15 and October 15 of each year, commencing October 15, 2011. The sale of the 2016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discounts and commissions, which will be amortized over the term of the 2016 Notes. The indenture governing the 2016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February 1, 2014, the Company was compliant with these covenants. The 2016 Notes are subordinated to any future secured debt and to the other liabilities of the Company’s subsidiaries.</w:t>
      </w:r>
    </w:p>
    <w:p>
      <w:pPr>
        <w:spacing w:after="0" w:line="113" w:lineRule="exact"/>
        <w:rPr>
          <w:sz w:val="20"/>
          <w:szCs w:val="20"/>
          <w:color w:val="auto"/>
        </w:rPr>
      </w:pPr>
    </w:p>
    <w:p>
      <w:pPr>
        <w:ind w:right="80" w:firstLine="432"/>
        <w:spacing w:after="0" w:line="268" w:lineRule="auto"/>
        <w:rPr>
          <w:sz w:val="20"/>
          <w:szCs w:val="20"/>
          <w:color w:val="auto"/>
        </w:rPr>
      </w:pPr>
      <w:r>
        <w:rPr>
          <w:rFonts w:ascii="Arial" w:cs="Arial" w:eastAsia="Arial" w:hAnsi="Arial"/>
          <w:sz w:val="17"/>
          <w:szCs w:val="17"/>
          <w:color w:val="auto"/>
        </w:rPr>
        <w:t>On June 3, 2013, the Company issued $500.0 million aggregate principal amount of 2.875% senior unsecured notes due June 1, 2023 (the 2023 Notes) with semi-annual fixed interest payments due on June 1 and December 1 of each year, commencing December 1, 2013. Prior to issuing the 2023 Notes, on April 24, 2013, the Company entered into a treasury rate lock agreement with Bank of America. This agreement allowed the Company to lock a 10-year US Treasury rate of 1.7845% through June 14, 2013 for its anticipated issuance of the 2023 Notes. Upon issuing the 2023 Notes, the Company simultaneously terminated the treasury rate lock agreement resulting in a gain of approximately $11.0 million. This gain will be amortized into interest expense over the 10-year term of the 2023 Notes. The sale of the 2023 Notes was made pursuant to the terms of an underwriting agreement, dated as of May 22, 2013, among the Company and J.P. Morgan Securities LLC, Merrill Lynch, Pierce, Fenner &amp; Smith Incorporated and Credit Suisse Securities (USA) LLC, as the representatives of the several underwriters named therein. The net proceeds of the offering were $493.9 million, after discount and issuance costs. Debt discount and issuance costs will be amortized through interest expense over the term of the 2023 Notes. The indenture governing the 2023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February 1, 2014, the Company was compliant with these covenants. The notes are subordinated to any future secured debt and to the other liabilities of the Company's subsidiaries.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principal payments related to its debt obligations are due as follows: $375.0 million in fiscal 2016 and $500.0 million in fiscal 2023.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Inventories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at February 1, 2014 and November 2, 2013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1, 2014</w:t>
            </w:r>
          </w:p>
        </w:tc>
        <w:tc>
          <w:tcPr>
            <w:tcW w:w="180" w:type="dxa"/>
            <w:vAlign w:val="bottom"/>
          </w:tcPr>
          <w:p>
            <w:pPr>
              <w:spacing w:after="0"/>
              <w:rPr>
                <w:sz w:val="16"/>
                <w:szCs w:val="16"/>
                <w:color w:val="auto"/>
              </w:rPr>
            </w:pPr>
          </w:p>
        </w:tc>
        <w:tc>
          <w:tcPr>
            <w:tcW w:w="142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November 2, 2013</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19,641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182,361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175,155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87,949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88,541</w:t>
            </w:r>
          </w:p>
        </w:tc>
      </w:tr>
      <w:tr>
        <w:trPr>
          <w:trHeight w:val="257"/>
        </w:trPr>
        <w:tc>
          <w:tcPr>
            <w:tcW w:w="812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289,935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283,337</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Acquisitions</w:t>
      </w:r>
    </w:p>
    <w:p>
      <w:pPr>
        <w:spacing w:after="0" w:line="9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On March 30, 2012, the Company acquired privately-held Multigig, Inc. (Multigig) of San Jose, California. The acquisition of Multigig is expected to enhance the Company’s clocking capabilities in stand-alone and embedded applications and strengthen the Company’s high speed signal processing solutions. The acquisition-date fair value of the consideration transferred totaled $26.8 million, which consisted of $24.2 million in initial cash payments at closing and an additional $2.6 million subject to an indemnification holdback that was payable within 15 months of the transaction date. During the third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p>
      <w:pPr>
        <w:ind w:right="20"/>
        <w:spacing w:after="0" w:line="287" w:lineRule="auto"/>
        <w:rPr>
          <w:sz w:val="20"/>
          <w:szCs w:val="20"/>
          <w:color w:val="auto"/>
        </w:rPr>
      </w:pPr>
      <w:r>
        <w:rPr>
          <w:rFonts w:ascii="Arial" w:cs="Arial" w:eastAsia="Arial" w:hAnsi="Arial"/>
          <w:sz w:val="16"/>
          <w:szCs w:val="16"/>
          <w:color w:val="auto"/>
        </w:rPr>
        <w:t>quarter of fiscal 2012, the Company reduced this holdback amount by $0.1 million as a result of indemnification claims. During the third quarter of fiscal 2013, the Company paid the remaining $2.5 million due under the holdback. The Company’s assessment of fair value of the tangible and intangible assets acquired and liabilities assumed was based on their estimated fair values at the date of acquisition, resulting in the recognition of $15.6 million of IPR&amp;D, $1.1 million of developed technology, $7.0 million of goodwill and $3.1 million of net deferred tax assets. The goodwill recognized is attributable to future technologies that have yet to be determined as well as the assembled workforce of Multigig. Future technologies do not meet the criteria for recognition separately from goodwill because they are a part of future development and growth of the business. None of the goodwill is expected to be deductible for tax purposes. During the fourth quarter of fiscal 2012, the Company finalized its purchase accounting for Multigig, which resulted in adjustments of $0.4 million to deferred taxes and goodwill. In addition, the Company will be obligated to pay royalties to the Multigig employees on revenue recognized from the sale of certain Multigig products through the earlier of 5 years or the aggregate maximum payment of $1.0 million. Royalty payments to Multigig employees require post-acquisition services to be rendered and, as such, the Company will record these amounts as compensation expense in the related periods. As of February 1, 2014, no royalty payments have been made. The Company recognized $0.5 million of acquisition-related costs that were expensed in fiscal 2012, which were included in operating expenses in the Company's condensed consolidated statement of income.</w:t>
      </w:r>
    </w:p>
    <w:p>
      <w:pPr>
        <w:spacing w:after="0" w:line="115"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On June 9, 2011, the Company acquired privately-held Lyric Semiconductor, Inc. (Lyric) of Cambridge, Massachusetts. The acquisition of Lyric gives the Company the potential to achieve significant improvement in power efficiency in mixed signal processing. The acquisition-date fair value of the consideration transferred totaled $27.8 million, which consisted of $14.0 million in initial cash payments at closing and contingent consideration of up to $13.8 million. The contingent consideration arrangement requires additional cash payments to the former equity holders of Lyric upon the achievement of certain technological and product development milestones payable during the period from June 2011 through June 2016. The Company estimated the fair value of the contingent consideration arrangement utilizing the income approach. Changes in the fair value of the contingent consideration subsequent to the acquisition date primarily driven by assumptions pertaining to the achievement of the defined milestones will be recognized in operating income in the period of the estimated fair value change. As of February 1, 2014, the Company had paid $10.0 million in contingent consideration. These payments are reflected in the Company's condensed consolidated statements of cash flows as cash used in financing activities related to the liability recognized at fair value as of the acquisition date and cash provided by operating activities related to the fair value adjustments previously recognized in earnings. The Company’s assessment of fair value of the tangible and intangible assets acquired and liabilities assumed was based on their estimated fair values at the date of acquisition, resulting in the recognition of $12.2 million of IPR&amp;D, $18.9 million of goodwill and $3.3 million of net deferred tax liabilities. The goodwill recognized is attributable to future technologies that have yet to be determined as well as the assembled workforce of Lyric. Future technologies do not meet the criteria for recognition separately from goodwill because they are a part of future development and growth of the business. None of the goodwill is expected to be deductible for tax purposes. The fair value of the remaining contingent consideration was approximately $4.7 million as of February 1, 2014, of which $3.8 million is included in accrued liabilities and $0.9 million is included in other non-current liabilities in the Company's condensed consolidated balance sheet. In addition, the Company will be obligated to pay royalties to the former equity holders of Lyric on revenue recognized from the sale of Lyric products and licenses through the earlier of 20 years or the accrual of a maximum of $25.0 million. Royalty payments to Lyric employees require post-acquisition services to be rendered and, as such, the Company will record these amounts as compensation expense in the related periods. As of February 1, 2014, no royalty payments have been made. The Company recognized $0.2 million of acquisition-related costs that were expensed in fiscal 2011, which were included in operating expenses in the Company's condensed consolidated statement of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9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from that which is reflected in the historical income tax provisions and accruals. Such differences could have a material impact on the Company’s income tax provision and operating results in the period in which such determination is made.</w:t>
      </w:r>
    </w:p>
    <w:p>
      <w:pPr>
        <w:spacing w:after="0" w:line="8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Company’s effective tax rate reflects the applicable tax rate in effect in the various tax jurisdictions around the world where our income is earned. The Company's effective tax rate for all periods presented is lower than the U.S. federal statutory rate of 35% primarily due to lower statutory tax rates applicable to the Company's operations in jurisdictions in which the Company operates.</w:t>
      </w:r>
    </w:p>
    <w:p>
      <w:pPr>
        <w:spacing w:after="0" w:line="8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has filed a petition with the U.S. Tax Court for one open matter for fiscal years 2006 and 2007 that pertains to Section 965 of the Internal Revenue Code related to the beneficial tax treatment of dividends paid from foreign owned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665" w:right="279" w:bottom="1440" w:gutter="0" w:footer="0" w:header="0"/>
        </w:sectPr>
      </w:pPr>
    </w:p>
    <w:bookmarkStart w:id="22" w:name="page23"/>
    <w:bookmarkEnd w:id="22"/>
    <w:p>
      <w:pPr>
        <w:ind w:right="60"/>
        <w:spacing w:after="0" w:line="293" w:lineRule="auto"/>
        <w:rPr>
          <w:sz w:val="20"/>
          <w:szCs w:val="20"/>
          <w:color w:val="auto"/>
        </w:rPr>
      </w:pPr>
      <w:r>
        <w:rPr>
          <w:rFonts w:ascii="Arial" w:cs="Arial" w:eastAsia="Arial" w:hAnsi="Arial"/>
          <w:sz w:val="16"/>
          <w:szCs w:val="16"/>
          <w:color w:val="auto"/>
        </w:rPr>
        <w:t>companies under The American Jobs Creation Act. The potential liability for this adjustment is $36.5 million. On September 18, 2013, in a matter not involving the Company, the U.S. Tax Court held that accounts receivable created under Rev. Proc. 99-32 may constitute indebtedness for purposes of Section 965 (b)(3) of the Internal Revenue Code and that the IRS was not precluded from reducing the beneficial dividend received deduction because of the increase in related-party indebtedness (BMC Software Inc. v Commissioner, 141 T.C. No. 5 2013). After analyzing the Tax Court’s decision, the Company has determined that its tax position with respect to Section 965(b)(3) of the Internal Revenue Code no longer meets the more likely than not standard of recognition for accounting purposes. Accordingly, the Company recorded a $36.5 million reserve for this matter in the fourth quarter of fiscal 2013.</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 of the Company's U.S. federal tax returns for years prior to fiscal year 2010 are subject to examination.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 of the Company's Ireland tax returns for years prior to fiscal year 2009 are subject to examination.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Tax Benefits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changes in the total amounts of unrealized tax benefits for the three months ended February 1, 2014.</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Unrealized Tax Benefits</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Balance, November 2, 2013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4"/>
              <w:spacing w:after="0"/>
              <w:rPr>
                <w:sz w:val="20"/>
                <w:szCs w:val="20"/>
                <w:color w:val="auto"/>
              </w:rPr>
            </w:pPr>
            <w:r>
              <w:rPr>
                <w:rFonts w:ascii="Arial" w:cs="Arial" w:eastAsia="Arial" w:hAnsi="Arial"/>
                <w:sz w:val="18"/>
                <w:szCs w:val="18"/>
                <w:color w:val="auto"/>
              </w:rPr>
              <w:t>68,139</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February 1, 2014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68,854</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New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 xml:space="preserve">In January 2013, the FASB issued ASU No. 2013-02, </w:t>
      </w:r>
      <w:r>
        <w:rPr>
          <w:rFonts w:ascii="Arial" w:cs="Arial" w:eastAsia="Arial" w:hAnsi="Arial"/>
          <w:sz w:val="17"/>
          <w:szCs w:val="17"/>
          <w:i w:val="1"/>
          <w:iCs w:val="1"/>
          <w:color w:val="auto"/>
        </w:rPr>
        <w:t>Reporting of Amounts Reclassified out of Accumulated Other Comprehensive Income</w:t>
      </w:r>
      <w:r>
        <w:rPr>
          <w:rFonts w:ascii="Arial" w:cs="Arial" w:eastAsia="Arial" w:hAnsi="Arial"/>
          <w:sz w:val="17"/>
          <w:szCs w:val="17"/>
          <w:color w:val="auto"/>
        </w:rPr>
        <w:t xml:space="preserve"> (ASU No. 2013-02), which seek to improve the reporting of reclassifications out of accumulated other comprehensive income by requiring an entity to report the effect of significant 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The amendments in ASU No. 2013-02 supersede the presentation requirements for reclassifications out of accumulated other comprehensive income in ASU No. 2011-05,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xml:space="preserve">, and ASU No. 2011-12, </w:t>
      </w:r>
      <w:r>
        <w:rPr>
          <w:rFonts w:ascii="Arial" w:cs="Arial" w:eastAsia="Arial" w:hAnsi="Arial"/>
          <w:sz w:val="17"/>
          <w:szCs w:val="17"/>
          <w:i w:val="1"/>
          <w:iCs w:val="1"/>
          <w:color w:val="auto"/>
        </w:rPr>
        <w:t>Deferral of the Effective Date for</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Amendments to the Presentation of Reclassifications of Items Out of Accumulated Other Comprehensive Income in Accounting Standards Update No. 2011-05</w:t>
      </w:r>
      <w:r>
        <w:rPr>
          <w:rFonts w:ascii="Arial" w:cs="Arial" w:eastAsia="Arial" w:hAnsi="Arial"/>
          <w:sz w:val="17"/>
          <w:szCs w:val="17"/>
          <w:color w:val="auto"/>
        </w:rPr>
        <w:t>. ASU No. 2013-02 is effective for fiscal years, and interim periods within those years, beginning after December 15, 2012, which is the Company's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year 2014. The adoption of ASU No. 2013-02 in the first quarter of fiscal 2014 required additional disclosures related to comprehensive income but did not impact the Company's financial condition or results of operations.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Balance Sheet</w:t>
      </w:r>
    </w:p>
    <w:p>
      <w:pPr>
        <w:spacing w:after="0" w:line="90"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 xml:space="preserve">In December 2011, the FASB issued ASU No. 2011-11,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xml:space="preserve"> (ASU No. 2011-11). ASU No. 2011-11 amended ASC 210, </w:t>
      </w:r>
      <w:r>
        <w:rPr>
          <w:rFonts w:ascii="Arial" w:cs="Arial" w:eastAsia="Arial" w:hAnsi="Arial"/>
          <w:sz w:val="17"/>
          <w:szCs w:val="17"/>
          <w:i w:val="1"/>
          <w:iCs w:val="1"/>
          <w:color w:val="auto"/>
        </w:rPr>
        <w:t>Balance Sheet,</w:t>
      </w:r>
      <w:r>
        <w:rPr>
          <w:rFonts w:ascii="Arial" w:cs="Arial" w:eastAsia="Arial" w:hAnsi="Arial"/>
          <w:sz w:val="17"/>
          <w:szCs w:val="17"/>
          <w:color w:val="auto"/>
        </w:rPr>
        <w:t xml:space="preserve"> to converge the presentation of offsetting assets and liabilities between U.S. GAAP and IFRS. ASU No. 2011-11 requires that entities disclose both gross information and net information about both instruments and transactions eligible for offset in the statement of financial position and instruments and transactions subject to an agreement similar to a master netting arrangement. ASU No. 2011-11 is effective for fiscal years, and interim periods within those years, beginning after January 1, 2013, which is the Company’s fiscal year 2014. Subsequently, in January 2013, the FASB issued ASU No. 2013-01, </w:t>
      </w:r>
      <w:r>
        <w:rPr>
          <w:rFonts w:ascii="Arial" w:cs="Arial" w:eastAsia="Arial" w:hAnsi="Arial"/>
          <w:sz w:val="17"/>
          <w:szCs w:val="17"/>
          <w:i w:val="1"/>
          <w:iCs w:val="1"/>
          <w:color w:val="auto"/>
        </w:rPr>
        <w:t>Clarifying the Scope of Disclosures about offsetting Assets and Liabilities</w:t>
      </w:r>
      <w:r>
        <w:rPr>
          <w:rFonts w:ascii="Arial" w:cs="Arial" w:eastAsia="Arial" w:hAnsi="Arial"/>
          <w:sz w:val="17"/>
          <w:szCs w:val="17"/>
          <w:color w:val="auto"/>
        </w:rPr>
        <w:t>, which clarifies that the scope of ASU No. 2011-11 applies to derivatives accounted for in accordance with Topic 815, Derivatives and Hedging, including bifurcated embedded derivatives, repurchase agreements and reverse repurchase agreements, and securities borrowing and securities lending transactions that are either offset in accordance with Section 210-20-45 or Section 815-10-45 or subject to an enforceable master netting arrangement or similar agreement. The adoption of ASU No. 2011-11 and ASU No. 2013-01 in the first quarter of fiscal 2014 required additional disclosures related to offsetting assets and liabilities but did not impact the Company's financial condition or results of operations.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0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Standards to be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In July 2013, the FASB issued ASU No. 2013-11, </w:t>
      </w:r>
      <w:r>
        <w:rPr>
          <w:rFonts w:ascii="Arial" w:cs="Arial" w:eastAsia="Arial" w:hAnsi="Arial"/>
          <w:sz w:val="17"/>
          <w:szCs w:val="17"/>
          <w:i w:val="1"/>
          <w:iCs w:val="1"/>
          <w:color w:val="auto"/>
        </w:rPr>
        <w:t>Presentation of an Unrecognized Tax Benefit When a Net Operating Loss Carryforward, a Similar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 Loss, or a Tax Credit Carryforward Exists </w:t>
      </w:r>
      <w:r>
        <w:rPr>
          <w:rFonts w:ascii="Arial" w:cs="Arial" w:eastAsia="Arial" w:hAnsi="Arial"/>
          <w:sz w:val="17"/>
          <w:szCs w:val="17"/>
          <w:color w:val="auto"/>
        </w:rPr>
        <w:t>(ASU No. 2013-11). ASU No. 2013-11 requires that an unrecognized tax benefit, or a portion of an</w:t>
      </w:r>
      <w:r>
        <w:rPr>
          <w:rFonts w:ascii="Arial" w:cs="Arial" w:eastAsia="Arial" w:hAnsi="Arial"/>
          <w:sz w:val="17"/>
          <w:szCs w:val="17"/>
          <w:i w:val="1"/>
          <w:iCs w:val="1"/>
          <w:color w:val="auto"/>
        </w:rPr>
        <w:t xml:space="preserve"> </w:t>
      </w:r>
      <w:r>
        <w:rPr>
          <w:rFonts w:ascii="Arial" w:cs="Arial" w:eastAsia="Arial" w:hAnsi="Arial"/>
          <w:sz w:val="17"/>
          <w:szCs w:val="17"/>
          <w:color w:val="auto"/>
        </w:rPr>
        <w:t>unrecognized tax benefit, should be presented as a reduction to a deferred tax asset for a net operating loss carryforward, a similar tax loss or a tax credit carryforward, with certain exceptions. ASU No. 2013-11 is effective for fiscal years, and interim periods within those years, beginning after December 15, 2013, which is the Company's first quarter of fiscal year 2015. The adoption of ASU No. 2013-11 in the first quarter of fiscal 2015 will affect the presentation of the Company's unrecognized tax benefits but will not impact the Company's financial condition or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On February 17, 2014, the Board of Directors of the Company declared a cash dividend of $0.37 per outstanding share of common stock. The dividend will be paid on March 11, 2014 to all shareholders of record at the close of business on February 28, 2014.</w:t>
      </w:r>
    </w:p>
    <w:p>
      <w:pPr>
        <w:spacing w:after="0" w:line="7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Also on February 17, 2014, the Board of Directors of the Company approved an increase to the Company's stock repurchase program authorization to $1.0 billion. Under the program, the Company may repurchase outstanding shares of common stock from time to time in the open market or through privately negotiated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65" w:right="259" w:bottom="1440" w:gutter="0" w:footer="0" w:header="0"/>
        </w:sectPr>
      </w:pPr>
    </w:p>
    <w:bookmarkStart w:id="24" w:name="page25"/>
    <w:bookmarkEnd w:id="24"/>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2, 2013.</w:t>
      </w:r>
    </w:p>
    <w:p>
      <w:pPr>
        <w:spacing w:after="0" w:line="11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and "will," and variations of such words and similar expressions are intended to identify such forward-looking statements. In addition, any statements that refer to projections regarding our future financial performance; our anticipated growth and trends in our businesses; our future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herein. Therefore, actual results may differ materially and adversely from those expressed in any forward-looking statements. We undertake no obligation to revise or update any forward-looking statements except to the extent required by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r>
      <w:tr>
        <w:trPr>
          <w:trHeight w:val="264"/>
        </w:trPr>
        <w:tc>
          <w:tcPr>
            <w:tcW w:w="5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1, 2014</w:t>
            </w:r>
          </w:p>
        </w:tc>
        <w:tc>
          <w:tcPr>
            <w:tcW w:w="18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 2013</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628,238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622,134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152,586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131,222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21,364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 xml:space="preserve">The year-to-year revenue changes by end market and product type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February 1, 2014</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February 2, 2013</w:t>
            </w: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2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3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4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290,365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281,209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124,157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107,760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74,119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107,356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139,597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125,809</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628,238</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622,134</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8890</wp:posOffset>
            </wp:positionV>
            <wp:extent cx="17068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8890</wp:posOffset>
            </wp:positionV>
            <wp:extent cx="16979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-130175</wp:posOffset>
            </wp:positionV>
            <wp:extent cx="17068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-130175</wp:posOffset>
            </wp:positionV>
            <wp:extent cx="16979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4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year-to-year decrease in revenue in the consumer end market was primarily the result of the sale of our microphone product line in the fourth quarter of fiscal 2013. Automotive end market revenue increased in the three-month period ended February 1, 2014 as compared to the three-month period ended February 2, 2013 primarily as a result of increasing electronic content in vehicles and higher demand for new vehicles. Communications end market revenue increased in the three-month period ended February 1, 2014 as compared to the three-month period ended February 2, 2013 primarily as a result of increased wireless base station deployment activity in China.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February 1, 2014</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February 2, 2013</w:t>
            </w: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4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3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34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290,551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277,940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Amplifiers / Radio frequency</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164,714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460" w:type="dxa"/>
            <w:vAlign w:val="bottom"/>
            <w:gridSpan w:val="2"/>
          </w:tcPr>
          <w:p>
            <w:pPr>
              <w:jc w:val="right"/>
              <w:ind w:right="8"/>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157,978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79,419</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95,158</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Subtotal analog signal processing</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534,684</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60" w:type="dxa"/>
            <w:vAlign w:val="bottom"/>
            <w:gridSpan w:val="2"/>
          </w:tcPr>
          <w:p>
            <w:pPr>
              <w:jc w:val="right"/>
              <w:ind w:right="8"/>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531,076</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38,710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39,382</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573,394</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570,458</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54,844</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51,676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628,238</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622,134</w:t>
            </w:r>
          </w:p>
        </w:tc>
        <w:tc>
          <w:tcPr>
            <w:tcW w:w="12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8890</wp:posOffset>
            </wp:positionV>
            <wp:extent cx="16979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8890</wp:posOffset>
            </wp:positionV>
            <wp:extent cx="16897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-130175</wp:posOffset>
            </wp:positionV>
            <wp:extent cx="16979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-130175</wp:posOffset>
            </wp:positionV>
            <wp:extent cx="16897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46"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The year-to-year increase in total revenue was primarily the result of improving demand across most product type categories, which was offset by declines in the other analog product category primarily as a result of the sale of our microphone product line in the fourth quarter of fiscal 2013.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Revenue by geographic region, based upon the primary location of our customers’ design activity for our products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1, 2014 and February 2, 2013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29"/>
        </w:trPr>
        <w:tc>
          <w:tcPr>
            <w:tcW w:w="5060" w:type="dxa"/>
            <w:vAlign w:val="bottom"/>
            <w:gridSpan w:val="3"/>
          </w:tcPr>
          <w:p>
            <w:pPr>
              <w:ind w:left="2320"/>
              <w:spacing w:after="0"/>
              <w:rPr>
                <w:sz w:val="20"/>
                <w:szCs w:val="20"/>
                <w:color w:val="auto"/>
              </w:rPr>
            </w:pPr>
            <w:r>
              <w:rPr>
                <w:rFonts w:ascii="Arial" w:cs="Arial" w:eastAsia="Arial" w:hAnsi="Arial"/>
                <w:sz w:val="14"/>
                <w:szCs w:val="14"/>
                <w:b w:val="1"/>
                <w:bCs w:val="1"/>
                <w:color w:val="auto"/>
              </w:rPr>
              <w:t>Region</w:t>
            </w: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1, 2014</w:t>
            </w: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2013</w:t>
            </w:r>
          </w:p>
        </w:tc>
        <w:tc>
          <w:tcPr>
            <w:tcW w:w="280" w:type="dxa"/>
            <w:vAlign w:val="bottom"/>
          </w:tcPr>
          <w:p>
            <w:pPr>
              <w:spacing w:after="0"/>
              <w:rPr>
                <w:sz w:val="19"/>
                <w:szCs w:val="19"/>
                <w:color w:val="auto"/>
              </w:rPr>
            </w:pPr>
          </w:p>
        </w:tc>
        <w:tc>
          <w:tcPr>
            <w:tcW w:w="120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9"/>
                <w:szCs w:val="19"/>
                <w:color w:val="auto"/>
              </w:rPr>
            </w:pPr>
          </w:p>
        </w:tc>
        <w:tc>
          <w:tcPr>
            <w:tcW w:w="162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1"/>
        </w:trPr>
        <w:tc>
          <w:tcPr>
            <w:tcW w:w="23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4"/>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06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19,436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23,512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200,687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189,298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11,389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06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71,091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64,688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6,403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15,715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506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54,242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55,596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3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57"/>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628,238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622,134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6,104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r>
      <w:tr>
        <w:trPr>
          <w:trHeight w:val="20"/>
        </w:trPr>
        <w:tc>
          <w:tcPr>
            <w:tcW w:w="2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In the three-month periods ended February 1, 2014 and February 2, 2013, the predominant country comprising “Rest of North and South America” is Canada; the predominant countries comprising “Europe” are Germany, Sweden, France and the United Kingdom; and the predominant countries comprising “Rest of Asia” are Taiwan and South Korea.</w:t>
      </w:r>
    </w:p>
    <w:p>
      <w:pPr>
        <w:spacing w:after="0" w:line="46"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On a regional basis, the year-to-year sales decline in North America was primarily the result of lower demand for products used in consumer applications. The year-over-year sales increase in China was primarily the result of an increase in demand in the communications and industrial end markets. The year-over-year sales increase in Japan was primarily the result of an increase in demand in the automotive and industrial end markets.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r>
      <w:tr>
        <w:trPr>
          <w:trHeight w:val="264"/>
        </w:trPr>
        <w:tc>
          <w:tcPr>
            <w:tcW w:w="5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1, 2014</w:t>
            </w:r>
          </w:p>
        </w:tc>
        <w:tc>
          <w:tcPr>
            <w:tcW w:w="18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 2013</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409,118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390,284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256"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Gross margin percentage increased by 240 basis points in the three months ended February 1, 2014, as compared to the same period of fiscal 2013, primarily as a result of improved factory utilization levels in our manufacturing facilities.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r>
      <w:tr>
        <w:trPr>
          <w:trHeight w:val="264"/>
        </w:trPr>
        <w:tc>
          <w:tcPr>
            <w:tcW w:w="5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1, 2014</w:t>
            </w:r>
          </w:p>
        </w:tc>
        <w:tc>
          <w:tcPr>
            <w:tcW w:w="18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 2013</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128,646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125,164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R&amp;D expenses as a % of revenue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75"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R&amp;D expenses increased 3% year-over-year primarily as a result of increases in operational spending for engineering supplies and consultants and, to a lesser extent, R&amp;D employee salary and benefit expenses and variable compensation expense linked to our overall profitability and revenue growth.</w:t>
      </w:r>
    </w:p>
    <w:p>
      <w:pPr>
        <w:spacing w:after="0" w:line="7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and therefore, we expect to continue to make significant R&amp;D investments in the future.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r>
      <w:tr>
        <w:trPr>
          <w:trHeight w:val="264"/>
        </w:trPr>
        <w:tc>
          <w:tcPr>
            <w:tcW w:w="5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1, 2014</w:t>
            </w:r>
          </w:p>
        </w:tc>
        <w:tc>
          <w:tcPr>
            <w:tcW w:w="18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 2013</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SMG&amp;A expenses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98,178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97,560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SMG&amp;A expenses as a % of revenue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SMG&amp;A expenses increased slightly year-over-year as increases in operational spending were partially offset by decreases in SMG&amp;A employee salary and benefit expenses and variable compensation expense linked to our overall profitability and revenue growth.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 – Reduction of Operating Costs</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 These reductions relating to ongoing actions are described below.</w:t>
      </w:r>
    </w:p>
    <w:p>
      <w:pPr>
        <w:spacing w:after="0" w:line="127"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During fiscal 2012, we recorded special charges of approximately $8.4 million. These special charges included: $8.0 million for severance and fringe benefit costs in accordance with our ongoing benefit plan or statutory requirements at foreign locations for 95 manufacturing, engineering and SMG&amp;A employees; $0.2 million for lease obligation costs for facilities that we ceased using during the third quarter of fiscal 2012; $0.1 million for contract termination costs; and $0.2 million for the write-off of property, plant and equipment. These actions resulted in annual cost savings of approximately $12.0 million. We have terminated the employment of all employees associated with these actions.</w:t>
      </w:r>
    </w:p>
    <w:p>
      <w:pPr>
        <w:spacing w:after="0" w:line="119"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During fiscal 2013, we recorded special charges of approximately $29.8 million for severance and fringe benefit costs in accordance with our ongoing benefit plan or statutory requirements at foreign locations for 235 engineering and SMG&amp;A employees. As of February 1, 2014, we employed 35 of the 235 employees included in this cost reduction action. These employees must continue to be employed by us until their employment is involuntarily terminated in order to receive the severance benefit. We estimate these actions will result in annual cost savings of approximately $32.6 million, once fully implemented, which we expect will be used to make additional investments in products that we expect will drive revenue growth in the future.</w:t>
      </w:r>
    </w:p>
    <w:p>
      <w:pPr>
        <w:spacing w:after="0" w:line="23"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During the first quarter of fiscal 2014, we recorded a special charge of approximately $2.7 million for severance and fringe benefit costs in accordance with our ongoing benefit plan or statutory requirements at foreign locations for 30 engineering and SMG&amp;A employees. As of February 1, 2014, we employed 12 of the 30 employees included in this cost reduction action. These employees must continue to be employed by us until their employment is involuntarily terminated in order to receive the severance benefit. We estimate this action will result in annual cost savings of approximately $4.5 million, once fully implemented.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r>
      <w:tr>
        <w:trPr>
          <w:trHeight w:val="264"/>
        </w:trPr>
        <w:tc>
          <w:tcPr>
            <w:tcW w:w="5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1, 2014</w:t>
            </w:r>
          </w:p>
        </w:tc>
        <w:tc>
          <w:tcPr>
            <w:tcW w:w="18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 2013</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179,609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153,489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Operating income as a % of revenue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7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 xml:space="preserve">The year-over-year increase in operating income in the three months ended February 1, 2014 was primarily the result of an increase in revenue of $6.1 million, a 240 basis point increase in gross margin percentage and a decrease in special charges of $11.4 million as more fully described above under the heading </w:t>
      </w:r>
      <w:r>
        <w:rPr>
          <w:rFonts w:ascii="Arial" w:cs="Arial" w:eastAsia="Arial" w:hAnsi="Arial"/>
          <w:sz w:val="18"/>
          <w:szCs w:val="18"/>
          <w:i w:val="1"/>
          <w:iCs w:val="1"/>
          <w:color w:val="auto"/>
        </w:rPr>
        <w:t>Special Charges—Reduction of Operating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Provision for 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1, 2014</w:t>
            </w:r>
          </w:p>
        </w:tc>
        <w:tc>
          <w:tcPr>
            <w:tcW w:w="18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 2013</w:t>
            </w:r>
          </w:p>
        </w:tc>
        <w:tc>
          <w:tcPr>
            <w:tcW w:w="280" w:type="dxa"/>
            <w:vAlign w:val="bottom"/>
          </w:tcPr>
          <w:p>
            <w:pPr>
              <w:spacing w:after="0"/>
              <w:rPr>
                <w:sz w:val="22"/>
                <w:szCs w:val="22"/>
                <w:color w:val="auto"/>
              </w:rPr>
            </w:pPr>
          </w:p>
        </w:tc>
        <w:tc>
          <w:tcPr>
            <w:tcW w:w="118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23,305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18,887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7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increase in our effective tax rate for the first quarter of fiscal 2014 compared to the first quarter of fiscal 2013 was primarily due to the inclusion in the three months ended February 2, 2013 of a benefit from the reinstatement of the U.S. federal research and development tax credit in January 2013 retroactive to January 1, 2012, partially offset by an increase in income earned in lower tax rate jurisdictions.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our effective tax rate to be approximately 13% for the remainder of fiscal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r>
      <w:tr>
        <w:trPr>
          <w:trHeight w:val="264"/>
        </w:trPr>
        <w:tc>
          <w:tcPr>
            <w:tcW w:w="5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1, 2014</w:t>
            </w:r>
          </w:p>
        </w:tc>
        <w:tc>
          <w:tcPr>
            <w:tcW w:w="18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 2013</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152,586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131,222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7"/>
        </w:trPr>
        <w:tc>
          <w:tcPr>
            <w:tcW w:w="5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Net income increased 16% in the three months ended February 1, 2014 as compared to the same period of fiscal 2013 as the $26.1 million increase in operating income was partially offset by a higher provision for income taxes in the first quarter of fiscal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9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The following statements are based on current expectations. These statements are forward-looking and our actual results may differ materially as a result of, among other things, the important factors contained in Part II, Item 1A. "Risk Factors" in this Quarterly Report on Form 10-Q.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 and we disclaim any obligation to update these forward-looking statements.</w:t>
      </w:r>
    </w:p>
    <w:p>
      <w:pPr>
        <w:spacing w:after="0" w:line="13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are planning for revenue in the second quarter of fiscal 2014 to be in the range of approximately $660 million to $680 million. Our plan is for gross margin for the second quarter of fiscal 2014 to increase between 50 and 100 basis points and for operating expenses to increase by approximately 2% from the first quarter of fiscal 2014. We expect our effective tax rate to be approximately 13%. As a result, we are planning for diluted earnings per share to be in the range of $0.54 to $0.58 in the second quarter of fiscal 2014.</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At February 1, 2014, our principal source of liquidity was $4,701.1 million of cash and cash equivalents and short-term investments, of which approximately $1,244.1 million was held in the United States. The balance of our cash and cash equivalents and short-term investments was held outside the United States in various foreign subsidiaries. As we intend to</w:t>
      </w:r>
    </w:p>
    <w:p>
      <w:pPr>
        <w:ind w:right="140"/>
        <w:spacing w:after="0" w:line="253" w:lineRule="auto"/>
        <w:rPr>
          <w:sz w:val="20"/>
          <w:szCs w:val="20"/>
          <w:color w:val="auto"/>
        </w:rPr>
      </w:pPr>
      <w:r>
        <w:rPr>
          <w:rFonts w:ascii="Arial" w:cs="Arial" w:eastAsia="Arial" w:hAnsi="Arial"/>
          <w:sz w:val="18"/>
          <w:szCs w:val="18"/>
          <w:color w:val="auto"/>
        </w:rPr>
        <w:t>reinvest our foreign earnings indefinitely, this cash held outside the United States is not available to meet our cash requirements in the United States, including cash dividends and common stock repurchases. Our cash and cash equivalents consist of highly liquid investments with maturities of three months or less at the time of acquisition and our short-term investments consist primarily of corporate obligations, such as commercial paper and floating rate notes, bonds and bank time deposits. We maintain these balances with high credit quality counterparties, continually monitor the amount of credit exposure to any one issuer and diversify our investments in order to minimize our credit risk.</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27" w:right="239" w:bottom="1440" w:gutter="0" w:footer="0" w:header="0"/>
        </w:sectPr>
      </w:pPr>
    </w:p>
    <w:bookmarkStart w:id="29" w:name="page30"/>
    <w:bookmarkEnd w:id="29"/>
    <w:p>
      <w:pPr>
        <w:ind w:right="260" w:firstLine="432"/>
        <w:spacing w:after="0" w:line="312"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6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5"/>
              </w:rPr>
              <w:t>February 1, 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February 2, 2013</w:t>
            </w: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$157,473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$157,969</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Net cash provided by operations as a % of revenue</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provided by investing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(44,323)</w:t>
            </w:r>
          </w:p>
        </w:tc>
        <w:tc>
          <w:tcPr>
            <w:tcW w:w="10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160,401</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Net cash used for financing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(87,308)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(52,822)</w:t>
            </w:r>
          </w:p>
        </w:tc>
      </w:tr>
    </w:tbl>
    <w:p>
      <w:pPr>
        <w:spacing w:after="0" w:line="175"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At February 1, 2014, cash and cash equivalents totaled $417.2 million. The following changes contributed to the net increase in cash and cash equivalents of $25.1 million in the first three months of fiscal 2014, as compared to the same period of fiscal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first three months of fiscal 2014 we generated cash from operating activities of $157.5 million, a slight decrease compared to the first three months of fiscal 2013 primarily as a result of net cash outflows from working capital changes, partially offset by higher net income adjusted for non-cash items.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first three months of fiscal 2014 cash used for investing activities included $48.1 million for property, plant and equipment additions and $7.1 million for the net purchases of available-for-sale short term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three months of fiscal 2014 cash used for financing activities included proceeds of $79.6 million from the exercise of employee stock options.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distributed $106.0 million to our shareholders in dividend payments and repurchased 1.8 million shares of our common stock for $89.0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February 1, 2014</w:t>
            </w:r>
          </w:p>
        </w:tc>
        <w:tc>
          <w:tcPr>
            <w:tcW w:w="1700" w:type="dxa"/>
            <w:vAlign w:val="bottom"/>
            <w:gridSpan w:val="2"/>
          </w:tcPr>
          <w:p>
            <w:pPr>
              <w:ind w:left="240"/>
              <w:spacing w:after="0"/>
              <w:rPr>
                <w:sz w:val="20"/>
                <w:szCs w:val="20"/>
                <w:color w:val="auto"/>
              </w:rPr>
            </w:pPr>
            <w:r>
              <w:rPr>
                <w:rFonts w:ascii="Arial" w:cs="Arial" w:eastAsia="Arial" w:hAnsi="Arial"/>
                <w:sz w:val="14"/>
                <w:szCs w:val="14"/>
                <w:b w:val="1"/>
                <w:bCs w:val="1"/>
                <w:color w:val="auto"/>
              </w:rPr>
              <w:t>November 2, 2013</w:t>
            </w:r>
          </w:p>
        </w:tc>
        <w:tc>
          <w:tcPr>
            <w:tcW w:w="26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tcPr>
          <w:p>
            <w:pPr>
              <w:jc w:val="right"/>
              <w:ind w:right="2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Days sales outstanding</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$289,935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$283,337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6,598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Days cost of sales in inventory</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17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increase in accounts receivable in dollars and in days was primarily the result of higher product shipments made in the final month of the first quarter of fiscal 2014 as compared to the final month of the fourth quarter of fiscal 2013.</w:t>
      </w:r>
    </w:p>
    <w:p>
      <w:pPr>
        <w:spacing w:after="0" w:line="116"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Inventory increased as compared to the end of the fourth quarter of fiscal 2013 as a result of lower than expected shipments made into the distributor channel and anticipated higher sales demand. Our inventory levels are impacted by our need to support forecasted sales demand and variations between those forecasts and actual demand. Days cost of sales in inventory increased from 111 days at the end of the fourth quarter of fiscal 2013 to 121 days at the end of the first quarter of fiscal 2014 as a result of the increased inventory levels and a decrease in cost of sales resulting from improved factory utilization.</w:t>
      </w:r>
    </w:p>
    <w:p>
      <w:pPr>
        <w:spacing w:after="0" w:line="100"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Current liabilities decreased to $519.5 million at February 1, 2014, a decrease of $51.0 million, or 9%, from $570.5 million at the end of fiscal 2013. This decrease was primarily due to a decrease in income taxes payable and accrued liabilities. The decrease in accrued liabilities was primarily the result of lower salary and variable compensation expense accruals.</w:t>
      </w:r>
    </w:p>
    <w:p>
      <w:pPr>
        <w:spacing w:after="0" w:line="12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As of February 1, 2014 and November 2, 2013, we had gross deferred revenue of $306.3 million and $309.2 million, respectively, and gross deferred cost of sales of $61.1 million and $61.8 million, respectively. Deferred income on shipments to distributors decreased in the first three months of fiscal 2014 primarily as a result of increased shipment volumes of lower margin products to end customers, partially offset by a stronger concentration of higher margin product shipments into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p>
      <w:pPr>
        <w:spacing w:after="0" w:line="291" w:lineRule="auto"/>
        <w:rPr>
          <w:sz w:val="20"/>
          <w:szCs w:val="20"/>
          <w:color w:val="auto"/>
        </w:rPr>
      </w:pPr>
      <w:r>
        <w:rPr>
          <w:rFonts w:ascii="Arial" w:cs="Arial" w:eastAsia="Arial" w:hAnsi="Arial"/>
          <w:sz w:val="16"/>
          <w:szCs w:val="16"/>
          <w:color w:val="auto"/>
        </w:rPr>
        <w:t>channel. Sales to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1, 2014, we had $872.4 million in principal outstanding on our long term debt. Our debt obligations consist of the following: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$375.0 Million Aggregate Principal Amount of 3.0% Senior Unsecured Notes (2016 Notes)</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On April 4, 2011, we issued $375.0 million aggregate principal amount of 3.0% senior unsecured notes due April 15, 2016 (the 2016 Notes) with semi-annual fixed interest payments due on April 15 and October 15 of each year, commencing October 15, 2011.</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$500.0 Million Aggregate Principal Amount of 2.875% Senior Unsecured Notes (2023 Notes)</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On June 3, 2013, we issued $500.0 million aggregate principal amount of 2.875% senior unsecured notes due June 1, 2023 (the 2023 Notes) with semi-annual fixed interest payments due on June 1 and December 1 of each year, commencing December 1, 2013.</w:t>
      </w:r>
    </w:p>
    <w:p>
      <w:pPr>
        <w:spacing w:after="0" w:line="11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 xml:space="preserve">The indentures governing the 2016 Notes and the 2023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February 1, 2014, we were compliant with these covenants. See Note 14,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our Condensed Consolidated Financial Statements contained in Item 1 of this Quarterly Report on Form 10-Q for further information on our outstanding debt.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During December 2012, we terminated our five-year, $165.0 million unsecured revolving credit facility with certain institutional lenders entered into in May 2008. On December 19, 2012, we entered into a five-year, $500.0 million senior unsecured revolving credit facility with certain institutional lenders. To date, we have not borrowed under this credit facility but we may borrow in the future and use the proceeds for repayment of existing indebtedness, stock repurchases, acquisitions, capital expenditures, working capital and other lawful corporate purposes. The terms of the facility impose restrictions on our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February 1, 2014, we were compliant with these covenants.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$375.0 Million Aggregate Principal Amount of 5.0% Senior Unsecured Notes (2014 Notes)</w:t>
      </w:r>
    </w:p>
    <w:p>
      <w:pPr>
        <w:spacing w:after="0" w:line="9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During the third quarter of fiscal 2013, we redeemed our outstanding 2014 Notes which were due on July 1, 2014. The redemption price was 104.744% of the principal amount of the notes. We recognized a net loss on debt extinguishment of approximately $10.2 million recorded in other, net expense within non-operating (income) expense. The loss was comprised of the make-whole premium of $17.8 million paid to bondholders on the 2014 Notes in accordance with the terms of the notes, the recognition of the remaining $8.6 million of unamortized proceeds received from the termination of the interest rate swap associated with the debt, and the write off of approximately $1.0 million of debt issuance and discount costs that remained to be amortized. The write off of the remaining unamortized portion of debt issuance costs, discount and swap proceeds are reflected in our condensed consolidated statements of cash flows within operating activities, and the make-whole premium is reflected within financing activities.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common stock repurchase program has been in place since August 2004. As of February 1, 2014, in the aggregate, our Board of Directors has authorized us to repurchase $5.0 billion of our common stock under the program. Under the program, we may repurchase outstanding shares of our common stock from time to time in the open market and through</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46" w:right="259" w:bottom="1440" w:gutter="0" w:footer="0" w:header="0"/>
        </w:sectPr>
      </w:pPr>
    </w:p>
    <w:bookmarkStart w:id="31" w:name="page32"/>
    <w:bookmarkEnd w:id="31"/>
    <w:p>
      <w:pPr>
        <w:ind w:right="40"/>
        <w:spacing w:after="0" w:line="254" w:lineRule="auto"/>
        <w:rPr>
          <w:sz w:val="20"/>
          <w:szCs w:val="20"/>
          <w:color w:val="auto"/>
        </w:rPr>
      </w:pPr>
      <w:r>
        <w:rPr>
          <w:rFonts w:ascii="Arial" w:cs="Arial" w:eastAsia="Arial" w:hAnsi="Arial"/>
          <w:sz w:val="18"/>
          <w:szCs w:val="18"/>
          <w:color w:val="auto"/>
        </w:rPr>
        <w:t>privately negotiated transactions. Unless terminated earlier by resolution of our Board of Directors, the repurchase program will expire when we have repurchased all shares authorized under the program. As of February 1, 2014, we had repurchased a total of approximately 131.6 million shares of our common stock for approximately $4,556.6 million under this program. As of February 1, 2014, an additional $443.4 million remains available for repurchase of shares under the current authorized program. The repurchased shares are held as authorized but unissued shares of common stock. We also from time to time repurchase shares in settlement of employee tax withholding obligations due upon the vesting of restricted stock units or the exercise of stock options, or in certain limited circumstances to satisfy the exercise price of options granted to our employees under our equity compensation plans. Any future common stock repurchases will be based on several factors, including our financial performance, outlook, liquidity and the amount of cash we have available in the United States.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Net additions to property, plant and equipment were $48.1 million in the first three months of fiscal 2014 and were funded with a combination of cash on hand and cash generated from operations. We expect capital expenditures for fiscal 2014 to consist of $117.0 million for ongoing capital spending and approximately $55.0 million for new buildings we are constructing. These capital expenditures will be funded with a combination of cash on hand and cash generated from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On February 17, 2014, our Board of Directors declared a cash dividend of $0.37 per outstanding share of common stock. The dividend will be paid on March 11, 2014 to all shareholders of record at the close of business on February 28, 2014 and is expected to total approximately $115.6 million. We currently expect quarterly dividends to continue at $0.37 per share, although they remain subject to determination and declaration by our Board of Directors. The payment of future dividends, if any, will be based on several factors, including our financial performance, outlook and liquidity.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There have not been any material changes during the first three months of fiscal 2014 to the amounts presented in the table summarizing our contractual obligations included in our Annual Report on Form 10-K for the fiscal year ended November 2, 2013.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 xml:space="preserve">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18, </w:t>
      </w:r>
      <w:r>
        <w:rPr>
          <w:rFonts w:ascii="Arial" w:cs="Arial" w:eastAsia="Arial" w:hAnsi="Arial"/>
          <w:sz w:val="17"/>
          <w:szCs w:val="17"/>
          <w:i w:val="1"/>
          <w:iCs w:val="1"/>
          <w:color w:val="auto"/>
        </w:rPr>
        <w:t>New Accounting Pronouncements,</w:t>
      </w:r>
      <w:r>
        <w:rPr>
          <w:rFonts w:ascii="Arial" w:cs="Arial" w:eastAsia="Arial" w:hAnsi="Arial"/>
          <w:sz w:val="17"/>
          <w:szCs w:val="17"/>
          <w:color w:val="auto"/>
        </w:rPr>
        <w:t xml:space="preserve"> of the Notes to our Condensed Consolidated Financial Statements contained in Item 1 of this Quarterly Report on Form 10-Q for a description of recently issued and adopted accounting pronouncements, including the dates of adoption and impact on our historical financial condition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There were no material changes in the first three months of fiscal 2014 to the information provided under the heading “Critical Accounting Policies and Estimates” included in our Annual Report on Form 10-K for the fiscal year ended November 3, 2013.</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There were no material changes in the first three months of fiscal 2014 to the information provided under Item 7A. “Quantitative and Qualitative Disclosures about Market Risk” set forth in our Annual Report on Form 10-K for the fiscal year ended November 2, 2013.</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200" w:firstLine="8"/>
        <w:spacing w:after="0" w:line="257"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Our management, with the participation of our Chief Executive Officer and Chief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evaluated the effectiveness of our disclosure controls and procedures as of February 1, 2014.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65" w:right="239" w:bottom="1440" w:gutter="0" w:footer="0" w:header="0"/>
        </w:sectPr>
      </w:pPr>
    </w:p>
    <w:bookmarkStart w:id="32" w:name="page33"/>
    <w:bookmarkEnd w:id="32"/>
    <w:p>
      <w:pPr>
        <w:ind w:right="120"/>
        <w:spacing w:after="0" w:line="254" w:lineRule="auto"/>
        <w:rPr>
          <w:sz w:val="20"/>
          <w:szCs w:val="20"/>
          <w:color w:val="auto"/>
        </w:rPr>
      </w:pPr>
      <w:r>
        <w:rPr>
          <w:rFonts w:ascii="Arial" w:cs="Arial" w:eastAsia="Arial" w:hAnsi="Arial"/>
          <w:sz w:val="18"/>
          <w:szCs w:val="18"/>
          <w:color w:val="auto"/>
        </w:rPr>
        <w:t>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February 1, 2014, our Chief Executive Officer and Chief Financial Officer concluded that, as of such date, our disclosure controls and procedures were effective at the reasonable assurance level.</w:t>
      </w:r>
    </w:p>
    <w:p>
      <w:pPr>
        <w:spacing w:after="0" w:line="138" w:lineRule="exact"/>
        <w:rPr>
          <w:sz w:val="20"/>
          <w:szCs w:val="20"/>
          <w:color w:val="auto"/>
        </w:rPr>
      </w:pPr>
    </w:p>
    <w:p>
      <w:pPr>
        <w:ind w:firstLine="8"/>
        <w:spacing w:after="0" w:line="26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February 1, 2014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November 2, 2013.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225"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There is significant continuing uncertainty regarding the stability of global credit and financial markets. These economic uncertainties may lead consumers and businesses to postpone spending, which may cause our customers to cancel, decrease or delay their existing and future orders for our products and make it difficult for us to accurately forecast and plan our future business activities. Financial difficulties experienced by our customers could result in nonpayment or payment delays for previously purchased products, thereby increasing our credit risk exposure. Uncertainty regarding the future stability of the Euro Zone could cause the value of the Euro to deteriorate, thus reducing the purchasing power of our European customers. In addition, financial difficulties experienced by our suppliers or distributors could result in product delays, increased accounts receivable defaults and inventory challenges. During the past few years, many governments adopted stimulus or spending programs designed to ease the economic impact of the crisis. Some of our businesses benefited from these stimulus programs and there can be no assurance that such programs will continue in the future. If economic conditions deteriorate, we may record additional charges relating to restructuring costs or the impairment of assets and our business and results of operations could be materially and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future revenue, gross margins, operating results and net income are difficult to predict and may be materially affected by a number of factors, including:</w:t>
      </w:r>
    </w:p>
    <w:p>
      <w:pPr>
        <w:spacing w:after="0" w:line="8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 demand for our products and for end products that incorporate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new product announcements or introductions by us, our customers or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15" w:lineRule="exact"/>
        <w:rPr>
          <w:rFonts w:ascii="Arial" w:cs="Arial" w:eastAsia="Arial" w:hAnsi="Arial"/>
          <w:sz w:val="17"/>
          <w:szCs w:val="17"/>
          <w:color w:val="auto"/>
        </w:rPr>
      </w:pPr>
    </w:p>
    <w:p>
      <w:pPr>
        <w:ind w:left="660" w:right="340" w:hanging="328"/>
        <w:spacing w:after="0" w:line="3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delay or cancellation of significant customer orders and our ability to manage inventory;</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665" w:right="259" w:bottom="1440" w:gutter="0" w:footer="0" w:header="0"/>
        </w:sectPr>
      </w:pPr>
    </w:p>
    <w:bookmarkStart w:id="33" w:name="page34"/>
    <w:bookmarkEnd w:id="33"/>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including health insurance, pension plan contributions and retirement benefits;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significant litigation-related costs;</w:t>
      </w:r>
    </w:p>
    <w:p>
      <w:pPr>
        <w:spacing w:after="0" w:line="103" w:lineRule="exact"/>
        <w:rPr>
          <w:rFonts w:ascii="Arial" w:cs="Arial" w:eastAsia="Arial" w:hAnsi="Arial"/>
          <w:sz w:val="18"/>
          <w:szCs w:val="18"/>
          <w:color w:val="auto"/>
        </w:rPr>
      </w:pPr>
    </w:p>
    <w:p>
      <w:pPr>
        <w:ind w:left="660" w:right="200" w:hanging="328"/>
        <w:spacing w:after="0" w:line="3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environmental and social responsibility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effective tax rates in the United States, Ireland or worldwide; and</w:t>
      </w:r>
    </w:p>
    <w:p>
      <w:pPr>
        <w:spacing w:after="0" w:line="103" w:lineRule="exact"/>
        <w:rPr>
          <w:rFonts w:ascii="Arial" w:cs="Arial" w:eastAsia="Arial" w:hAnsi="Arial"/>
          <w:sz w:val="18"/>
          <w:szCs w:val="18"/>
          <w:color w:val="auto"/>
        </w:rPr>
      </w:pPr>
    </w:p>
    <w:p>
      <w:pPr>
        <w:ind w:left="660" w:right="60" w:hanging="328"/>
        <w:spacing w:after="0" w:line="38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116"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(i) that products stocked in our inventory will not be rendered obsolete before we ship them, or</w:t>
      </w:r>
    </w:p>
    <w:p>
      <w:pPr>
        <w:ind w:firstLine="8"/>
        <w:spacing w:after="0" w:line="253"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we will be able to produce products in a timely fashion to accommodate changing customer demand. As a result of these and other factors, there can be no assurance that we will not experience material fluctuations in future revenue, gross margins, operating results and net income on a quarterly or annual basis. Our historical financial performance and results of operations should not be relied upon as indicators of future performance or results. In addition, if our revenue, gross margins, operating results and net income do not meet the expectations of securities analysts or investors, the market price of our common stock may decline.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90"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A number of factors may increase our future effective tax rate, including: changes in tax laws or the interpretation of such tax laws; increases in tax rates in various jurisdictions; variation in the jurisdictions in which profits are earned and taxed; repatriation of non-U.S. earnings;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Any significant increase in our future effective tax rates could adversely impact our net income during future periods.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02"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3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Our future success significantly depends on our continued ability to improve our products and develop and market innovative new products. Product development, innovation and enhancement is often a complex, time-consuming and costly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638" w:right="259" w:bottom="1440" w:gutter="0" w:footer="0" w:header="0"/>
        </w:sectPr>
      </w:pPr>
    </w:p>
    <w:bookmarkStart w:id="34" w:name="page35"/>
    <w:bookmarkEnd w:id="34"/>
    <w:p>
      <w:pPr>
        <w:spacing w:after="0" w:line="269" w:lineRule="auto"/>
        <w:rPr>
          <w:sz w:val="20"/>
          <w:szCs w:val="20"/>
          <w:color w:val="auto"/>
        </w:rPr>
      </w:pPr>
      <w:r>
        <w:rPr>
          <w:rFonts w:ascii="Arial" w:cs="Arial" w:eastAsia="Arial" w:hAnsi="Arial"/>
          <w:sz w:val="17"/>
          <w:szCs w:val="17"/>
          <w:color w:val="auto"/>
        </w:rPr>
        <w:t>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90"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face intense technological and pricing competition in the semiconductor industry, and we expect this competition to increase in the future, including from companies located outside the United States.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1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assembly and test services, and transportation, and we generally cannot control their availability or conditions of supply.</w:t>
      </w:r>
    </w:p>
    <w:p>
      <w:pPr>
        <w:spacing w:after="0" w:line="3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rely, and plan to continue to rely, on suppliers, assembly and test subcontractors, freight carriers,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We currently source approximately 50% of our wafer requirements annually from third-party wafer fabrication foundries, primarily Taiwan Semiconductor Manufacturing Company, or TSMC</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replacement suppliers or manufacturing processes are not available, we may also experience delays in product development or shipment which could, in turn, result in the temporary or permanent loss of customers.</w:t>
      </w:r>
    </w:p>
    <w:p>
      <w:pPr>
        <w:spacing w:after="0" w:line="2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35"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or locate suitable third-party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665" w:right="259" w:bottom="1440" w:gutter="0" w:footer="0" w:header="0"/>
        </w:sectPr>
      </w:pPr>
    </w:p>
    <w:bookmarkStart w:id="35" w:name="page36"/>
    <w:bookmarkEnd w:id="35"/>
    <w:p>
      <w:pPr>
        <w:ind w:right="480"/>
        <w:spacing w:after="0" w:line="277" w:lineRule="auto"/>
        <w:rPr>
          <w:sz w:val="20"/>
          <w:szCs w:val="20"/>
          <w:color w:val="auto"/>
        </w:rPr>
      </w:pPr>
      <w:r>
        <w:rPr>
          <w:rFonts w:ascii="Arial" w:cs="Arial" w:eastAsia="Arial" w:hAnsi="Arial"/>
          <w:sz w:val="18"/>
          <w:szCs w:val="18"/>
          <w:color w:val="auto"/>
        </w:rPr>
        <w:t>suppliers, to respond effectively to changes in demand for our existing products or to the demand for new products requested by our customers, and our current or future business could be materially and adversely affected.</w:t>
      </w:r>
    </w:p>
    <w:p>
      <w:pPr>
        <w:spacing w:after="0" w:line="19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35"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3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22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35"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indemnity,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134"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 pending applications corresponding to our U.S. patents and applications. Even if foreign patents are granted, effective enforcement in foreign countries may not be available. If our patents and mask works do not adequately protect our technology,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65" w:right="25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our competitors may be able to offer products similar to ours. Our competitors may also be able to develop similar technology independently or design around our patents.</w:t>
      </w:r>
    </w:p>
    <w:p>
      <w:pPr>
        <w:spacing w:after="0" w:line="116"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significant disruption in, or breach in security of, our information technology systems could materially and adversely affect our business or reputation.</w:t>
      </w:r>
    </w:p>
    <w:p>
      <w:pPr>
        <w:spacing w:after="0" w:line="237" w:lineRule="exact"/>
        <w:rPr>
          <w:sz w:val="20"/>
          <w:szCs w:val="20"/>
          <w:color w:val="auto"/>
        </w:rPr>
      </w:pPr>
    </w:p>
    <w:p>
      <w:pPr>
        <w:ind w:firstLine="297"/>
        <w:spacing w:after="0" w:line="289" w:lineRule="auto"/>
        <w:rPr>
          <w:sz w:val="20"/>
          <w:szCs w:val="20"/>
          <w:color w:val="auto"/>
        </w:rPr>
      </w:pPr>
      <w:r>
        <w:rPr>
          <w:rFonts w:ascii="Arial" w:cs="Arial" w:eastAsia="Arial" w:hAnsi="Arial"/>
          <w:sz w:val="16"/>
          <w:szCs w:val="16"/>
          <w:color w:val="auto"/>
        </w:rPr>
        <w:t>We rely on information technology systems throughout our company to keep financial records, process orders, manage inventory, coordinate shipments to customers, and operate other critical functions such as internet connectivity, network communications and email. Our information technology systems may be susceptible to damage, disruptions or shutdowns due to power outages, hardware failures, telecommunication failures, user errors, catastrophes or other unforeseen events. We may also be subject to security breaches caused by computer viruses, illegal break-ins or hacking, sabotage, or acts of vandalism by third parties. Our security measures or those of our third party service providers may not detect or prevent security breaches.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In addition, security breaches of our information technology systems could result in the misappropriation or unauthorized disclosure of confidential information belonging to us or to our employees, partners, customers or suppliers, which could result in our suffering significant financial or reputational damage.</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9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3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Acquisitions also involve a number of risks, including:</w:t>
      </w:r>
    </w:p>
    <w:p>
      <w:pPr>
        <w:spacing w:after="0" w:line="6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integrating acquired technologies, operations and personnel with our existing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 and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746" w:right="259" w:bottom="1440" w:gutter="0" w:footer="0" w:header="0"/>
        </w:sectPr>
      </w:pPr>
    </w:p>
    <w:bookmarkStart w:id="37" w:name="page38"/>
    <w:bookmarkEnd w:id="37"/>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risk of costly and time-consuming litigation.</w:t>
      </w:r>
    </w:p>
    <w:p>
      <w:pPr>
        <w:spacing w:after="0" w:line="21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02"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The impact of earthquakes, tsunamis and flooding would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and the Philippines. The majority of our revenue is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At February 1, 2014, our principal source of liquidity was $4,701.1 million of cash and cash equivalents and short-term investments, of which approximately $1,244.1 million was held in the United States and the remaining balance was held outside the United States in various foreign subsidiaries. As we intend to reinvest our foreign earnings indefinitely, this cash held outside the United States is not readily available to meet our cash requirements in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through future debt or equity offerings or from other sources of cash obtained at an acceptable cost, it may be necessary for us to consider repatriation of earnings that are permanently reinvested, and we may be required to pay additional taxes under current tax laws, which could have a material effect on our results of operations and financial condition.</w:t>
      </w:r>
    </w:p>
    <w:p>
      <w:pPr>
        <w:spacing w:after="0" w:line="12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anti-corruption and environmental compliance, trade and travel restrictions, pandemics, import and export license requirements and restrictions, difficulties in staffing and managing worldwide operations, and accounts receivable collections. We also incur significant costs associated with our foreign defined benefit pension plans. There can be no assurance that the value of the plan assets will be sufficient in the future and it is possible that we may be required to make higher cash contributions to the plans in future years, which would reduce the cash available for other business purposes.</w:t>
      </w:r>
    </w:p>
    <w:p>
      <w:pPr>
        <w:spacing w:after="0" w:line="115"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indigenous innovation,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38" w:right="259" w:bottom="1440" w:gutter="0" w:footer="0" w:header="0"/>
        </w:sectPr>
      </w:pPr>
    </w:p>
    <w:bookmarkStart w:id="38" w:name="page39"/>
    <w:bookmarkEnd w:id="38"/>
    <w:p>
      <w:pPr>
        <w:ind w:right="60"/>
        <w:spacing w:after="0" w:line="302" w:lineRule="auto"/>
        <w:rPr>
          <w:sz w:val="20"/>
          <w:szCs w:val="20"/>
          <w:color w:val="auto"/>
        </w:rPr>
      </w:pPr>
      <w:r>
        <w:rPr>
          <w:rFonts w:ascii="Arial" w:cs="Arial" w:eastAsia="Arial" w:hAnsi="Arial"/>
          <w:sz w:val="16"/>
          <w:szCs w:val="16"/>
          <w:color w:val="auto"/>
        </w:rPr>
        <w:t>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whether at our initiative or the distributor’s initiative or through consolidation in the distribution industry, could disrupt our current business, and if we are unable to find suitable replacements, our operating results could be adversely affected.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increasingly strict environmental, health and safety (EHS) regulations, which could increase our expenses and affect our operating results.</w:t>
      </w:r>
    </w:p>
    <w:p>
      <w:pPr>
        <w:spacing w:after="0" w:line="1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industry is subject to increasingly strict EHS requirements, particularly those environmental requirements that control and restrict the sourcing, use, transportation, emission, discharge, storage and disposal of certain chemicals, minerals, elements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environmental laws or regulations may require us to invest in costly equipment or alter the way our products are made. In addition, we use hazardous and other regulated materials that subject us to risks of strict liability for damages caused by potential or actual releases of such materials. Any failure to control such materials adequately or to comply with statutory or regulatory standards or contractual obligations could result in liability for damages, penalties, and civil and criminal fines, and might damage our reputation, increase our expenses, and adversely affect our operating results.</w:t>
      </w:r>
    </w:p>
    <w:p>
      <w:pPr>
        <w:spacing w:after="0" w:line="12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Compliance with new “conflict minerals” rules recently promulgated by the Securities and Exchange Commission could adversely affect the sourcing, supply and pricing of materials used in our products. 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U.S. Congress may pass federal greenhouse gas legislation in the future. The U.S. Environmental Protection Agency (EPA) has issued greenhouse gas reporting regulations that may apply to certain of our operations. The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2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senior unsecured notes.</w:t>
      </w:r>
    </w:p>
    <w:p>
      <w:pPr>
        <w:spacing w:after="0" w:line="3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April 2011, we issued in a public offering $375.0 million aggregate principal amount of 3.0% senior unsecured notes due April 15, 2016 (the 2016 Notes). In June 2013, we issued in a public offering $500.0 million aggregate principal amount of 2.875% senior unsecured notes due June 1, 2023 (the 2023 Notes and together with the 2016 Notes, the Notes).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31"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 including the Notes;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borrow under our existing revolving credit facility;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or delay planned capital expenditures or operating expenditures.</w:t>
      </w:r>
    </w:p>
    <w:p>
      <w:pPr>
        <w:spacing w:after="0" w:line="212"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Such measures might not be sufficient to enable us to service our debt, including the Notes, which could negatively impact our financial results. In addition, any such financing, refinancing or sale of assets might not be possible on economically favorable terms.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6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Restrictions in our revolving credit facility and outstanding debt instruments may limit our activities.</w:t>
      </w:r>
    </w:p>
    <w:p>
      <w:pPr>
        <w:spacing w:after="0" w:line="9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current revolving credit facility and our outstanding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revolving credit facility requires us to maintain compliance with specified financial ratios. If we breach any of the covenants under our revolving credit facility or the indenture governing our outstanding notes and do not obtain appropriate waivers, then, subject to applicable cure periods, our outstanding indebtedness thereunder could be declared immediately due and payable.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90"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8" w:lineRule="exact"/>
        <w:rPr>
          <w:sz w:val="20"/>
          <w:szCs w:val="20"/>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103" w:lineRule="exact"/>
        <w:rPr>
          <w:rFonts w:ascii="Arial" w:cs="Arial" w:eastAsia="Arial" w:hAnsi="Arial"/>
          <w:sz w:val="18"/>
          <w:szCs w:val="18"/>
          <w:color w:val="auto"/>
        </w:rPr>
      </w:pPr>
    </w:p>
    <w:p>
      <w:pPr>
        <w:ind w:left="660" w:right="480" w:hanging="247"/>
        <w:spacing w:after="0" w:line="3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products, technical innovations, material transactions, acquisitions or dispositions, litigation or capital commitments;</w:t>
      </w: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21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1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827" w:right="2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4600" w:type="dxa"/>
            <w:vAlign w:val="bottom"/>
            <w:gridSpan w:val="4"/>
          </w:tcPr>
          <w:p>
            <w:pPr>
              <w:ind w:left="20"/>
              <w:spacing w:after="0"/>
              <w:rPr>
                <w:sz w:val="20"/>
                <w:szCs w:val="20"/>
                <w:color w:val="auto"/>
              </w:rPr>
            </w:pPr>
            <w:r>
              <w:rPr>
                <w:rFonts w:ascii="Arial" w:cs="Arial" w:eastAsia="Arial" w:hAnsi="Arial"/>
                <w:sz w:val="18"/>
                <w:szCs w:val="18"/>
                <w:b w:val="1"/>
                <w:bCs w:val="1"/>
                <w:color w:val="auto"/>
                <w:w w:val="87"/>
              </w:rPr>
              <w:t>Unregistered Sales of Equity Securities and Use of Proceeds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14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Average Price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6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Period</w:t>
            </w: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Paid Per Share (b)</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(c)</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15"/>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November 3, 2013 through</w:t>
            </w:r>
          </w:p>
        </w:tc>
        <w:tc>
          <w:tcPr>
            <w:tcW w:w="18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65,730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47.14</w:t>
            </w:r>
          </w:p>
        </w:tc>
        <w:tc>
          <w:tcPr>
            <w:tcW w:w="100" w:type="dxa"/>
            <w:vAlign w:val="bottom"/>
            <w:shd w:val="clear" w:color="auto" w:fill="CCEEFF"/>
          </w:tcPr>
          <w:p>
            <w:pPr>
              <w:spacing w:after="0"/>
              <w:rPr>
                <w:sz w:val="18"/>
                <w:szCs w:val="18"/>
                <w:color w:val="auto"/>
              </w:rPr>
            </w:pPr>
          </w:p>
        </w:tc>
        <w:tc>
          <w:tcPr>
            <w:tcW w:w="18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63,800</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515,352,164</w:t>
            </w:r>
          </w:p>
        </w:tc>
        <w:tc>
          <w:tcPr>
            <w:tcW w:w="0" w:type="dxa"/>
            <w:vAlign w:val="bottom"/>
          </w:tcPr>
          <w:p>
            <w:pPr>
              <w:spacing w:after="0"/>
              <w:rPr>
                <w:sz w:val="1"/>
                <w:szCs w:val="1"/>
                <w:color w:val="auto"/>
              </w:rPr>
            </w:pPr>
          </w:p>
        </w:tc>
      </w:tr>
      <w:tr>
        <w:trPr>
          <w:trHeight w:val="122"/>
        </w:trPr>
        <w:tc>
          <w:tcPr>
            <w:tcW w:w="390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November 30, 2013</w:t>
            </w:r>
          </w:p>
        </w:tc>
        <w:tc>
          <w:tcPr>
            <w:tcW w:w="18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0" w:type="dxa"/>
            <w:vAlign w:val="bottom"/>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CCEEFF"/>
            </w:tcBorders>
            <w:gridSpan w:val="2"/>
            <w:vMerge w:val="continue"/>
            <w:shd w:val="clear" w:color="auto" w:fill="CCEEFF"/>
          </w:tcPr>
          <w:p>
            <w:pPr>
              <w:spacing w:after="0"/>
              <w:rPr>
                <w:sz w:val="10"/>
                <w:szCs w:val="10"/>
                <w:color w:val="auto"/>
              </w:rPr>
            </w:pPr>
          </w:p>
        </w:tc>
        <w:tc>
          <w:tcPr>
            <w:tcW w:w="18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5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December 1, 2013 through</w:t>
            </w:r>
          </w:p>
        </w:tc>
        <w:tc>
          <w:tcPr>
            <w:tcW w:w="1840" w:type="dxa"/>
            <w:vAlign w:val="bottom"/>
            <w:vMerge w:val="restart"/>
          </w:tcPr>
          <w:p>
            <w:pPr>
              <w:jc w:val="right"/>
              <w:ind w:right="38"/>
              <w:spacing w:after="0"/>
              <w:rPr>
                <w:sz w:val="20"/>
                <w:szCs w:val="20"/>
                <w:color w:val="auto"/>
              </w:rPr>
            </w:pPr>
            <w:r>
              <w:rPr>
                <w:rFonts w:ascii="Arial" w:cs="Arial" w:eastAsia="Arial" w:hAnsi="Arial"/>
                <w:sz w:val="18"/>
                <w:szCs w:val="18"/>
                <w:color w:val="auto"/>
              </w:rPr>
              <w:t>127,839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tcPr>
          <w:p>
            <w:pPr>
              <w:jc w:val="right"/>
              <w:ind w:right="36"/>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19"/>
                <w:szCs w:val="19"/>
                <w:color w:val="auto"/>
              </w:rPr>
            </w:pPr>
          </w:p>
        </w:tc>
        <w:tc>
          <w:tcPr>
            <w:tcW w:w="1800" w:type="dxa"/>
            <w:vAlign w:val="bottom"/>
            <w:vMerge w:val="restart"/>
          </w:tcPr>
          <w:p>
            <w:pPr>
              <w:jc w:val="right"/>
              <w:ind w:right="20"/>
              <w:spacing w:after="0"/>
              <w:rPr>
                <w:sz w:val="20"/>
                <w:szCs w:val="20"/>
                <w:color w:val="auto"/>
              </w:rPr>
            </w:pPr>
            <w:r>
              <w:rPr>
                <w:rFonts w:ascii="Arial" w:cs="Arial" w:eastAsia="Arial" w:hAnsi="Arial"/>
                <w:sz w:val="18"/>
                <w:szCs w:val="18"/>
                <w:color w:val="auto"/>
              </w:rPr>
              <w:t>124,900</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vMerge w:val="restart"/>
          </w:tcPr>
          <w:p>
            <w:pPr>
              <w:jc w:val="right"/>
              <w:ind w:right="21"/>
              <w:spacing w:after="0"/>
              <w:rPr>
                <w:sz w:val="20"/>
                <w:szCs w:val="20"/>
                <w:color w:val="auto"/>
              </w:rPr>
            </w:pPr>
            <w:r>
              <w:rPr>
                <w:rFonts w:ascii="Arial" w:cs="Arial" w:eastAsia="Arial" w:hAnsi="Arial"/>
                <w:sz w:val="18"/>
                <w:szCs w:val="18"/>
                <w:color w:val="auto"/>
              </w:rPr>
              <w:t>509,325,557</w:t>
            </w:r>
          </w:p>
        </w:tc>
        <w:tc>
          <w:tcPr>
            <w:tcW w:w="0" w:type="dxa"/>
            <w:vAlign w:val="bottom"/>
          </w:tcPr>
          <w:p>
            <w:pPr>
              <w:spacing w:after="0"/>
              <w:rPr>
                <w:sz w:val="1"/>
                <w:szCs w:val="1"/>
                <w:color w:val="auto"/>
              </w:rPr>
            </w:pPr>
          </w:p>
        </w:tc>
      </w:tr>
      <w:tr>
        <w:trPr>
          <w:trHeight w:val="122"/>
        </w:trPr>
        <w:tc>
          <w:tcPr>
            <w:tcW w:w="3900" w:type="dxa"/>
            <w:vAlign w:val="bottom"/>
            <w:gridSpan w:val="2"/>
            <w:vMerge w:val="restart"/>
          </w:tcPr>
          <w:p>
            <w:pPr>
              <w:ind w:left="40"/>
              <w:spacing w:after="0"/>
              <w:rPr>
                <w:sz w:val="20"/>
                <w:szCs w:val="20"/>
                <w:color w:val="auto"/>
              </w:rPr>
            </w:pPr>
            <w:r>
              <w:rPr>
                <w:rFonts w:ascii="Arial" w:cs="Arial" w:eastAsia="Arial" w:hAnsi="Arial"/>
                <w:sz w:val="18"/>
                <w:szCs w:val="18"/>
                <w:color w:val="auto"/>
              </w:rPr>
              <w:t>December 28, 2013</w:t>
            </w:r>
          </w:p>
        </w:tc>
        <w:tc>
          <w:tcPr>
            <w:tcW w:w="1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29, 2013 through</w:t>
            </w:r>
          </w:p>
        </w:tc>
        <w:tc>
          <w:tcPr>
            <w:tcW w:w="18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1,619,673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49.20</w:t>
            </w:r>
          </w:p>
        </w:tc>
        <w:tc>
          <w:tcPr>
            <w:tcW w:w="100" w:type="dxa"/>
            <w:vAlign w:val="bottom"/>
            <w:shd w:val="clear" w:color="auto" w:fill="CCEEFF"/>
          </w:tcPr>
          <w:p>
            <w:pPr>
              <w:spacing w:after="0"/>
              <w:rPr>
                <w:sz w:val="19"/>
                <w:szCs w:val="19"/>
                <w:color w:val="auto"/>
              </w:rPr>
            </w:pPr>
          </w:p>
        </w:tc>
        <w:tc>
          <w:tcPr>
            <w:tcW w:w="18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1,341,400</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443,358,596</w:t>
            </w:r>
          </w:p>
        </w:tc>
        <w:tc>
          <w:tcPr>
            <w:tcW w:w="0" w:type="dxa"/>
            <w:vAlign w:val="bottom"/>
          </w:tcPr>
          <w:p>
            <w:pPr>
              <w:spacing w:after="0"/>
              <w:rPr>
                <w:sz w:val="1"/>
                <w:szCs w:val="1"/>
                <w:color w:val="auto"/>
              </w:rPr>
            </w:pPr>
          </w:p>
        </w:tc>
      </w:tr>
      <w:tr>
        <w:trPr>
          <w:trHeight w:val="122"/>
        </w:trPr>
        <w:tc>
          <w:tcPr>
            <w:tcW w:w="1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88"/>
              </w:rPr>
              <w:t>February 1, 2014</w:t>
            </w:r>
          </w:p>
        </w:tc>
        <w:tc>
          <w:tcPr>
            <w:tcW w:w="2620" w:type="dxa"/>
            <w:vAlign w:val="bottom"/>
            <w:shd w:val="clear" w:color="auto" w:fill="CCEEFF"/>
          </w:tcPr>
          <w:p>
            <w:pPr>
              <w:spacing w:after="0"/>
              <w:rPr>
                <w:sz w:val="10"/>
                <w:szCs w:val="10"/>
                <w:color w:val="auto"/>
              </w:rPr>
            </w:pPr>
          </w:p>
        </w:tc>
        <w:tc>
          <w:tcPr>
            <w:tcW w:w="18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0" w:type="dxa"/>
            <w:vAlign w:val="bottom"/>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bottom w:val="single" w:sz="8" w:color="CCEEFF"/>
            </w:tcBorders>
            <w:vMerge w:val="continue"/>
            <w:shd w:val="clear" w:color="auto" w:fill="CCEEFF"/>
          </w:tcPr>
          <w:p>
            <w:pPr>
              <w:spacing w:after="0"/>
              <w:rPr>
                <w:sz w:val="11"/>
                <w:szCs w:val="11"/>
                <w:color w:val="auto"/>
              </w:rPr>
            </w:pPr>
          </w:p>
        </w:tc>
        <w:tc>
          <w:tcPr>
            <w:tcW w:w="2620" w:type="dxa"/>
            <w:vAlign w:val="bottom"/>
            <w:tcBorders>
              <w:bottom w:val="single" w:sz="8" w:color="CCEEFF"/>
            </w:tcBorders>
            <w:shd w:val="clear" w:color="auto" w:fill="CCEEFF"/>
          </w:tcPr>
          <w:p>
            <w:pPr>
              <w:spacing w:after="0"/>
              <w:rPr>
                <w:sz w:val="11"/>
                <w:szCs w:val="11"/>
                <w:color w:val="auto"/>
              </w:rPr>
            </w:pPr>
          </w:p>
        </w:tc>
        <w:tc>
          <w:tcPr>
            <w:tcW w:w="18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6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620" w:type="dxa"/>
            <w:vAlign w:val="bottom"/>
          </w:tcPr>
          <w:p>
            <w:pPr>
              <w:ind w:left="48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1,813,242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1,530,100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
              <w:spacing w:after="0"/>
              <w:rPr>
                <w:sz w:val="20"/>
                <w:szCs w:val="20"/>
                <w:color w:val="auto"/>
              </w:rPr>
            </w:pPr>
            <w:r>
              <w:rPr>
                <w:rFonts w:ascii="Arial" w:cs="Arial" w:eastAsia="Arial" w:hAnsi="Arial"/>
                <w:sz w:val="18"/>
                <w:szCs w:val="18"/>
                <w:color w:val="auto"/>
              </w:rPr>
              <w:t>443,358,596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0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283,142 shares withheld by us from employees to satisfy employee tax obligations upon vesting of restricted stock units granted to our employees under our equity compensation plans.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average price paid per share of stock repurchased under the stock repurchase program includes the commissions paid to the brokers. The average price paid for shares in connection with vesting of restricted stock are averages of the closing stock price at the vesting date which is used to calculate the number of shares to be withheld.</w:t>
      </w:r>
    </w:p>
    <w:p>
      <w:pPr>
        <w:spacing w:after="0" w:line="1" w:lineRule="exact"/>
        <w:rPr>
          <w:rFonts w:ascii="Arial" w:cs="Arial" w:eastAsia="Arial" w:hAnsi="Arial"/>
          <w:sz w:val="18"/>
          <w:szCs w:val="18"/>
          <w:color w:val="auto"/>
        </w:rPr>
      </w:pPr>
    </w:p>
    <w:p>
      <w:pPr>
        <w:ind w:left="660" w:hanging="328"/>
        <w:spacing w:after="0" w:line="25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repurchased pursuant to the stock repurchase program publicly announced on August 12, 2004. As of February 1, 2014, in the aggregate, our Board of Directors has authorized us to repurchase $5.0 billion of our common stock.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2" w:right="239" w:bottom="1440" w:gutter="0" w:footer="0" w:header="0"/>
        </w:sectPr>
      </w:pPr>
    </w:p>
    <w:bookmarkStart w:id="41" w:name="page42"/>
    <w:bookmarkEnd w:id="41"/>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7780" w:type="dxa"/>
            <w:vAlign w:val="bottom"/>
            <w:gridSpan w:val="2"/>
          </w:tcPr>
          <w:p>
            <w:pPr>
              <w:ind w:left="1500"/>
              <w:spacing w:after="0"/>
              <w:rPr>
                <w:sz w:val="20"/>
                <w:szCs w:val="20"/>
                <w:color w:val="auto"/>
              </w:rPr>
            </w:pPr>
            <w:r>
              <w:rPr>
                <w:rFonts w:ascii="Arial" w:cs="Arial" w:eastAsia="Arial" w:hAnsi="Arial"/>
                <w:sz w:val="18"/>
                <w:szCs w:val="18"/>
                <w:color w:val="auto"/>
              </w:rPr>
              <w:t>ANALOG DEVICES, INC.</w:t>
            </w:r>
          </w:p>
        </w:tc>
      </w:tr>
      <w:tr>
        <w:trPr>
          <w:trHeight w:val="594"/>
        </w:trPr>
        <w:tc>
          <w:tcPr>
            <w:tcW w:w="3260" w:type="dxa"/>
            <w:vAlign w:val="bottom"/>
          </w:tcPr>
          <w:p>
            <w:pPr>
              <w:spacing w:after="0"/>
              <w:rPr>
                <w:sz w:val="20"/>
                <w:szCs w:val="20"/>
                <w:color w:val="auto"/>
              </w:rPr>
            </w:pPr>
            <w:r>
              <w:rPr>
                <w:rFonts w:ascii="Arial" w:cs="Arial" w:eastAsia="Arial" w:hAnsi="Arial"/>
                <w:sz w:val="18"/>
                <w:szCs w:val="18"/>
                <w:color w:val="auto"/>
              </w:rPr>
              <w:t>Date: February 18, 2014</w:t>
            </w:r>
          </w:p>
        </w:tc>
        <w:tc>
          <w:tcPr>
            <w:tcW w:w="2020" w:type="dxa"/>
            <w:vAlign w:val="bottom"/>
          </w:tcPr>
          <w:p>
            <w:pPr>
              <w:ind w:left="1500"/>
              <w:spacing w:after="0"/>
              <w:rPr>
                <w:sz w:val="20"/>
                <w:szCs w:val="20"/>
                <w:color w:val="auto"/>
              </w:rPr>
            </w:pPr>
            <w:r>
              <w:rPr>
                <w:rFonts w:ascii="Arial" w:cs="Arial" w:eastAsia="Arial" w:hAnsi="Arial"/>
                <w:sz w:val="18"/>
                <w:szCs w:val="18"/>
                <w:color w:val="auto"/>
              </w:rPr>
              <w:t>By:</w:t>
            </w:r>
          </w:p>
        </w:tc>
        <w:tc>
          <w:tcPr>
            <w:tcW w:w="576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INCENT</w:t>
            </w:r>
            <w:r>
              <w:rPr>
                <w:rFonts w:ascii="Arial" w:cs="Arial" w:eastAsia="Arial" w:hAnsi="Arial"/>
                <w:sz w:val="18"/>
                <w:szCs w:val="18"/>
                <w:color w:val="auto"/>
              </w:rPr>
              <w:t xml:space="preserve"> T. R</w:t>
            </w:r>
            <w:r>
              <w:rPr>
                <w:rFonts w:ascii="Arial" w:cs="Arial" w:eastAsia="Arial" w:hAnsi="Arial"/>
                <w:sz w:val="14"/>
                <w:szCs w:val="14"/>
                <w:color w:val="auto"/>
              </w:rPr>
              <w:t>OCHE</w:t>
            </w:r>
          </w:p>
        </w:tc>
      </w:tr>
      <w:tr>
        <w:trPr>
          <w:trHeight w:val="27"/>
        </w:trPr>
        <w:tc>
          <w:tcPr>
            <w:tcW w:w="3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Vincent T. Roche</w:t>
            </w:r>
          </w:p>
        </w:tc>
      </w:tr>
      <w:tr>
        <w:trPr>
          <w:trHeight w:val="270"/>
        </w:trPr>
        <w:tc>
          <w:tcPr>
            <w:tcW w:w="3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3260" w:type="dxa"/>
            <w:vAlign w:val="bottom"/>
          </w:tcPr>
          <w:p>
            <w:pPr>
              <w:spacing w:after="0"/>
              <w:rPr>
                <w:sz w:val="20"/>
                <w:szCs w:val="20"/>
                <w:color w:val="auto"/>
              </w:rPr>
            </w:pPr>
            <w:r>
              <w:rPr>
                <w:rFonts w:ascii="Arial" w:cs="Arial" w:eastAsia="Arial" w:hAnsi="Arial"/>
                <w:sz w:val="18"/>
                <w:szCs w:val="18"/>
                <w:color w:val="auto"/>
              </w:rPr>
              <w:t>Date: February 18, 2014</w:t>
            </w:r>
          </w:p>
        </w:tc>
        <w:tc>
          <w:tcPr>
            <w:tcW w:w="2020" w:type="dxa"/>
            <w:vAlign w:val="bottom"/>
          </w:tcPr>
          <w:p>
            <w:pPr>
              <w:ind w:left="1500"/>
              <w:spacing w:after="0"/>
              <w:rPr>
                <w:sz w:val="20"/>
                <w:szCs w:val="20"/>
                <w:color w:val="auto"/>
              </w:rPr>
            </w:pPr>
            <w:r>
              <w:rPr>
                <w:rFonts w:ascii="Arial" w:cs="Arial" w:eastAsia="Arial" w:hAnsi="Arial"/>
                <w:sz w:val="18"/>
                <w:szCs w:val="18"/>
                <w:color w:val="auto"/>
              </w:rPr>
              <w:t>By:</w:t>
            </w:r>
          </w:p>
        </w:tc>
        <w:tc>
          <w:tcPr>
            <w:tcW w:w="576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A. Z</w:t>
            </w:r>
            <w:r>
              <w:rPr>
                <w:rFonts w:ascii="Arial" w:cs="Arial" w:eastAsia="Arial" w:hAnsi="Arial"/>
                <w:sz w:val="14"/>
                <w:szCs w:val="14"/>
                <w:color w:val="auto"/>
              </w:rPr>
              <w:t>INSNER</w:t>
            </w:r>
          </w:p>
        </w:tc>
      </w:tr>
      <w:tr>
        <w:trPr>
          <w:trHeight w:val="27"/>
        </w:trPr>
        <w:tc>
          <w:tcPr>
            <w:tcW w:w="3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David A. Zinsner</w:t>
            </w:r>
          </w:p>
        </w:tc>
      </w:tr>
      <w:tr>
        <w:trPr>
          <w:trHeight w:val="270"/>
        </w:trPr>
        <w:tc>
          <w:tcPr>
            <w:tcW w:w="3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Vice President, Finance</w:t>
            </w:r>
          </w:p>
        </w:tc>
      </w:tr>
    </w:tbl>
    <w:p>
      <w:pPr>
        <w:spacing w:after="0" w:line="4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240" w:top="580" w:right="579" w:bottom="1440" w:gutter="0" w:footer="0" w:header="0"/>
        </w:sectPr>
      </w:pPr>
    </w:p>
    <w:bookmarkStart w:id="42" w:name="page43"/>
    <w:bookmarkEnd w:id="42"/>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3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32"/>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840" w:type="dxa"/>
            <w:vAlign w:val="bottom"/>
          </w:tcPr>
          <w:p>
            <w:pPr>
              <w:spacing w:after="0"/>
              <w:rPr>
                <w:sz w:val="24"/>
                <w:szCs w:val="24"/>
                <w:color w:val="auto"/>
              </w:rPr>
            </w:pPr>
          </w:p>
        </w:tc>
        <w:tc>
          <w:tcPr>
            <w:tcW w:w="892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
        </w:trPr>
        <w:tc>
          <w:tcPr>
            <w:tcW w:w="154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3"/>
              </w:rPr>
              <w:t>10.1†</w:t>
            </w:r>
          </w:p>
        </w:tc>
        <w:tc>
          <w:tcPr>
            <w:tcW w:w="8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540" w:type="dxa"/>
            <w:vAlign w:val="bottom"/>
            <w:gridSpan w:val="2"/>
            <w:vMerge w:val="continue"/>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Analog Devices, Inc. Amended and Restated 2006 Stock Incentive Plan.</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10.2†</w:t>
            </w:r>
          </w:p>
        </w:tc>
        <w:tc>
          <w:tcPr>
            <w:tcW w:w="8920" w:type="dxa"/>
            <w:vAlign w:val="bottom"/>
          </w:tcPr>
          <w:p>
            <w:pPr>
              <w:ind w:left="40"/>
              <w:spacing w:after="0"/>
              <w:rPr>
                <w:sz w:val="20"/>
                <w:szCs w:val="20"/>
                <w:color w:val="auto"/>
              </w:rPr>
            </w:pPr>
            <w:r>
              <w:rPr>
                <w:rFonts w:ascii="Arial" w:cs="Arial" w:eastAsia="Arial" w:hAnsi="Arial"/>
                <w:sz w:val="18"/>
                <w:szCs w:val="18"/>
                <w:color w:val="auto"/>
              </w:rPr>
              <w:t>Form of Global Non-Qualified Stock Option Agreement for Employees for usage under the Analog Devices, Inc.</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Amended and Restated 2006 Stock Incentive Plan.</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10.3†</w:t>
            </w:r>
          </w:p>
        </w:tc>
        <w:tc>
          <w:tcPr>
            <w:tcW w:w="8920" w:type="dxa"/>
            <w:vAlign w:val="bottom"/>
          </w:tcPr>
          <w:p>
            <w:pPr>
              <w:ind w:left="40"/>
              <w:spacing w:after="0"/>
              <w:rPr>
                <w:sz w:val="20"/>
                <w:szCs w:val="20"/>
                <w:color w:val="auto"/>
              </w:rPr>
            </w:pPr>
            <w:r>
              <w:rPr>
                <w:rFonts w:ascii="Arial" w:cs="Arial" w:eastAsia="Arial" w:hAnsi="Arial"/>
                <w:sz w:val="18"/>
                <w:szCs w:val="18"/>
                <w:color w:val="auto"/>
                <w:w w:val="95"/>
              </w:rPr>
              <w:t>Form of Non-Qualified Stock Option Agreement for Directors for usage under the Analog Devices, Inc. Amended and</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Restated 2006 Stock Incentive Plan.</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10.4†</w:t>
            </w:r>
          </w:p>
        </w:tc>
        <w:tc>
          <w:tcPr>
            <w:tcW w:w="8920" w:type="dxa"/>
            <w:vAlign w:val="bottom"/>
          </w:tcPr>
          <w:p>
            <w:pPr>
              <w:ind w:left="40"/>
              <w:spacing w:after="0"/>
              <w:rPr>
                <w:sz w:val="20"/>
                <w:szCs w:val="20"/>
                <w:color w:val="auto"/>
              </w:rPr>
            </w:pPr>
            <w:r>
              <w:rPr>
                <w:rFonts w:ascii="Arial" w:cs="Arial" w:eastAsia="Arial" w:hAnsi="Arial"/>
                <w:sz w:val="18"/>
                <w:szCs w:val="18"/>
                <w:color w:val="auto"/>
                <w:w w:val="93"/>
              </w:rPr>
              <w:t>Form of Global Restricted Stock Unit Agreement for Employees for usage under the Analog Devices, Inc. Amended and</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Restated 2006 Stock Incentive Plan.</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10.5†</w:t>
            </w:r>
          </w:p>
        </w:tc>
        <w:tc>
          <w:tcPr>
            <w:tcW w:w="8920" w:type="dxa"/>
            <w:vAlign w:val="bottom"/>
          </w:tcPr>
          <w:p>
            <w:pPr>
              <w:ind w:left="40"/>
              <w:spacing w:after="0"/>
              <w:rPr>
                <w:sz w:val="20"/>
                <w:szCs w:val="20"/>
                <w:color w:val="auto"/>
              </w:rPr>
            </w:pPr>
            <w:r>
              <w:rPr>
                <w:rFonts w:ascii="Arial" w:cs="Arial" w:eastAsia="Arial" w:hAnsi="Arial"/>
                <w:sz w:val="18"/>
                <w:szCs w:val="18"/>
                <w:color w:val="auto"/>
                <w:w w:val="91"/>
              </w:rPr>
              <w:t>Form of Performance Restricted Stock Unit Agreement for Employees for usage under the Analog Devices, Inc. Amended</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and Restated 2006 Stock Incentive Plan.</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10.6†</w:t>
            </w:r>
          </w:p>
        </w:tc>
        <w:tc>
          <w:tcPr>
            <w:tcW w:w="8920" w:type="dxa"/>
            <w:vAlign w:val="bottom"/>
          </w:tcPr>
          <w:p>
            <w:pPr>
              <w:ind w:left="40"/>
              <w:spacing w:after="0"/>
              <w:rPr>
                <w:sz w:val="20"/>
                <w:szCs w:val="20"/>
                <w:color w:val="auto"/>
              </w:rPr>
            </w:pPr>
            <w:r>
              <w:rPr>
                <w:rFonts w:ascii="Arial" w:cs="Arial" w:eastAsia="Arial" w:hAnsi="Arial"/>
                <w:sz w:val="18"/>
                <w:szCs w:val="18"/>
                <w:color w:val="auto"/>
                <w:w w:val="92"/>
              </w:rPr>
              <w:t>Form of Restricted Stock Unit Agreement for Directors for usage under the Analog Devices, Inc. Amended and Restated</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2006 Stock Incentive Plan.</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31.1†</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Rule 13a-14(a) and 15d-14(a) of the Securities Exchange Act, as Adopted Pursuant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Section 302 of the Sarbanes-Oxley Act of 2002 (Chief Executive Officer).</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31.2†</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Rule 13a-14(a) and 15d-14(a) of the Securities Exchange Act, as Adopted Pursuant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Section 302 of the Sarbanes-Oxley Act of 2002 (Chief Financial Officer).</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32.1†</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(Chief Executive Officer).</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32.2†</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(Chief Financial Officer).</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101.INS</w:t>
            </w:r>
          </w:p>
        </w:tc>
        <w:tc>
          <w:tcPr>
            <w:tcW w:w="892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101.SCH</w:t>
            </w:r>
          </w:p>
        </w:tc>
        <w:tc>
          <w:tcPr>
            <w:tcW w:w="8920" w:type="dxa"/>
            <w:vAlign w:val="bottom"/>
          </w:tcPr>
          <w:p>
            <w:pPr>
              <w:ind w:left="40"/>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101.CAL</w:t>
            </w:r>
          </w:p>
        </w:tc>
        <w:tc>
          <w:tcPr>
            <w:tcW w:w="8920" w:type="dxa"/>
            <w:vAlign w:val="bottom"/>
          </w:tcPr>
          <w:p>
            <w:pPr>
              <w:ind w:left="40"/>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101.LAB</w:t>
            </w:r>
          </w:p>
        </w:tc>
        <w:tc>
          <w:tcPr>
            <w:tcW w:w="8920" w:type="dxa"/>
            <w:vAlign w:val="bottom"/>
          </w:tcPr>
          <w:p>
            <w:pPr>
              <w:ind w:left="40"/>
              <w:spacing w:after="0"/>
              <w:rPr>
                <w:sz w:val="20"/>
                <w:szCs w:val="20"/>
                <w:color w:val="auto"/>
              </w:rPr>
            </w:pPr>
            <w:r>
              <w:rPr>
                <w:rFonts w:ascii="Arial" w:cs="Arial" w:eastAsia="Arial" w:hAnsi="Arial"/>
                <w:sz w:val="18"/>
                <w:szCs w:val="18"/>
                <w:color w:val="auto"/>
              </w:rPr>
              <w:t>XBRL Labels Linkbase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101.PRE</w:t>
            </w:r>
          </w:p>
        </w:tc>
        <w:tc>
          <w:tcPr>
            <w:tcW w:w="8920" w:type="dxa"/>
            <w:vAlign w:val="bottom"/>
          </w:tcPr>
          <w:p>
            <w:pPr>
              <w:ind w:left="40"/>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101.DEF</w:t>
            </w:r>
          </w:p>
        </w:tc>
        <w:tc>
          <w:tcPr>
            <w:tcW w:w="8920" w:type="dxa"/>
            <w:vAlign w:val="bottom"/>
          </w:tcPr>
          <w:p>
            <w:pPr>
              <w:ind w:left="40"/>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20" w:hanging="1076"/>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ind w:left="1620" w:hanging="1121"/>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Income for the three months ended February 1, 2014 and February 2, 2013, (ii) Condensed Consolidated Statements of Comprehensive Income for the three months ended February 1, 2014 and February 2, 2013, (iii) Condensed Consolidated Balance Sheets at February 1, 2014 and November 2, 2013,</w:t>
      </w:r>
    </w:p>
    <w:p>
      <w:pPr>
        <w:ind w:right="440" w:firstLine="8"/>
        <w:spacing w:after="0" w:line="261" w:lineRule="auto"/>
        <w:tabs>
          <w:tab w:leader="none" w:pos="3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three months ended February 1, 2014 and February 2, 2013 and (v) Notes to Condensed Consolidated Financial Statements for the three months ended February 1, 2014.</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769" w:right="2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2006 STOCK INCENTIVE PLAN</w:t>
      </w:r>
    </w:p>
    <w:p>
      <w:pPr>
        <w:spacing w:after="0" w:line="22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purpose of this Amended and Restated 2006 Stock Incentive Plan (the “Plan”) of Analog Devices, Inc., a Massachusetts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19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All of the Company’s employees, officers and directors, as well as consultants and advisors (as such terms are defined and interpreted for purposes of Form S-8 under the Securities Act of 1933, as amended (the “Securities Act”), or any successor form (“Form S-8”)) are eligible to receive options, stock appreciation rights, restricted stock, restricted stock units, performance awards and other stock unit awards (each, an “Award”) under the Plan. Each person who receives an Award under the Plan is deemed a “Participant”.</w:t>
      </w:r>
    </w:p>
    <w:p>
      <w:pPr>
        <w:spacing w:after="0" w:line="18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225" w:lineRule="exact"/>
        <w:rPr>
          <w:rFonts w:ascii="Arial" w:cs="Arial" w:eastAsia="Arial" w:hAnsi="Arial"/>
          <w:sz w:val="18"/>
          <w:szCs w:val="18"/>
          <w:color w:val="auto"/>
        </w:rPr>
      </w:pPr>
    </w:p>
    <w:p>
      <w:pPr>
        <w:ind w:right="40" w:firstLine="656"/>
        <w:spacing w:after="0" w:line="255" w:lineRule="auto"/>
        <w:tabs>
          <w:tab w:leader="none" w:pos="1028"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Administration by Board of Directors</w:t>
      </w:r>
      <w:r>
        <w:rPr>
          <w:rFonts w:ascii="Arial" w:cs="Arial" w:eastAsia="Arial" w:hAnsi="Arial"/>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89" w:lineRule="exact"/>
        <w:rPr>
          <w:rFonts w:ascii="Arial" w:cs="Arial" w:eastAsia="Arial" w:hAnsi="Arial"/>
          <w:sz w:val="18"/>
          <w:szCs w:val="18"/>
          <w:color w:val="auto"/>
        </w:rPr>
      </w:pPr>
    </w:p>
    <w:p>
      <w:pPr>
        <w:ind w:right="180" w:firstLine="656"/>
        <w:spacing w:after="0" w:line="259" w:lineRule="auto"/>
        <w:tabs>
          <w:tab w:leader="none" w:pos="1038"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w:t>
      </w:r>
    </w:p>
    <w:p>
      <w:pPr>
        <w:spacing w:after="0" w:line="186" w:lineRule="exact"/>
        <w:rPr>
          <w:rFonts w:ascii="Arial" w:cs="Arial" w:eastAsia="Arial" w:hAnsi="Arial"/>
          <w:sz w:val="18"/>
          <w:szCs w:val="18"/>
          <w:color w:val="auto"/>
        </w:rPr>
      </w:pPr>
    </w:p>
    <w:p>
      <w:pPr>
        <w:ind w:right="20" w:firstLine="656"/>
        <w:spacing w:after="0" w:line="255" w:lineRule="auto"/>
        <w:tabs>
          <w:tab w:leader="none" w:pos="1028"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Delegation to Officers</w:t>
      </w:r>
      <w:r>
        <w:rPr>
          <w:rFonts w:ascii="Arial" w:cs="Arial" w:eastAsia="Arial" w:hAnsi="Arial"/>
          <w:sz w:val="18"/>
          <w:szCs w:val="18"/>
          <w:color w:val="auto"/>
        </w:rPr>
        <w:t>. To the extent permitted by applicable law, the Board may delegate to one or more officers of the Company the power to grant Awards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189" w:lineRule="exact"/>
        <w:rPr>
          <w:rFonts w:ascii="Arial" w:cs="Arial" w:eastAsia="Arial" w:hAnsi="Arial"/>
          <w:sz w:val="18"/>
          <w:szCs w:val="18"/>
          <w:color w:val="auto"/>
        </w:rPr>
      </w:pPr>
    </w:p>
    <w:p>
      <w:pPr>
        <w:ind w:right="160" w:firstLine="656"/>
        <w:spacing w:after="0" w:line="342" w:lineRule="auto"/>
        <w:tabs>
          <w:tab w:leader="none" w:pos="1038"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Awards to Non-Employee Directors</w:t>
      </w:r>
      <w:r>
        <w:rPr>
          <w:rFonts w:ascii="Arial" w:cs="Arial" w:eastAsia="Arial" w:hAnsi="Arial"/>
          <w:sz w:val="16"/>
          <w:szCs w:val="16"/>
          <w:color w:val="auto"/>
        </w:rPr>
        <w:t>. Discretionary Awards to non-employee directors may be granted and administered only by a Committee, all of the members of which are independent directors as defined by Section 5605(a)(2) of the NASDAQ Stock Market (“NASDAQ”) Marketplace Rules.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1" w:right="239" w:bottom="1440" w:gutter="0" w:footer="0" w:header="0"/>
        </w:sectPr>
      </w:pPr>
    </w:p>
    <w:bookmarkStart w:id="44" w:name="page45"/>
    <w:bookmarkEnd w:id="44"/>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p>
    <w:p>
      <w:pPr>
        <w:spacing w:after="0" w:line="225" w:lineRule="exact"/>
        <w:rPr>
          <w:rFonts w:ascii="Arial" w:cs="Arial" w:eastAsia="Arial" w:hAnsi="Arial"/>
          <w:sz w:val="18"/>
          <w:szCs w:val="18"/>
          <w:color w:val="auto"/>
        </w:rPr>
      </w:pPr>
    </w:p>
    <w:p>
      <w:pPr>
        <w:ind w:right="60" w:firstLine="656"/>
        <w:spacing w:after="0" w:line="258" w:lineRule="auto"/>
        <w:tabs>
          <w:tab w:leader="none" w:pos="1028"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adjustment under Section 11, Awards may be made under the Plan for up to 34,000,000 shares of common stock, $.16 2/3 par value per share, of the Company (the “Common Stock”). The 34,000,000 shares of Common Stock available for issuance consist of (i) 15,000,000 shares of Common Stock (the “Initial Shares”), which became available for issuance on March 14, 2006, the date the Company’s stockholders first approved the 2006 Stock Incentive Plan (the “Initial Effective Date”) and (ii) 19,000,000 shares of Common Stock (the “Additional Shares”), which became available for issuance on March 12, 2014, the date the Company’s stockholders approved the Amended and Restated Stock Incentive Plan (the “Amended Effective Date”)</w:t>
      </w:r>
      <w:r>
        <w:rPr>
          <w:rFonts w:ascii="Arial" w:cs="Arial" w:eastAsia="Arial" w:hAnsi="Arial"/>
          <w:sz w:val="24"/>
          <w:szCs w:val="24"/>
          <w:color w:val="auto"/>
          <w:vertAlign w:val="superscript"/>
        </w:rPr>
        <w:t>1</w:t>
      </w:r>
      <w:r>
        <w:rPr>
          <w:rFonts w:ascii="Arial" w:cs="Arial" w:eastAsia="Arial" w:hAnsi="Arial"/>
          <w:sz w:val="17"/>
          <w:szCs w:val="17"/>
          <w:color w:val="auto"/>
        </w:rPr>
        <w:t>. In addition, subject to adjustment under Section 11, Awards may be made under the Plan with respect to any shares that were subject to outstanding options under the 1998 Stock Option and 2001 Broad-Based Stock Option Plan (collectively, the “Prior Plans”) as of January 23, 2006, the date of the initial adoption of the 2006 Stock Incentive Plan by the Board, but which shares are not issued under the Prior Plans as a result, and to the extent, of the termination or expiration of the applicable option prior to the exercise thereof. From and after the Initial Effective Date, the Company issued no further options under the Prior Plans, and such Prior Plans terminated, except to the extent they apply to options outstanding under the Prior Plans as of the Initial Effective Date.</w:t>
      </w:r>
    </w:p>
    <w:p>
      <w:pPr>
        <w:spacing w:after="0" w:line="194" w:lineRule="exact"/>
        <w:rPr>
          <w:rFonts w:ascii="Arial" w:cs="Arial" w:eastAsia="Arial" w:hAnsi="Arial"/>
          <w:sz w:val="17"/>
          <w:szCs w:val="17"/>
          <w:color w:val="auto"/>
        </w:rPr>
      </w:pPr>
    </w:p>
    <w:p>
      <w:pPr>
        <w:ind w:right="320" w:firstLine="656"/>
        <w:spacing w:after="0" w:line="277" w:lineRule="auto"/>
        <w:tabs>
          <w:tab w:leader="none" w:pos="1038"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Counting of Shares</w:t>
      </w:r>
      <w:r>
        <w:rPr>
          <w:rFonts w:ascii="Arial" w:cs="Arial" w:eastAsia="Arial" w:hAnsi="Arial"/>
          <w:sz w:val="18"/>
          <w:szCs w:val="18"/>
          <w:color w:val="auto"/>
        </w:rPr>
        <w:t>. For purposes of counting the number of shares available for the grant of Awards under the Plan and under the sublimits contained in Section 4(c):</w:t>
      </w:r>
    </w:p>
    <w:p>
      <w:pPr>
        <w:spacing w:after="0" w:line="170" w:lineRule="exact"/>
        <w:rPr>
          <w:rFonts w:ascii="Arial" w:cs="Arial" w:eastAsia="Arial" w:hAnsi="Arial"/>
          <w:sz w:val="18"/>
          <w:szCs w:val="18"/>
          <w:color w:val="auto"/>
        </w:rPr>
      </w:pPr>
    </w:p>
    <w:p>
      <w:pPr>
        <w:ind w:right="100" w:firstLine="1305"/>
        <w:spacing w:after="0" w:line="257" w:lineRule="auto"/>
        <w:tabs>
          <w:tab w:leader="none" w:pos="1686" w:val="left"/>
        </w:tabs>
        <w:numPr>
          <w:ilvl w:val="2"/>
          <w:numId w:val="26"/>
        </w:numPr>
        <w:rPr>
          <w:rFonts w:ascii="Arial" w:cs="Arial" w:eastAsia="Arial" w:hAnsi="Arial"/>
          <w:sz w:val="18"/>
          <w:szCs w:val="18"/>
          <w:color w:val="auto"/>
        </w:rPr>
      </w:pPr>
      <w:r>
        <w:rPr>
          <w:rFonts w:ascii="Arial" w:cs="Arial" w:eastAsia="Arial" w:hAnsi="Arial"/>
          <w:sz w:val="18"/>
          <w:szCs w:val="18"/>
          <w:color w:val="auto"/>
        </w:rPr>
        <w:t>all shares of Common Stock covered by SARs shall be counted against the number of shares available for the grant of Awards under the Plan and against the sublimits contained in Section 4(c); provided, however, that (i) SARs that may be settled only in cash shall not be so counted and (ii) if the Company grants an SAR in tandem with an Option for the same number of shares of Common Stock and provides that only one such Award may be exercised (a “Tandem SAR”), only the shares covered by the Option, and not the shares covered by the Tandem SAR, shall be so counted, and the expiration of one in connection with the other’s exercise will not restore shares to the Plan;</w:t>
      </w:r>
    </w:p>
    <w:p>
      <w:pPr>
        <w:spacing w:after="0" w:line="188" w:lineRule="exact"/>
        <w:rPr>
          <w:rFonts w:ascii="Arial" w:cs="Arial" w:eastAsia="Arial" w:hAnsi="Arial"/>
          <w:sz w:val="18"/>
          <w:szCs w:val="18"/>
          <w:color w:val="auto"/>
        </w:rPr>
      </w:pPr>
    </w:p>
    <w:p>
      <w:pPr>
        <w:ind w:firstLine="1305"/>
        <w:spacing w:after="0" w:line="290" w:lineRule="auto"/>
        <w:tabs>
          <w:tab w:leader="none" w:pos="1686" w:val="left"/>
        </w:tabs>
        <w:numPr>
          <w:ilvl w:val="2"/>
          <w:numId w:val="26"/>
        </w:numPr>
        <w:rPr>
          <w:rFonts w:ascii="Arial" w:cs="Arial" w:eastAsia="Arial" w:hAnsi="Arial"/>
          <w:sz w:val="16"/>
          <w:szCs w:val="16"/>
          <w:color w:val="auto"/>
        </w:rPr>
      </w:pPr>
      <w:r>
        <w:rPr>
          <w:rFonts w:ascii="Arial" w:cs="Arial" w:eastAsia="Arial" w:hAnsi="Arial"/>
          <w:sz w:val="16"/>
          <w:szCs w:val="16"/>
          <w:color w:val="auto"/>
        </w:rPr>
        <w:t>if any Award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provided, however, that (x) in the case of Incentive Stock Options, the foregoing shall be subject to any limitations under the Code, (y) in the case of the exercise of an SAR, the number of shares counted against the shares available under the Plan and against the sublimits contained in Section 4(c) shall be the full number of shares subject to the SAR multiplied by the percentage of the SAR actually exercised, regardless of the number of shares actually used to settle such SAR upon exercise and (z) the shares covered by a Tandem SAR shall not again become available for grant upon the expiration or termination of such Tandem SAR;</w:t>
      </w:r>
    </w:p>
    <w:p>
      <w:pPr>
        <w:spacing w:after="0" w:line="166" w:lineRule="exact"/>
        <w:rPr>
          <w:rFonts w:ascii="Arial" w:cs="Arial" w:eastAsia="Arial" w:hAnsi="Arial"/>
          <w:sz w:val="16"/>
          <w:szCs w:val="16"/>
          <w:color w:val="auto"/>
        </w:rPr>
      </w:pPr>
    </w:p>
    <w:p>
      <w:pPr>
        <w:ind w:right="20" w:firstLine="1305"/>
        <w:spacing w:after="0" w:line="273" w:lineRule="auto"/>
        <w:tabs>
          <w:tab w:leader="none" w:pos="1686" w:val="left"/>
        </w:tabs>
        <w:numPr>
          <w:ilvl w:val="2"/>
          <w:numId w:val="26"/>
        </w:numPr>
        <w:rPr>
          <w:rFonts w:ascii="Arial" w:cs="Arial" w:eastAsia="Arial" w:hAnsi="Arial"/>
          <w:sz w:val="17"/>
          <w:szCs w:val="17"/>
          <w:color w:val="auto"/>
        </w:rPr>
      </w:pPr>
      <w:r>
        <w:rPr>
          <w:rFonts w:ascii="Arial" w:cs="Arial" w:eastAsia="Arial" w:hAnsi="Arial"/>
          <w:sz w:val="17"/>
          <w:szCs w:val="17"/>
          <w:color w:val="auto"/>
        </w:rPr>
        <w:t>shares of Common Stock delivered (by actual delivery, attestation, or net exercise) to the Company by a Participant to (i) purchase shares of Common Stock upon the exercise of an Award or (ii) satisfy the minimum statutory tax withholding obligations with respect to Options and SARs (including shares retained from the Award creating the tax obligation) shall not be added back to the number of shares available for the future grant of Awards (for the avoidance of doubt, shares of Common Stock delivered (by actual delivery, attestation or net exercise) to the Company by a Participant to satisfy the minimum statutory tax withholding obligations with respect to Awards other than Options and SARs (including shares retained from the Award creating the tax obligation) shall be added back to the number of shares available for the future grant of Awards);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w:t>
      </w:r>
    </w:p>
    <w:p>
      <w:pPr>
        <w:spacing w:after="0" w:line="67"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vertAlign w:val="superscript"/>
        </w:rPr>
        <w:t>1</w:t>
      </w:r>
      <w:r>
        <w:rPr>
          <w:rFonts w:ascii="Arial" w:cs="Arial" w:eastAsia="Arial" w:hAnsi="Arial"/>
          <w:sz w:val="12"/>
          <w:szCs w:val="12"/>
          <w:color w:val="auto"/>
        </w:rPr>
        <w:t>The Initial Shares were subject to share counting rules pursuant to which (1) shares subject to Awards of Options and SARs counted against the limit as one share for every one share subject to such Award and (2) shares subject to Awards other than Options and SARs counted as three shares for every one share subject to such Award. The Additional Shares, and any of the Initial Shares that are not subject to an outstanding Award as of the Amended Effective Date, are counted as one share for every one share subject to every type of Award granted on or after the Amended Effective Date.</w:t>
      </w:r>
    </w:p>
    <w:p>
      <w:pPr>
        <w:ind w:right="120"/>
        <w:spacing w:after="0" w:line="452" w:lineRule="auto"/>
        <w:rPr>
          <w:sz w:val="20"/>
          <w:szCs w:val="20"/>
          <w:color w:val="auto"/>
        </w:rPr>
      </w:pPr>
      <w:r>
        <w:rPr>
          <w:rFonts w:ascii="Arial" w:cs="Arial" w:eastAsia="Arial" w:hAnsi="Arial"/>
          <w:sz w:val="12"/>
          <w:szCs w:val="12"/>
          <w:color w:val="auto"/>
        </w:rPr>
        <w:t>To the extent that a share that was subject to an Award that counted as one share is returned to the Plan pursuant to Section 4(b)(2), each applicable share reserve will be credited with one share. To the extent that a share that was subject to an Award that counted as three shares is returned to the Plan pursuant to Section 4(b)(2), each applicable share reserve will be credited with three shares.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45" w:name="page46"/>
    <w:bookmarkEnd w:id="45"/>
    <w:p>
      <w:pPr>
        <w:spacing w:after="0" w:line="50" w:lineRule="exact"/>
        <w:rPr>
          <w:sz w:val="20"/>
          <w:szCs w:val="20"/>
          <w:color w:val="auto"/>
        </w:rPr>
      </w:pPr>
    </w:p>
    <w:p>
      <w:pPr>
        <w:ind w:left="-8" w:right="60" w:firstLine="1305"/>
        <w:spacing w:after="0" w:line="277" w:lineRule="auto"/>
        <w:tabs>
          <w:tab w:leader="none" w:pos="1678"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shares of Common Stock repurchased by the Company on the open market using the proceeds from the exercise of an Award shall not increase the number of shares available for future grant of Awards.</w:t>
      </w:r>
    </w:p>
    <w:p>
      <w:pPr>
        <w:spacing w:after="0" w:line="170" w:lineRule="exact"/>
        <w:rPr>
          <w:rFonts w:ascii="Arial" w:cs="Arial" w:eastAsia="Arial" w:hAnsi="Arial"/>
          <w:sz w:val="18"/>
          <w:szCs w:val="18"/>
          <w:color w:val="auto"/>
        </w:rPr>
      </w:pPr>
    </w:p>
    <w:p>
      <w:pPr>
        <w:ind w:left="1032" w:hanging="384"/>
        <w:spacing w:after="0"/>
        <w:tabs>
          <w:tab w:leader="none" w:pos="103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Sub-limits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1305"/>
        <w:spacing w:after="0" w:line="272" w:lineRule="auto"/>
        <w:tabs>
          <w:tab w:leader="none" w:pos="1678" w:val="left"/>
        </w:tabs>
        <w:numPr>
          <w:ilvl w:val="2"/>
          <w:numId w:val="28"/>
        </w:numPr>
        <w:rPr>
          <w:rFonts w:ascii="Arial" w:cs="Arial" w:eastAsia="Arial" w:hAnsi="Arial"/>
          <w:sz w:val="17"/>
          <w:szCs w:val="17"/>
          <w:color w:val="auto"/>
        </w:rPr>
      </w:pPr>
      <w:r>
        <w:rPr>
          <w:rFonts w:ascii="Arial" w:cs="Arial" w:eastAsia="Arial" w:hAnsi="Arial"/>
          <w:sz w:val="17"/>
          <w:szCs w:val="17"/>
          <w:u w:val="single" w:color="auto"/>
          <w:color w:val="auto"/>
        </w:rPr>
        <w:t>Per-Participant Limits</w:t>
      </w:r>
      <w:r>
        <w:rPr>
          <w:rFonts w:ascii="Arial" w:cs="Arial" w:eastAsia="Arial" w:hAnsi="Arial"/>
          <w:sz w:val="17"/>
          <w:szCs w:val="17"/>
          <w:color w:val="auto"/>
        </w:rPr>
        <w:t>. Subject to adjustment under Section 11, the maximum number of shares of Common Stock with respect to which Options and Stock Appreciation Rights may be granted to any Participant under the Plan shall be 2,000,000 per fiscal year of the Company, and the maximum number of shares of Common Stock with respect to which Restricted Stock Awards, Restricted Stock Units and Other Stock Unit Awards may be granted to any Participant under the Plan shall be 1,000,000 per fiscal year of the Company. For purposes of the foregoing limit, the combination of an Option in tandem with a Stock Appreciation Right shall be treated as a single Award. The per-Participant limit described in this Section 4(c)(1) shall be construed and applied consistently with Section 162(m) of the Code or any successor provision thereto, and the regulations thereunder (“Section 162(m)”). For the avoidance of doubt, each share subject to an Award shall be counted as one share for purposes of this sublimit.</w:t>
      </w:r>
    </w:p>
    <w:p>
      <w:pPr>
        <w:spacing w:after="0" w:line="177" w:lineRule="exact"/>
        <w:rPr>
          <w:rFonts w:ascii="Arial" w:cs="Arial" w:eastAsia="Arial" w:hAnsi="Arial"/>
          <w:sz w:val="17"/>
          <w:szCs w:val="17"/>
          <w:color w:val="auto"/>
        </w:rPr>
      </w:pPr>
    </w:p>
    <w:p>
      <w:pPr>
        <w:ind w:left="-8" w:right="40" w:firstLine="1305"/>
        <w:spacing w:after="0" w:line="264" w:lineRule="auto"/>
        <w:tabs>
          <w:tab w:leader="none" w:pos="1678"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Limit on Awards to Directors</w:t>
      </w:r>
      <w:r>
        <w:rPr>
          <w:rFonts w:ascii="Arial" w:cs="Arial" w:eastAsia="Arial" w:hAnsi="Arial"/>
          <w:sz w:val="18"/>
          <w:szCs w:val="18"/>
          <w:color w:val="auto"/>
        </w:rPr>
        <w:t>. Subject to adjustment under Section 11, the maximum number of shares with respect to which Awards may be granted to a director who is not an employee of the Company at the time of grant shall be 50,000 per fiscal year of the Company. For the avoidance of doubt, each share subject to an Award shall be counted as one share for purposes of this sublimit.</w:t>
      </w:r>
    </w:p>
    <w:p>
      <w:pPr>
        <w:spacing w:after="0" w:line="181" w:lineRule="exact"/>
        <w:rPr>
          <w:rFonts w:ascii="Arial" w:cs="Arial" w:eastAsia="Arial" w:hAnsi="Arial"/>
          <w:sz w:val="18"/>
          <w:szCs w:val="18"/>
          <w:color w:val="auto"/>
        </w:rPr>
      </w:pPr>
    </w:p>
    <w:p>
      <w:pPr>
        <w:ind w:left="-8" w:right="120" w:firstLine="656"/>
        <w:spacing w:after="0" w:line="276" w:lineRule="auto"/>
        <w:tabs>
          <w:tab w:leader="none" w:pos="1030"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Substitute Awards</w:t>
      </w:r>
      <w:r>
        <w:rPr>
          <w:rFonts w:ascii="Arial" w:cs="Arial" w:eastAsia="Arial" w:hAnsi="Arial"/>
          <w:sz w:val="17"/>
          <w:szCs w:val="17"/>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or any sublimits contained in the Plan, except as may be required by reason of Section 422 and related provisions of the Code.</w:t>
      </w:r>
    </w:p>
    <w:p>
      <w:pPr>
        <w:spacing w:after="0" w:line="172" w:lineRule="exact"/>
        <w:rPr>
          <w:rFonts w:ascii="Arial" w:cs="Arial" w:eastAsia="Arial" w:hAnsi="Arial"/>
          <w:sz w:val="17"/>
          <w:szCs w:val="17"/>
          <w:color w:val="auto"/>
        </w:rPr>
      </w:pPr>
    </w:p>
    <w:p>
      <w:pPr>
        <w:ind w:left="652" w:hanging="652"/>
        <w:spacing w:after="0"/>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225" w:lineRule="exact"/>
        <w:rPr>
          <w:rFonts w:ascii="Arial" w:cs="Arial" w:eastAsia="Arial" w:hAnsi="Arial"/>
          <w:sz w:val="18"/>
          <w:szCs w:val="18"/>
          <w:color w:val="auto"/>
        </w:rPr>
      </w:pPr>
    </w:p>
    <w:p>
      <w:pPr>
        <w:ind w:left="-8" w:right="140" w:firstLine="656"/>
        <w:spacing w:after="0" w:line="259" w:lineRule="auto"/>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which is not intended to be an Incentive Stock Option (as hereinafter defined) shall be designated a “Nonstatutory Stock Option”.</w:t>
      </w:r>
    </w:p>
    <w:p>
      <w:pPr>
        <w:spacing w:after="0" w:line="186" w:lineRule="exact"/>
        <w:rPr>
          <w:rFonts w:ascii="Arial" w:cs="Arial" w:eastAsia="Arial" w:hAnsi="Arial"/>
          <w:sz w:val="18"/>
          <w:szCs w:val="18"/>
          <w:color w:val="auto"/>
        </w:rPr>
      </w:pPr>
    </w:p>
    <w:p>
      <w:pPr>
        <w:ind w:left="-8" w:right="60" w:firstLine="656"/>
        <w:spacing w:after="0" w:line="254" w:lineRule="auto"/>
        <w:tabs>
          <w:tab w:leader="none" w:pos="103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An Option that the Board intends to be an “incentive stock option” as defined in Section 422 of the Code (an “Incentive Stock Option”) shall only be granted to employees of Analog Devices, Inc., any of Analog Devices,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pursuant to Section 12(f), including without limitation the conversion of an Incentive Stock Option to a Nonstatutory Stock Option. The maximum number of shares that may be issued upon exercise of Incentive Stock Options under the Plan shall be 15,000,000, as adjusted pursuant to Section 11.</w:t>
      </w:r>
    </w:p>
    <w:p>
      <w:pPr>
        <w:spacing w:after="0" w:line="192" w:lineRule="exact"/>
        <w:rPr>
          <w:rFonts w:ascii="Arial" w:cs="Arial" w:eastAsia="Arial" w:hAnsi="Arial"/>
          <w:sz w:val="18"/>
          <w:szCs w:val="18"/>
          <w:color w:val="auto"/>
        </w:rPr>
      </w:pPr>
    </w:p>
    <w:p>
      <w:pPr>
        <w:ind w:left="-8" w:right="80" w:firstLine="656"/>
        <w:spacing w:after="0" w:line="312" w:lineRule="auto"/>
        <w:tabs>
          <w:tab w:leader="none" w:pos="1020"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The Board shall establish the exercise price of each Option and specify such exercise price in the applicable option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exercise price shall be not less than 100% of the Fair Market Value per share of Common Stock on the date the Option is granted. For purposes of this Plan, “Fair Market Value” shall mean the fair market value as determined by (or in a manner approved by) the Board.</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12"/>
          </w:cols>
          <w:pgMar w:left="248" w:top="1440" w:right="239" w:bottom="1440" w:gutter="0" w:footer="0" w:header="0"/>
        </w:sectPr>
      </w:pPr>
    </w:p>
    <w:bookmarkStart w:id="46" w:name="page47"/>
    <w:bookmarkEnd w:id="46"/>
    <w:p>
      <w:pPr>
        <w:ind w:right="180" w:firstLine="656"/>
        <w:spacing w:after="0" w:line="277" w:lineRule="auto"/>
        <w:tabs>
          <w:tab w:leader="none" w:pos="103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Duration of Options</w:t>
      </w:r>
      <w:r>
        <w:rPr>
          <w:rFonts w:ascii="Arial" w:cs="Arial" w:eastAsia="Arial" w:hAnsi="Arial"/>
          <w:sz w:val="18"/>
          <w:szCs w:val="18"/>
          <w:color w:val="auto"/>
        </w:rPr>
        <w:t xml:space="preserve">. Each Option shall be exercisable at such times and subject to such terms and conditions as the Board may specify in the applicable option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Option will be granted for a term in excess of 10 years.</w:t>
      </w:r>
    </w:p>
    <w:p>
      <w:pPr>
        <w:spacing w:after="0" w:line="170" w:lineRule="exact"/>
        <w:rPr>
          <w:rFonts w:ascii="Arial" w:cs="Arial" w:eastAsia="Arial" w:hAnsi="Arial"/>
          <w:sz w:val="18"/>
          <w:szCs w:val="18"/>
          <w:color w:val="auto"/>
        </w:rPr>
      </w:pPr>
    </w:p>
    <w:p>
      <w:pPr>
        <w:ind w:right="60" w:firstLine="656"/>
        <w:spacing w:after="0" w:line="259" w:lineRule="auto"/>
        <w:tabs>
          <w:tab w:leader="none" w:pos="102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Options may be exercised by delivery to the Company, or an agent of the Company, of a written notice of exercise signed by the proper person or by any other form of notice (including electronic notice) approved by the Board, together with payment in full as specified in Section 5(f) for the number of shares for which the Option is exercised. Shares of Common Stock subject to the Option will be delivered by the Company following exercise either as soon as practicable.</w:t>
      </w:r>
    </w:p>
    <w:p>
      <w:pPr>
        <w:spacing w:after="0" w:line="186" w:lineRule="exact"/>
        <w:rPr>
          <w:rFonts w:ascii="Arial" w:cs="Arial" w:eastAsia="Arial" w:hAnsi="Arial"/>
          <w:sz w:val="18"/>
          <w:szCs w:val="18"/>
          <w:color w:val="auto"/>
        </w:rPr>
      </w:pPr>
    </w:p>
    <w:p>
      <w:pPr>
        <w:ind w:left="1020" w:hanging="364"/>
        <w:spacing w:after="0"/>
        <w:tabs>
          <w:tab w:leader="none" w:pos="102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Payment Upon Exercise</w:t>
      </w:r>
      <w:r>
        <w:rPr>
          <w:rFonts w:ascii="Arial" w:cs="Arial" w:eastAsia="Arial" w:hAnsi="Arial"/>
          <w:sz w:val="17"/>
          <w:szCs w:val="17"/>
          <w:color w:val="auto"/>
        </w:rPr>
        <w:t>. Common Stock purchased upon the exercise of an Option granted under the Plan shall be paid for as follows:</w:t>
      </w:r>
    </w:p>
    <w:p>
      <w:pPr>
        <w:spacing w:after="0" w:line="236" w:lineRule="exact"/>
        <w:rPr>
          <w:rFonts w:ascii="Arial" w:cs="Arial" w:eastAsia="Arial" w:hAnsi="Arial"/>
          <w:sz w:val="17"/>
          <w:szCs w:val="17"/>
          <w:color w:val="auto"/>
        </w:rPr>
      </w:pPr>
    </w:p>
    <w:p>
      <w:pPr>
        <w:ind w:left="1700" w:hanging="395"/>
        <w:spacing w:after="0"/>
        <w:tabs>
          <w:tab w:leader="none" w:pos="17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225" w:lineRule="exact"/>
        <w:rPr>
          <w:rFonts w:ascii="Arial" w:cs="Arial" w:eastAsia="Arial" w:hAnsi="Arial"/>
          <w:sz w:val="18"/>
          <w:szCs w:val="18"/>
          <w:color w:val="auto"/>
        </w:rPr>
      </w:pPr>
    </w:p>
    <w:p>
      <w:pPr>
        <w:ind w:right="200" w:firstLine="1305"/>
        <w:spacing w:after="0" w:line="259" w:lineRule="auto"/>
        <w:tabs>
          <w:tab w:leader="none" w:pos="1686" w:val="left"/>
        </w:tabs>
        <w:numPr>
          <w:ilvl w:val="2"/>
          <w:numId w:val="30"/>
        </w:numPr>
        <w:rPr>
          <w:rFonts w:ascii="Arial" w:cs="Arial" w:eastAsia="Arial" w:hAnsi="Arial"/>
          <w:sz w:val="18"/>
          <w:szCs w:val="18"/>
          <w:color w:val="auto"/>
        </w:rPr>
      </w:pPr>
      <w:r>
        <w:rPr>
          <w:rFonts w:ascii="Arial" w:cs="Arial" w:eastAsia="Arial" w:hAnsi="Arial"/>
          <w:sz w:val="18"/>
          <w:szCs w:val="18"/>
          <w:color w:val="auto"/>
        </w:rPr>
        <w:t>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86" w:lineRule="exact"/>
        <w:rPr>
          <w:rFonts w:ascii="Arial" w:cs="Arial" w:eastAsia="Arial" w:hAnsi="Arial"/>
          <w:sz w:val="18"/>
          <w:szCs w:val="18"/>
          <w:color w:val="auto"/>
        </w:rPr>
      </w:pPr>
    </w:p>
    <w:p>
      <w:pPr>
        <w:ind w:right="60" w:firstLine="1305"/>
        <w:spacing w:after="0" w:line="257" w:lineRule="auto"/>
        <w:tabs>
          <w:tab w:leader="none" w:pos="1686" w:val="left"/>
        </w:tabs>
        <w:numPr>
          <w:ilvl w:val="2"/>
          <w:numId w:val="30"/>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the applicable option agreement, by delivery (either by actual delivery or attestation) of shares of Common Stock owned by the Participant valued at their Fair Market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 such method of payment is then permitted under applicable law, (ii) such Common Stock, if acquired directly from the Company, was owned by the Participant for at least six months or such greater period of time, if any, as may be established by the Board in its discretion and (iii) such Common Stock is not subject to any repurchase, forfeiture, unfulfilled vesting or other similar requirements;</w:t>
      </w:r>
    </w:p>
    <w:p>
      <w:pPr>
        <w:spacing w:after="0" w:line="188" w:lineRule="exact"/>
        <w:rPr>
          <w:rFonts w:ascii="Arial" w:cs="Arial" w:eastAsia="Arial" w:hAnsi="Arial"/>
          <w:sz w:val="18"/>
          <w:szCs w:val="18"/>
          <w:color w:val="auto"/>
        </w:rPr>
      </w:pPr>
    </w:p>
    <w:p>
      <w:pPr>
        <w:ind w:firstLine="1305"/>
        <w:spacing w:after="0" w:line="277" w:lineRule="auto"/>
        <w:tabs>
          <w:tab w:leader="none" w:pos="1686" w:val="left"/>
        </w:tabs>
        <w:numPr>
          <w:ilvl w:val="2"/>
          <w:numId w:val="30"/>
        </w:numPr>
        <w:rPr>
          <w:rFonts w:ascii="Arial" w:cs="Arial" w:eastAsia="Arial" w:hAnsi="Arial"/>
          <w:sz w:val="18"/>
          <w:szCs w:val="18"/>
          <w:color w:val="auto"/>
        </w:rPr>
      </w:pPr>
      <w:r>
        <w:rPr>
          <w:rFonts w:ascii="Arial" w:cs="Arial" w:eastAsia="Arial" w:hAnsi="Arial"/>
          <w:sz w:val="18"/>
          <w:szCs w:val="18"/>
          <w:color w:val="auto"/>
        </w:rPr>
        <w:t>if provided for in the applicable option agreement or approved by the Company, in its sole discretion, by payment of such other lawful consideration as the Board may determine; or</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the Company may not (except as provided for under</w:t>
      </w:r>
    </w:p>
    <w:p>
      <w:pPr>
        <w:spacing w:after="0" w:line="46" w:lineRule="exact"/>
        <w:rPr>
          <w:rFonts w:ascii="Arial" w:cs="Arial" w:eastAsia="Arial" w:hAnsi="Arial"/>
          <w:sz w:val="16"/>
          <w:szCs w:val="16"/>
          <w:color w:val="auto"/>
        </w:rPr>
      </w:pPr>
    </w:p>
    <w:p>
      <w:pPr>
        <w:spacing w:after="0" w:line="270" w:lineRule="auto"/>
        <w:rPr>
          <w:rFonts w:ascii="Arial" w:cs="Arial" w:eastAsia="Arial" w:hAnsi="Arial"/>
          <w:sz w:val="16"/>
          <w:szCs w:val="16"/>
          <w:color w:val="auto"/>
        </w:rPr>
      </w:pPr>
      <w:r>
        <w:rPr>
          <w:rFonts w:ascii="Arial" w:cs="Arial" w:eastAsia="Arial" w:hAnsi="Arial"/>
          <w:sz w:val="17"/>
          <w:szCs w:val="17"/>
          <w:color w:val="auto"/>
        </w:rPr>
        <w:t>Section 11):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4(d))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or (4) take any other action under the Plan that constitutes a “repricing” within the meaning of the rules of the NASDAQ Stock Market.</w:t>
      </w:r>
    </w:p>
    <w:p>
      <w:pPr>
        <w:spacing w:after="0" w:line="178" w:lineRule="exact"/>
        <w:rPr>
          <w:rFonts w:ascii="Arial" w:cs="Arial" w:eastAsia="Arial" w:hAnsi="Arial"/>
          <w:sz w:val="16"/>
          <w:szCs w:val="16"/>
          <w:color w:val="auto"/>
        </w:rPr>
      </w:pPr>
    </w:p>
    <w:p>
      <w:pPr>
        <w:ind w:right="420" w:firstLine="656"/>
        <w:spacing w:after="0" w:line="277" w:lineRule="auto"/>
        <w:tabs>
          <w:tab w:leader="none" w:pos="103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No Reload Rights</w:t>
      </w:r>
      <w:r>
        <w:rPr>
          <w:rFonts w:ascii="Arial" w:cs="Arial" w:eastAsia="Arial" w:hAnsi="Arial"/>
          <w:sz w:val="18"/>
          <w:szCs w:val="18"/>
          <w:color w:val="auto"/>
        </w:rPr>
        <w:t>. No option granted under the Plan shall contain any provision entitling the optionee to the automatic grant of additional Options in connection with any exercise of the original Option.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225" w:lineRule="exact"/>
        <w:rPr>
          <w:rFonts w:ascii="Arial" w:cs="Arial" w:eastAsia="Arial" w:hAnsi="Arial"/>
          <w:sz w:val="18"/>
          <w:szCs w:val="18"/>
          <w:color w:val="auto"/>
        </w:rPr>
      </w:pPr>
    </w:p>
    <w:p>
      <w:pPr>
        <w:ind w:right="280" w:firstLine="656"/>
        <w:spacing w:after="0" w:line="259" w:lineRule="auto"/>
        <w:tabs>
          <w:tab w:leader="none" w:pos="1028"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consisting of a Stock Appreciation Right (“SAR”) entitling the holder, upon exercise, to receive an amount in Common Stock or cash or a combination thereof (as specified by the Board in the applicable Award agreement or otherwise) determined by reference to appreciation, from and after the date of grant, in the fair market value of a share of Common Stock. The date as of which such appreciation or other measure is determined shall be the exercise date.</w:t>
      </w:r>
    </w:p>
    <w:p>
      <w:pPr>
        <w:spacing w:after="0" w:line="186" w:lineRule="exact"/>
        <w:rPr>
          <w:rFonts w:ascii="Arial" w:cs="Arial" w:eastAsia="Arial" w:hAnsi="Arial"/>
          <w:sz w:val="18"/>
          <w:szCs w:val="18"/>
          <w:color w:val="auto"/>
        </w:rPr>
      </w:pPr>
    </w:p>
    <w:p>
      <w:pPr>
        <w:ind w:left="1040" w:hanging="384"/>
        <w:spacing w:after="0"/>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Stock Appreciation Rights may be granted in tandem with, or independently of, Options granted under the Plan.</w:t>
      </w:r>
    </w:p>
    <w:p>
      <w:pPr>
        <w:spacing w:after="0" w:line="225" w:lineRule="exact"/>
        <w:rPr>
          <w:rFonts w:ascii="Arial" w:cs="Arial" w:eastAsia="Arial" w:hAnsi="Arial"/>
          <w:sz w:val="18"/>
          <w:szCs w:val="18"/>
          <w:color w:val="auto"/>
        </w:rPr>
      </w:pPr>
    </w:p>
    <w:p>
      <w:pPr>
        <w:ind w:firstLine="1305"/>
        <w:spacing w:after="0" w:line="264" w:lineRule="auto"/>
        <w:tabs>
          <w:tab w:leader="none" w:pos="1686" w:val="left"/>
        </w:tabs>
        <w:numPr>
          <w:ilvl w:val="2"/>
          <w:numId w:val="31"/>
        </w:numPr>
        <w:rPr>
          <w:rFonts w:ascii="Arial" w:cs="Arial" w:eastAsia="Arial" w:hAnsi="Arial"/>
          <w:sz w:val="18"/>
          <w:szCs w:val="18"/>
          <w:color w:val="auto"/>
        </w:rPr>
      </w:pPr>
      <w:r>
        <w:rPr>
          <w:rFonts w:ascii="Arial" w:cs="Arial" w:eastAsia="Arial" w:hAnsi="Arial"/>
          <w:sz w:val="18"/>
          <w:szCs w:val="18"/>
          <w:u w:val="single" w:color="auto"/>
          <w:color w:val="auto"/>
        </w:rPr>
        <w:t>Tandem Awards</w:t>
      </w:r>
      <w:r>
        <w:rPr>
          <w:rFonts w:ascii="Arial" w:cs="Arial" w:eastAsia="Arial" w:hAnsi="Arial"/>
          <w:sz w:val="18"/>
          <w:szCs w:val="18"/>
          <w:color w:val="auto"/>
        </w:rPr>
        <w:t>. When Stock Appreciation Rights are expressly granted in tandem with Options, (i) the Stock Appreciation Right will be exercisable only at such time or times, and to the extent, that the related Option is exercisable (except to the extent designated by the Board in connection with a Reorganization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625" w:right="279" w:bottom="1440" w:gutter="0" w:footer="0" w:header="0"/>
        </w:sectPr>
      </w:pPr>
    </w:p>
    <w:bookmarkStart w:id="47" w:name="page48"/>
    <w:bookmarkEnd w:id="47"/>
    <w:p>
      <w:pPr>
        <w:ind w:right="140"/>
        <w:spacing w:after="0" w:line="293" w:lineRule="auto"/>
        <w:rPr>
          <w:sz w:val="20"/>
          <w:szCs w:val="20"/>
          <w:color w:val="auto"/>
        </w:rPr>
      </w:pPr>
      <w:r>
        <w:rPr>
          <w:rFonts w:ascii="Arial" w:cs="Arial" w:eastAsia="Arial" w:hAnsi="Arial"/>
          <w:sz w:val="16"/>
          <w:szCs w:val="16"/>
          <w:color w:val="auto"/>
        </w:rPr>
        <w:t>Event or a Change in Control Event) and will be exercisable in accordance with the procedure required for exercise of the related Option; (ii) the Stock Appreciation Right will terminate and no longer be exercisable upon the termination or exercise of the related Option, except to the extent designated by the Board in connection with a Reorganization Event or a Change in Control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(iii) the Option will terminate and no longer be exercisable upon the exercise of the related Stock Appreciation Right; and (iv) the Stock Appreciation Right will be transferable only with the related Option.</w:t>
      </w:r>
    </w:p>
    <w:p>
      <w:pPr>
        <w:spacing w:after="0" w:line="165" w:lineRule="exact"/>
        <w:rPr>
          <w:sz w:val="20"/>
          <w:szCs w:val="20"/>
          <w:color w:val="auto"/>
        </w:rPr>
      </w:pPr>
    </w:p>
    <w:p>
      <w:pPr>
        <w:ind w:right="80" w:firstLine="1305"/>
        <w:spacing w:after="0" w:line="277" w:lineRule="auto"/>
        <w:tabs>
          <w:tab w:leader="none" w:pos="1686"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Independent SARs</w:t>
      </w:r>
      <w:r>
        <w:rPr>
          <w:rFonts w:ascii="Arial" w:cs="Arial" w:eastAsia="Arial" w:hAnsi="Arial"/>
          <w:sz w:val="18"/>
          <w:szCs w:val="18"/>
          <w:color w:val="auto"/>
        </w:rPr>
        <w:t>. A Stock Appreciation Right not expressly granted in tandem with an Option will become exercisable at such time or times, and on such conditions, as the Board may specify in the SAR Award.</w:t>
      </w:r>
    </w:p>
    <w:p>
      <w:pPr>
        <w:spacing w:after="0" w:line="170" w:lineRule="exact"/>
        <w:rPr>
          <w:rFonts w:ascii="Arial" w:cs="Arial" w:eastAsia="Arial" w:hAnsi="Arial"/>
          <w:sz w:val="18"/>
          <w:szCs w:val="18"/>
          <w:color w:val="auto"/>
        </w:rPr>
      </w:pPr>
    </w:p>
    <w:p>
      <w:pPr>
        <w:ind w:right="220" w:firstLine="656"/>
        <w:spacing w:after="0" w:line="264" w:lineRule="auto"/>
        <w:tabs>
          <w:tab w:leader="none" w:pos="1028"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Grant Price</w:t>
      </w:r>
      <w:r>
        <w:rPr>
          <w:rFonts w:ascii="Arial" w:cs="Arial" w:eastAsia="Arial" w:hAnsi="Arial"/>
          <w:sz w:val="18"/>
          <w:szCs w:val="18"/>
          <w:color w:val="auto"/>
        </w:rPr>
        <w:t>. The Board shall establish the exercise or grant price of each SAR and specify such price in the applicable Award agreement; provided, however, that the exercise or grant price shall be not less than 100% of the Fair Market Value per share of Common Stock on the date the SAR is granted.</w:t>
      </w:r>
    </w:p>
    <w:p>
      <w:pPr>
        <w:spacing w:after="0" w:line="181" w:lineRule="exact"/>
        <w:rPr>
          <w:rFonts w:ascii="Arial" w:cs="Arial" w:eastAsia="Arial" w:hAnsi="Arial"/>
          <w:sz w:val="18"/>
          <w:szCs w:val="18"/>
          <w:color w:val="auto"/>
        </w:rPr>
      </w:pPr>
    </w:p>
    <w:p>
      <w:pPr>
        <w:ind w:right="560" w:firstLine="656"/>
        <w:spacing w:after="0" w:line="277" w:lineRule="auto"/>
        <w:tabs>
          <w:tab w:leader="none" w:pos="1038"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Duration of SAR</w:t>
      </w:r>
      <w:r>
        <w:rPr>
          <w:rFonts w:ascii="Arial" w:cs="Arial" w:eastAsia="Arial" w:hAnsi="Arial"/>
          <w:sz w:val="18"/>
          <w:szCs w:val="18"/>
          <w:color w:val="auto"/>
        </w:rPr>
        <w:t xml:space="preserve">. Each SAR shall be exercisable at such times and subject to such terms and conditions as the Board may specify in the applicable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SAR will be granted for a term in excess of 10 years.</w:t>
      </w:r>
    </w:p>
    <w:p>
      <w:pPr>
        <w:spacing w:after="0" w:line="170" w:lineRule="exact"/>
        <w:rPr>
          <w:rFonts w:ascii="Arial" w:cs="Arial" w:eastAsia="Arial" w:hAnsi="Arial"/>
          <w:sz w:val="18"/>
          <w:szCs w:val="18"/>
          <w:color w:val="auto"/>
        </w:rPr>
      </w:pPr>
    </w:p>
    <w:p>
      <w:pPr>
        <w:ind w:right="100" w:firstLine="656"/>
        <w:spacing w:after="0" w:line="264" w:lineRule="auto"/>
        <w:tabs>
          <w:tab w:leader="none" w:pos="1028"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Stock Appreciation Rights may be exercised by delivery to the Company, or an agent of the Company, of a written notice of exercise signed by the proper person or by any other form of notice (including electronic notice) approved by the Board, together with any other documents required by the Board.</w:t>
      </w:r>
    </w:p>
    <w:p>
      <w:pPr>
        <w:spacing w:after="0" w:line="181" w:lineRule="exact"/>
        <w:rPr>
          <w:rFonts w:ascii="Arial" w:cs="Arial" w:eastAsia="Arial" w:hAnsi="Arial"/>
          <w:sz w:val="18"/>
          <w:szCs w:val="18"/>
          <w:color w:val="auto"/>
        </w:rPr>
      </w:pPr>
    </w:p>
    <w:p>
      <w:pPr>
        <w:ind w:left="1020" w:hanging="364"/>
        <w:spacing w:after="0"/>
        <w:tabs>
          <w:tab w:leader="none" w:pos="102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the Company may not (except as provided for under</w:t>
      </w:r>
    </w:p>
    <w:p>
      <w:pPr>
        <w:spacing w:after="0" w:line="46" w:lineRule="exact"/>
        <w:rPr>
          <w:rFonts w:ascii="Arial" w:cs="Arial" w:eastAsia="Arial" w:hAnsi="Arial"/>
          <w:sz w:val="16"/>
          <w:szCs w:val="16"/>
          <w:color w:val="auto"/>
        </w:rPr>
      </w:pPr>
    </w:p>
    <w:p>
      <w:pPr>
        <w:ind w:right="240"/>
        <w:spacing w:after="0" w:line="290" w:lineRule="auto"/>
        <w:rPr>
          <w:rFonts w:ascii="Arial" w:cs="Arial" w:eastAsia="Arial" w:hAnsi="Arial"/>
          <w:sz w:val="16"/>
          <w:szCs w:val="16"/>
          <w:color w:val="auto"/>
        </w:rPr>
      </w:pPr>
      <w:r>
        <w:rPr>
          <w:rFonts w:ascii="Arial" w:cs="Arial" w:eastAsia="Arial" w:hAnsi="Arial"/>
          <w:sz w:val="16"/>
          <w:szCs w:val="16"/>
          <w:color w:val="auto"/>
        </w:rPr>
        <w:t>Section 11): (1) amend any outstanding SAR granted under the Plan to provide an exercise price per share that is lower than the then-current exercise price per share of such outstanding SAR, (2) cancel any outstanding stock appreciation right (whether or not granted under the Plan) and grant in substitution therefor new Awards under the Plan (other than Awards granted pursuant to Section 4(d)) covering the same or a different number of shares of Common Stock and having an exercise price per share lower than the then-current exercise price per share of the cancelled stock appreciation right, (3) cancel in exchange for a cash payment any outstanding SAR with an exercise price per share above the then-current Fair Market Value, or (4) take any other action under the Plan that constitutes a “repricing” within the meaning of the rules of the NASDAQ Stock Market.</w:t>
      </w:r>
    </w:p>
    <w:p>
      <w:pPr>
        <w:spacing w:after="0" w:line="164" w:lineRule="exact"/>
        <w:rPr>
          <w:rFonts w:ascii="Arial" w:cs="Arial" w:eastAsia="Arial" w:hAnsi="Arial"/>
          <w:sz w:val="16"/>
          <w:szCs w:val="16"/>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225" w:lineRule="exact"/>
        <w:rPr>
          <w:rFonts w:ascii="Arial" w:cs="Arial" w:eastAsia="Arial" w:hAnsi="Arial"/>
          <w:sz w:val="18"/>
          <w:szCs w:val="18"/>
          <w:color w:val="auto"/>
        </w:rPr>
      </w:pPr>
    </w:p>
    <w:p>
      <w:pPr>
        <w:ind w:firstLine="656"/>
        <w:spacing w:after="0" w:line="259" w:lineRule="auto"/>
        <w:tabs>
          <w:tab w:leader="none" w:pos="1028"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entitling recipients to acquire shares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w:t>
      </w:r>
    </w:p>
    <w:p>
      <w:pPr>
        <w:spacing w:after="0" w:line="186" w:lineRule="exact"/>
        <w:rPr>
          <w:rFonts w:ascii="Arial" w:cs="Arial" w:eastAsia="Arial" w:hAnsi="Arial"/>
          <w:sz w:val="18"/>
          <w:szCs w:val="18"/>
          <w:color w:val="auto"/>
        </w:rPr>
      </w:pPr>
    </w:p>
    <w:p>
      <w:pPr>
        <w:ind w:right="180" w:firstLine="656"/>
        <w:spacing w:after="0" w:line="277" w:lineRule="auto"/>
        <w:tabs>
          <w:tab w:leader="none" w:pos="1038"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Subject to Section 7(c), the Board shall determine the terms and conditions of a Restricted Stock Award, including the conditions for vesting and forfeiture and the issue price, if any.</w:t>
      </w:r>
    </w:p>
    <w:p>
      <w:pPr>
        <w:spacing w:after="0" w:line="170" w:lineRule="exact"/>
        <w:rPr>
          <w:rFonts w:ascii="Arial" w:cs="Arial" w:eastAsia="Arial" w:hAnsi="Arial"/>
          <w:sz w:val="18"/>
          <w:szCs w:val="18"/>
          <w:color w:val="auto"/>
        </w:rPr>
      </w:pPr>
    </w:p>
    <w:p>
      <w:pPr>
        <w:ind w:right="120" w:firstLine="656"/>
        <w:spacing w:after="0" w:line="274" w:lineRule="auto"/>
        <w:tabs>
          <w:tab w:leader="none" w:pos="1028"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Participants holding shares of Restricted Stock will be entitled to all dividends (whether paid in cash, stock or property) paid with respect to such shares only if and when such shares become free from the restrictions on transferability and forfeitability that apply to such shares (“Accrued Dividends”). Each payment of Accrued Dividends shall be made no later than the end of the calendar year in which the dividends are paid to stockholders of that class of stock or, if later,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the third month following the lapsing of the restrictions on transferability and the forfeitability provisions applicable to the underlying shares of Restricted Stock with respect to which they were paid, unless otherwise provided by the Board.</w:t>
      </w:r>
    </w:p>
    <w:p>
      <w:pPr>
        <w:spacing w:after="0" w:line="167" w:lineRule="exact"/>
        <w:rPr>
          <w:rFonts w:ascii="Arial" w:cs="Arial" w:eastAsia="Arial" w:hAnsi="Arial"/>
          <w:sz w:val="16"/>
          <w:szCs w:val="16"/>
          <w:color w:val="auto"/>
        </w:rPr>
      </w:pPr>
    </w:p>
    <w:p>
      <w:pPr>
        <w:jc w:val="both"/>
        <w:ind w:right="20" w:firstLine="656"/>
        <w:spacing w:after="0" w:line="312" w:lineRule="auto"/>
        <w:tabs>
          <w:tab w:leader="none" w:pos="1038"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Stock Certificates</w:t>
      </w:r>
      <w:r>
        <w:rPr>
          <w:rFonts w:ascii="Arial" w:cs="Arial" w:eastAsia="Arial" w:hAnsi="Arial"/>
          <w:sz w:val="16"/>
          <w:szCs w:val="16"/>
          <w:color w:val="auto"/>
        </w:rPr>
        <w:t>. The Company may require that the stock certificates, if any, issued in respect of a Restricted Stock Award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625" w:right="259" w:bottom="1440" w:gutter="0" w:footer="0" w:header="0"/>
        </w:sectPr>
      </w:pPr>
    </w:p>
    <w:bookmarkStart w:id="48" w:name="page49"/>
    <w:bookmarkEnd w:id="48"/>
    <w:p>
      <w:pPr>
        <w:jc w:val="both"/>
        <w:ind w:right="360"/>
        <w:spacing w:after="0" w:line="264" w:lineRule="auto"/>
        <w:rPr>
          <w:sz w:val="20"/>
          <w:szCs w:val="20"/>
          <w:color w:val="auto"/>
        </w:rPr>
      </w:pPr>
      <w:r>
        <w:rPr>
          <w:rFonts w:ascii="Arial" w:cs="Arial" w:eastAsia="Arial" w:hAnsi="Arial"/>
          <w:sz w:val="18"/>
          <w:szCs w:val="18"/>
          <w:color w:val="auto"/>
        </w:rPr>
        <w:t>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8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p>
    <w:p>
      <w:pPr>
        <w:spacing w:after="0" w:line="225" w:lineRule="exact"/>
        <w:rPr>
          <w:rFonts w:ascii="Arial" w:cs="Arial" w:eastAsia="Arial" w:hAnsi="Arial"/>
          <w:sz w:val="18"/>
          <w:szCs w:val="18"/>
          <w:color w:val="auto"/>
        </w:rPr>
      </w:pPr>
    </w:p>
    <w:p>
      <w:pPr>
        <w:ind w:right="80" w:firstLine="656"/>
        <w:spacing w:after="0" w:line="277" w:lineRule="auto"/>
        <w:tabs>
          <w:tab w:leader="none" w:pos="1028"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consisting of Restricted Stock Units. “Restricted Stock Unit” means a fictional share of Common Stock granted to a Participant and represented initially by a bookkeeping entry.</w:t>
      </w:r>
    </w:p>
    <w:p>
      <w:pPr>
        <w:spacing w:after="0" w:line="170" w:lineRule="exact"/>
        <w:rPr>
          <w:rFonts w:ascii="Arial" w:cs="Arial" w:eastAsia="Arial" w:hAnsi="Arial"/>
          <w:sz w:val="18"/>
          <w:szCs w:val="18"/>
          <w:color w:val="auto"/>
        </w:rPr>
      </w:pPr>
    </w:p>
    <w:p>
      <w:pPr>
        <w:ind w:right="140" w:firstLine="656"/>
        <w:spacing w:after="0" w:line="297" w:lineRule="auto"/>
        <w:tabs>
          <w:tab w:leader="none" w:pos="1038"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Terms and Conditions</w:t>
      </w:r>
      <w:r>
        <w:rPr>
          <w:rFonts w:ascii="Arial" w:cs="Arial" w:eastAsia="Arial" w:hAnsi="Arial"/>
          <w:sz w:val="16"/>
          <w:szCs w:val="16"/>
          <w:color w:val="auto"/>
        </w:rPr>
        <w:t>. Subject to Section 8(d), the Board shall determine the terms and conditions of a Restricted Stock Unit, including the conditions for vesting and forfeiture and issue price, if any. Upon the vesting of and/or lapsing of any other restrictions with respect to each Restricted Stock Unit, the Participant shall be entitled to receive from the Company such number of shares of Common Stock or an amount of cash equal to the Fair Market Value of such number of shares of Common Stock, as specified by the Board in the applicable Award agreement or otherwise. The Board may, in its discretion, provide that settlement of Restricted Stock Units shall be deferred, on a mandatory basis or at the election of the Participant.</w:t>
      </w:r>
    </w:p>
    <w:p>
      <w:pPr>
        <w:spacing w:after="0" w:line="158" w:lineRule="exact"/>
        <w:rPr>
          <w:rFonts w:ascii="Arial" w:cs="Arial" w:eastAsia="Arial" w:hAnsi="Arial"/>
          <w:sz w:val="16"/>
          <w:szCs w:val="16"/>
          <w:color w:val="auto"/>
        </w:rPr>
      </w:pPr>
    </w:p>
    <w:p>
      <w:pPr>
        <w:ind w:left="1040" w:hanging="384"/>
        <w:spacing w:after="0"/>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w:t>
      </w:r>
    </w:p>
    <w:p>
      <w:pPr>
        <w:spacing w:after="0" w:line="225" w:lineRule="exact"/>
        <w:rPr>
          <w:rFonts w:ascii="Arial" w:cs="Arial" w:eastAsia="Arial" w:hAnsi="Arial"/>
          <w:sz w:val="18"/>
          <w:szCs w:val="18"/>
          <w:color w:val="auto"/>
        </w:rPr>
      </w:pPr>
    </w:p>
    <w:p>
      <w:pPr>
        <w:jc w:val="both"/>
        <w:ind w:right="180" w:firstLine="656"/>
        <w:spacing w:after="0" w:line="279" w:lineRule="auto"/>
        <w:tabs>
          <w:tab w:leader="none" w:pos="1038"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Unless otherwise provided by the Board, in its sole discretion, a grant of Restricted Stock Units shall not entitle Participants with the right to receive an amount equal to any dividends or other distributions declared and paid on an equal number of outstanding shares of Common Stock (“Dividend Equivalents”). Dividend Equivalents, if any, may be settled in cash and/or shares of Common Stock and must be subject to the same restrictions on transfer and forfeitability as the Restricted Stock Units with respect to which paid.</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p>
    <w:p>
      <w:pPr>
        <w:spacing w:after="0" w:line="225" w:lineRule="exact"/>
        <w:rPr>
          <w:rFonts w:ascii="Arial" w:cs="Arial" w:eastAsia="Arial" w:hAnsi="Arial"/>
          <w:sz w:val="18"/>
          <w:szCs w:val="18"/>
          <w:color w:val="auto"/>
        </w:rPr>
      </w:pPr>
    </w:p>
    <w:p>
      <w:pPr>
        <w:ind w:right="760" w:firstLine="656"/>
        <w:spacing w:after="0" w:line="277" w:lineRule="auto"/>
        <w:tabs>
          <w:tab w:leader="none" w:pos="1028"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Restricted Stock Awards, Restricted Stock Units and other Awards under the Plan may be made subject to the achievement of performance measures pursuant to this Section 9 (“Performance Awards”).</w:t>
      </w:r>
    </w:p>
    <w:p>
      <w:pPr>
        <w:spacing w:after="0" w:line="170" w:lineRule="exact"/>
        <w:rPr>
          <w:rFonts w:ascii="Arial" w:cs="Arial" w:eastAsia="Arial" w:hAnsi="Arial"/>
          <w:sz w:val="18"/>
          <w:szCs w:val="18"/>
          <w:color w:val="auto"/>
        </w:rPr>
      </w:pPr>
    </w:p>
    <w:p>
      <w:pPr>
        <w:ind w:firstLine="656"/>
        <w:spacing w:after="0" w:line="276" w:lineRule="auto"/>
        <w:tabs>
          <w:tab w:leader="none" w:pos="1038"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Committee</w:t>
      </w:r>
      <w:r>
        <w:rPr>
          <w:rFonts w:ascii="Arial" w:cs="Arial" w:eastAsia="Arial" w:hAnsi="Arial"/>
          <w:sz w:val="17"/>
          <w:szCs w:val="17"/>
          <w:color w:val="auto"/>
        </w:rPr>
        <w:t>. Grants of Performance Awards to any Covered Employee intended to qualify as “performance-based compensation” under Section 162(m) (“Performance-Based Compensation”) shall be made only by a Committee (or subcommittee of a Committee) comprised solely of two or more directors eligible to serve on a committee making Awards qualifying as “performance-based compensation” under Section 162(m) of the Code. In the case of such Awards granted to Covered Employees, references to the Board or to a Committee shall be deemed to be references to such Committee or subcommittee. “Covered Employee” shall mean any person who is a “covered employee” under Section 162(m)(3) of the Code.</w:t>
      </w:r>
    </w:p>
    <w:p>
      <w:pPr>
        <w:spacing w:after="0" w:line="172" w:lineRule="exact"/>
        <w:rPr>
          <w:rFonts w:ascii="Arial" w:cs="Arial" w:eastAsia="Arial" w:hAnsi="Arial"/>
          <w:sz w:val="17"/>
          <w:szCs w:val="17"/>
          <w:color w:val="auto"/>
        </w:rPr>
      </w:pPr>
    </w:p>
    <w:p>
      <w:pPr>
        <w:ind w:firstLine="656"/>
        <w:spacing w:after="0" w:line="286" w:lineRule="auto"/>
        <w:tabs>
          <w:tab w:leader="none" w:pos="1028"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Performance Measures</w:t>
      </w:r>
      <w:r>
        <w:rPr>
          <w:rFonts w:ascii="Arial" w:cs="Arial" w:eastAsia="Arial" w:hAnsi="Arial"/>
          <w:sz w:val="16"/>
          <w:szCs w:val="16"/>
          <w:color w:val="auto"/>
        </w:rPr>
        <w:t>. For any Award that is intended to qualify as Performance-Based Compensation, the Committee shall specify in the applicable Award agreement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(a) net income, (b) earnings before or after discontinued operations, interest, taxes, depreciation and/or amortization, (c) operating profit before or after discontinued operations and/or taxes, (d) sales, (e) sales growth, (f) earnings growth, (g) cash flow, free cash flow or cash position, (h) gross margins or margin percentages, (i) stock price, (j) market share, (k) return on sales, assets, equity or investment, (l) improvement of financial ratings, (m) achievement of balance sheet or income statement objectives or (n) total shareholder return, (o) product release schedules, (p) product shipment targets, (q) customer satisfaction, (r) product design-in and/or design-win revenue opportunities, or (s) new product innovation. Such measures may be absolute in their terms or measured against or in relationship to other companies comparably, similarly or otherwise situated and may be determined on a total or per share basis. Such performance measures may be adjusted to exclude any one or more of (i) extraordinary items, (ii) gains or losses on the dispositions of discontinued operations, (iii) the cumulative effects of changes in accounting principles, (iv) the writedown of any asset, (v) stock based compensation, and (vi) charges for restructuring and rationalization programs.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 set by the Committee within the time period prescribed by, and shall otherwise comply</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625" w:right="259" w:bottom="1440" w:gutter="0" w:footer="0" w:header="0"/>
        </w:sectPr>
      </w:pPr>
    </w:p>
    <w:bookmarkStart w:id="49" w:name="page50"/>
    <w:bookmarkEnd w:id="49"/>
    <w:p>
      <w:pPr>
        <w:ind w:right="140"/>
        <w:spacing w:after="0" w:line="277" w:lineRule="auto"/>
        <w:rPr>
          <w:sz w:val="20"/>
          <w:szCs w:val="20"/>
          <w:color w:val="auto"/>
        </w:rPr>
      </w:pPr>
      <w:r>
        <w:rPr>
          <w:rFonts w:ascii="Arial" w:cs="Arial" w:eastAsia="Arial" w:hAnsi="Arial"/>
          <w:sz w:val="18"/>
          <w:szCs w:val="18"/>
          <w:color w:val="auto"/>
        </w:rPr>
        <w:t>with the requirements of, Section 162(m). Awards that are not intended to qualify as Performance-Based Compensation may be based on these or such other performance measures as the Board may determine.</w:t>
      </w:r>
    </w:p>
    <w:p>
      <w:pPr>
        <w:spacing w:after="0" w:line="170" w:lineRule="exact"/>
        <w:rPr>
          <w:sz w:val="20"/>
          <w:szCs w:val="20"/>
          <w:color w:val="auto"/>
        </w:rPr>
      </w:pPr>
    </w:p>
    <w:p>
      <w:pPr>
        <w:ind w:right="260" w:firstLine="656"/>
        <w:spacing w:after="0" w:line="312" w:lineRule="auto"/>
        <w:tabs>
          <w:tab w:leader="none" w:pos="1038"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Notwithstanding any provision of the Plan, with respect to any Performance Award that is intended to qualify as Performance-Based Compensation, the Committee may adjust downwards, but not upwards, the cash or number of shares payable pursuant to such Award, and the Committee may not waive the achievement of the applicable performance measures except in the case of the death or disability of the Participant.</w:t>
      </w:r>
    </w:p>
    <w:p>
      <w:pPr>
        <w:spacing w:after="0" w:line="146" w:lineRule="exact"/>
        <w:rPr>
          <w:rFonts w:ascii="Arial" w:cs="Arial" w:eastAsia="Arial" w:hAnsi="Arial"/>
          <w:sz w:val="16"/>
          <w:szCs w:val="16"/>
          <w:color w:val="auto"/>
        </w:rPr>
      </w:pPr>
    </w:p>
    <w:p>
      <w:pPr>
        <w:ind w:right="40" w:firstLine="656"/>
        <w:spacing w:after="0" w:line="264" w:lineRule="auto"/>
        <w:tabs>
          <w:tab w:leader="none" w:pos="1028"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Unless otherwise provided by the Board, in its sole discretion, a grant of a Performance Award shall not entitle Participants with the right to receive Dividend Equivalents. Dividend Equivalents, if any, may be settled in cash and/or shares of Common Stock and must be subject to the same restrictions on transfer and forfeitability as the Performance Award with respect to which paid.</w:t>
      </w:r>
    </w:p>
    <w:p>
      <w:pPr>
        <w:spacing w:after="0" w:line="181" w:lineRule="exact"/>
        <w:rPr>
          <w:rFonts w:ascii="Arial" w:cs="Arial" w:eastAsia="Arial" w:hAnsi="Arial"/>
          <w:sz w:val="18"/>
          <w:szCs w:val="18"/>
          <w:color w:val="auto"/>
        </w:rPr>
      </w:pPr>
    </w:p>
    <w:p>
      <w:pPr>
        <w:ind w:right="200" w:firstLine="656"/>
        <w:spacing w:after="0" w:line="277" w:lineRule="auto"/>
        <w:tabs>
          <w:tab w:leader="none" w:pos="1008"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The Committee shall have the power to impose such other restrictions on Awards subject to this Section 9 as it may deem necessary or appropriate to ensure that such Awards satisfy all requirements for Performance-Based Compensation.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Other Stock Unit Awards</w:t>
      </w:r>
    </w:p>
    <w:p>
      <w:pPr>
        <w:spacing w:after="0" w:line="225" w:lineRule="exact"/>
        <w:rPr>
          <w:rFonts w:ascii="Arial" w:cs="Arial" w:eastAsia="Arial" w:hAnsi="Arial"/>
          <w:sz w:val="18"/>
          <w:szCs w:val="18"/>
          <w:color w:val="auto"/>
        </w:rPr>
      </w:pPr>
    </w:p>
    <w:p>
      <w:pPr>
        <w:ind w:right="80" w:firstLine="656"/>
        <w:spacing w:after="0" w:line="293" w:lineRule="auto"/>
        <w:tabs>
          <w:tab w:leader="none" w:pos="1028"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Other Awards of shares of Common Stock, and other Awards that are valued in whole or in part by reference to, or are otherwise based on, shares of Common Stock or other property, may be granted hereunder to Participants (“Other Stock Unit Awards”), including without limitation Awards entitling recipients to receive shares of Common Stock to be delivered in the future. Such Other Stock Unit Awards shall also be available as a form of payment in the 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terms and conditions of each Other Stock Unit Award, including any purchase price applicable thereto.</w:t>
      </w:r>
    </w:p>
    <w:p>
      <w:pPr>
        <w:spacing w:after="0" w:line="164" w:lineRule="exact"/>
        <w:rPr>
          <w:rFonts w:ascii="Arial" w:cs="Arial" w:eastAsia="Arial" w:hAnsi="Arial"/>
          <w:sz w:val="16"/>
          <w:szCs w:val="16"/>
          <w:color w:val="auto"/>
        </w:rPr>
      </w:pPr>
    </w:p>
    <w:p>
      <w:pPr>
        <w:jc w:val="both"/>
        <w:ind w:right="220" w:firstLine="656"/>
        <w:spacing w:after="0" w:line="264" w:lineRule="auto"/>
        <w:tabs>
          <w:tab w:leader="none" w:pos="1038"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Unless otherwise provided by the Board, in its sole discretion, a grant of an Other Stock Unit Award shall not entitle Participants with the right to receive Dividend Equivalents. Dividend Equivalents, if any, may be settled in cash and/or shares of Common Stock and must be subject to the same restrictions on transfer and forfeitability as the Other Stock Unit Award with respect to which paid.</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p>
    <w:p>
      <w:pPr>
        <w:spacing w:after="0" w:line="225" w:lineRule="exact"/>
        <w:rPr>
          <w:rFonts w:ascii="Arial" w:cs="Arial" w:eastAsia="Arial" w:hAnsi="Arial"/>
          <w:sz w:val="18"/>
          <w:szCs w:val="18"/>
          <w:color w:val="auto"/>
        </w:rPr>
      </w:pPr>
    </w:p>
    <w:p>
      <w:pPr>
        <w:ind w:firstLine="656"/>
        <w:spacing w:after="0" w:line="272" w:lineRule="auto"/>
        <w:tabs>
          <w:tab w:leader="none" w:pos="1028"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Changes in Capitalization</w:t>
      </w:r>
      <w:r>
        <w:rPr>
          <w:rFonts w:ascii="Arial" w:cs="Arial" w:eastAsia="Arial" w:hAnsi="Arial"/>
          <w:sz w:val="17"/>
          <w:szCs w:val="17"/>
          <w:color w:val="auto"/>
        </w:rPr>
        <w:t>. In the event of any stock split, reverse stock split, stock dividend, recapitalization, combination of shares, reclassification of shares, spin-off or other similar change in capitalization or event, or any distribution to holders of Common Stock other than an ordinary cash dividend, (i) the number and class of securities available under this Plan, (ii) the share counting rules set forth in Section 4(b), (iii) the sublimits contained in Section 4(c), (iv) the number and class of securities and exercise price per share of each outstanding Option, (v) the share- and per-share provisions of each Stock Appreciation Right, (vi) the repurchase price per share subject to each outstanding Restricted Stock Award and Restricted Stock Unit and (vii) the share- and per-share-related provisions of each outstanding Other Stock Unit Award, shall be appropriately adjusted by the Company (or substituted Awards may be made, if applicable) to the extent determined by the Board.</w:t>
      </w:r>
    </w:p>
    <w:p>
      <w:pPr>
        <w:spacing w:after="0" w:line="177" w:lineRule="exact"/>
        <w:rPr>
          <w:rFonts w:ascii="Arial" w:cs="Arial" w:eastAsia="Arial" w:hAnsi="Arial"/>
          <w:sz w:val="17"/>
          <w:szCs w:val="17"/>
          <w:color w:val="auto"/>
        </w:rPr>
      </w:pPr>
    </w:p>
    <w:p>
      <w:pPr>
        <w:ind w:left="1040" w:hanging="384"/>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Reorganization and Change in Control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2"/>
          <w:numId w:val="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320" w:hanging="367"/>
        <w:spacing w:after="0"/>
        <w:tabs>
          <w:tab w:leader="none" w:pos="2320" w:val="left"/>
        </w:tabs>
        <w:numPr>
          <w:ilvl w:val="3"/>
          <w:numId w:val="37"/>
        </w:numPr>
        <w:rPr>
          <w:rFonts w:ascii="Arial" w:cs="Arial" w:eastAsia="Arial" w:hAnsi="Arial"/>
          <w:sz w:val="18"/>
          <w:szCs w:val="18"/>
          <w:color w:val="auto"/>
        </w:rPr>
      </w:pPr>
      <w:r>
        <w:rPr>
          <w:rFonts w:ascii="Arial" w:cs="Arial" w:eastAsia="Arial" w:hAnsi="Arial"/>
          <w:sz w:val="18"/>
          <w:szCs w:val="18"/>
          <w:color w:val="auto"/>
        </w:rPr>
        <w:t>A “Reorganization Event” shall mean:</w:t>
      </w:r>
    </w:p>
    <w:p>
      <w:pPr>
        <w:spacing w:after="0" w:line="225" w:lineRule="exact"/>
        <w:rPr>
          <w:rFonts w:ascii="Arial" w:cs="Arial" w:eastAsia="Arial" w:hAnsi="Arial"/>
          <w:sz w:val="18"/>
          <w:szCs w:val="18"/>
          <w:color w:val="auto"/>
        </w:rPr>
      </w:pPr>
    </w:p>
    <w:p>
      <w:pPr>
        <w:ind w:left="3240" w:right="40" w:hanging="639"/>
        <w:spacing w:after="0" w:line="264" w:lineRule="auto"/>
        <w:tabs>
          <w:tab w:leader="none" w:pos="3240" w:val="left"/>
        </w:tabs>
        <w:numPr>
          <w:ilvl w:val="4"/>
          <w:numId w:val="37"/>
        </w:numPr>
        <w:rPr>
          <w:rFonts w:ascii="Arial" w:cs="Arial" w:eastAsia="Arial" w:hAnsi="Arial"/>
          <w:sz w:val="18"/>
          <w:szCs w:val="18"/>
          <w:color w:val="auto"/>
        </w:rPr>
      </w:pPr>
      <w:r>
        <w:rPr>
          <w:rFonts w:ascii="Arial" w:cs="Arial" w:eastAsia="Arial" w:hAnsi="Arial"/>
          <w:sz w:val="18"/>
          <w:szCs w:val="18"/>
          <w:color w:val="auto"/>
        </w:rPr>
        <w:t>any merger or consolidation of the Company with or into another entity as a result of which all of the Common Stock of the Company is converted into or exchanged for the right to receive cash, securities or other property or is cancelled;</w:t>
      </w:r>
    </w:p>
    <w:p>
      <w:pPr>
        <w:spacing w:after="0" w:line="181" w:lineRule="exact"/>
        <w:rPr>
          <w:rFonts w:ascii="Arial" w:cs="Arial" w:eastAsia="Arial" w:hAnsi="Arial"/>
          <w:sz w:val="18"/>
          <w:szCs w:val="18"/>
          <w:color w:val="auto"/>
        </w:rPr>
      </w:pPr>
    </w:p>
    <w:p>
      <w:pPr>
        <w:ind w:left="3240" w:right="280" w:hanging="639"/>
        <w:spacing w:after="0" w:line="277" w:lineRule="auto"/>
        <w:tabs>
          <w:tab w:leader="none" w:pos="3240" w:val="left"/>
        </w:tabs>
        <w:numPr>
          <w:ilvl w:val="4"/>
          <w:numId w:val="37"/>
        </w:numPr>
        <w:rPr>
          <w:rFonts w:ascii="Arial" w:cs="Arial" w:eastAsia="Arial" w:hAnsi="Arial"/>
          <w:sz w:val="18"/>
          <w:szCs w:val="18"/>
          <w:color w:val="auto"/>
        </w:rPr>
      </w:pPr>
      <w:r>
        <w:rPr>
          <w:rFonts w:ascii="Arial" w:cs="Arial" w:eastAsia="Arial" w:hAnsi="Arial"/>
          <w:sz w:val="18"/>
          <w:szCs w:val="18"/>
          <w:color w:val="auto"/>
        </w:rPr>
        <w:t>any exchange of all of the Common Stock of the Company for cash, securities or other property pursuant to a share exchange transaction; or</w:t>
      </w:r>
    </w:p>
    <w:p>
      <w:pPr>
        <w:spacing w:after="0" w:line="170" w:lineRule="exact"/>
        <w:rPr>
          <w:rFonts w:ascii="Arial" w:cs="Arial" w:eastAsia="Arial" w:hAnsi="Arial"/>
          <w:sz w:val="18"/>
          <w:szCs w:val="18"/>
          <w:color w:val="auto"/>
        </w:rPr>
      </w:pPr>
    </w:p>
    <w:p>
      <w:pPr>
        <w:ind w:left="3240" w:hanging="639"/>
        <w:spacing w:after="0"/>
        <w:tabs>
          <w:tab w:leader="none" w:pos="3240" w:val="left"/>
        </w:tabs>
        <w:numPr>
          <w:ilvl w:val="4"/>
          <w:numId w:val="37"/>
        </w:numPr>
        <w:rPr>
          <w:rFonts w:ascii="Arial" w:cs="Arial" w:eastAsia="Arial" w:hAnsi="Arial"/>
          <w:sz w:val="18"/>
          <w:szCs w:val="18"/>
          <w:color w:val="auto"/>
        </w:rPr>
      </w:pPr>
      <w:r>
        <w:rPr>
          <w:rFonts w:ascii="Arial" w:cs="Arial" w:eastAsia="Arial" w:hAnsi="Arial"/>
          <w:sz w:val="18"/>
          <w:szCs w:val="18"/>
          <w:color w:val="auto"/>
        </w:rPr>
        <w:t>any liquidation or dissolution of the Company.</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625" w:right="259" w:bottom="1440" w:gutter="0" w:footer="0" w:header="0"/>
        </w:sectPr>
      </w:pPr>
    </w:p>
    <w:bookmarkStart w:id="50" w:name="page51"/>
    <w:bookmarkEnd w:id="50"/>
    <w:p>
      <w:pPr>
        <w:ind w:left="2320" w:hanging="387"/>
        <w:spacing w:after="0"/>
        <w:tabs>
          <w:tab w:leader="none" w:pos="2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“Change in Control Event” shall mean:</w:t>
      </w:r>
    </w:p>
    <w:p>
      <w:pPr>
        <w:spacing w:after="0" w:line="225" w:lineRule="exact"/>
        <w:rPr>
          <w:rFonts w:ascii="Arial" w:cs="Arial" w:eastAsia="Arial" w:hAnsi="Arial"/>
          <w:sz w:val="18"/>
          <w:szCs w:val="18"/>
          <w:color w:val="auto"/>
        </w:rPr>
      </w:pPr>
    </w:p>
    <w:p>
      <w:pPr>
        <w:ind w:left="3220" w:hanging="639"/>
        <w:spacing w:after="0" w:line="286" w:lineRule="auto"/>
        <w:tabs>
          <w:tab w:leader="none" w:pos="32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the acquisition by an individual, entity or group (within the meaning of Section 13(d)(3) or 14(d)(2) of the Exchange Act) (a “Person”) of beneficial ownership of any capital stock of the Company if, after such acquisition, such Person beneficially owns (within the meaning of Rule 13d-3 promulgated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for purposes of this subsection (i), the following acquisitions shall not constitute a Change in Control Event: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corporation controlled by the Company, or (C) any acquisition by any corporation pursuant to a Business Combination (as defined below) which complies with clauses (x) and (y) of subsection (ii) of this definition; or</w:t>
      </w:r>
    </w:p>
    <w:p>
      <w:pPr>
        <w:spacing w:after="0" w:line="171" w:lineRule="exact"/>
        <w:rPr>
          <w:rFonts w:ascii="Arial" w:cs="Arial" w:eastAsia="Arial" w:hAnsi="Arial"/>
          <w:sz w:val="16"/>
          <w:szCs w:val="16"/>
          <w:color w:val="auto"/>
        </w:rPr>
      </w:pPr>
    </w:p>
    <w:p>
      <w:pPr>
        <w:ind w:left="3220" w:right="20" w:hanging="639"/>
        <w:spacing w:after="0" w:line="285" w:lineRule="auto"/>
        <w:tabs>
          <w:tab w:leader="none" w:pos="32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30%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391" w:lineRule="exact"/>
        <w:rPr>
          <w:rFonts w:ascii="Arial" w:cs="Arial" w:eastAsia="Arial" w:hAnsi="Arial"/>
          <w:sz w:val="16"/>
          <w:szCs w:val="16"/>
          <w:color w:val="auto"/>
        </w:rPr>
      </w:pPr>
    </w:p>
    <w:p>
      <w:pPr>
        <w:ind w:left="3220" w:hanging="639"/>
        <w:spacing w:after="0"/>
        <w:tabs>
          <w:tab w:leader="none" w:pos="32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liquidation or dissolution of the Company.</w:t>
      </w:r>
    </w:p>
    <w:p>
      <w:pPr>
        <w:spacing w:after="0" w:line="225" w:lineRule="exact"/>
        <w:rPr>
          <w:rFonts w:ascii="Arial" w:cs="Arial" w:eastAsia="Arial" w:hAnsi="Arial"/>
          <w:sz w:val="18"/>
          <w:szCs w:val="18"/>
          <w:color w:val="auto"/>
        </w:rPr>
      </w:pPr>
    </w:p>
    <w:p>
      <w:pPr>
        <w:ind w:left="-20" w:right="60" w:firstLine="1953"/>
        <w:spacing w:after="0" w:line="264" w:lineRule="auto"/>
        <w:tabs>
          <w:tab w:leader="none" w:pos="23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“Good Reason” shall mean any significant diminution in the Participant’s title, authority, or responsibilities from and after such Reorganization Event or Change in Control Event, as the case may be, or any reduction in the annual cash compensation payable to the Participant from and after such Reorganization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60" w:top="625" w:right="259" w:bottom="1440" w:gutter="0" w:footer="0" w:header="0"/>
        </w:sectPr>
      </w:pPr>
    </w:p>
    <w:bookmarkStart w:id="51" w:name="page52"/>
    <w:bookmarkEnd w:id="51"/>
    <w:p>
      <w:pPr>
        <w:ind w:right="260"/>
        <w:spacing w:after="0" w:line="308" w:lineRule="auto"/>
        <w:rPr>
          <w:sz w:val="20"/>
          <w:szCs w:val="20"/>
          <w:color w:val="auto"/>
        </w:rPr>
      </w:pPr>
      <w:r>
        <w:rPr>
          <w:rFonts w:ascii="Arial" w:cs="Arial" w:eastAsia="Arial" w:hAnsi="Arial"/>
          <w:sz w:val="17"/>
          <w:szCs w:val="17"/>
          <w:color w:val="auto"/>
        </w:rPr>
        <w:t>Event or Change in Control Event, as the case may be, or the relocation of the place of business at which the Participant is principally located to a location that is greater than 50 miles from its location immediately prior to such Reorganization Event or Change in Control Event.</w:t>
      </w:r>
    </w:p>
    <w:p>
      <w:pPr>
        <w:spacing w:after="0" w:line="147" w:lineRule="exact"/>
        <w:rPr>
          <w:sz w:val="20"/>
          <w:szCs w:val="20"/>
          <w:color w:val="auto"/>
        </w:rPr>
      </w:pPr>
    </w:p>
    <w:p>
      <w:pPr>
        <w:ind w:left="2340" w:hanging="387"/>
        <w:spacing w:after="0"/>
        <w:tabs>
          <w:tab w:leader="none" w:pos="23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“Cause” shall mean:</w:t>
      </w:r>
    </w:p>
    <w:p>
      <w:pPr>
        <w:spacing w:after="0" w:line="225" w:lineRule="exact"/>
        <w:rPr>
          <w:rFonts w:ascii="Arial" w:cs="Arial" w:eastAsia="Arial" w:hAnsi="Arial"/>
          <w:sz w:val="18"/>
          <w:szCs w:val="18"/>
          <w:color w:val="auto"/>
        </w:rPr>
      </w:pPr>
    </w:p>
    <w:p>
      <w:pPr>
        <w:ind w:left="3240" w:hanging="639"/>
        <w:spacing w:after="0" w:line="277" w:lineRule="auto"/>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willful failure by the Participant, which failure is not cured within 30 days of written notice to the Participant from the Company, to perform his or her material responsibilities to the Company; or</w:t>
      </w:r>
    </w:p>
    <w:p>
      <w:pPr>
        <w:spacing w:after="0" w:line="170" w:lineRule="exact"/>
        <w:rPr>
          <w:rFonts w:ascii="Arial" w:cs="Arial" w:eastAsia="Arial" w:hAnsi="Arial"/>
          <w:sz w:val="18"/>
          <w:szCs w:val="18"/>
          <w:color w:val="auto"/>
        </w:rPr>
      </w:pPr>
    </w:p>
    <w:p>
      <w:pPr>
        <w:ind w:left="3240" w:hanging="639"/>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willful misconduct by the Participant which affects the business reputation of the Company.</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Effect on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53"/>
        <w:spacing w:after="0" w:line="285" w:lineRule="auto"/>
        <w:tabs>
          <w:tab w:leader="none" w:pos="2324"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Reorganization Event</w:t>
      </w:r>
      <w:r>
        <w:rPr>
          <w:rFonts w:ascii="Arial" w:cs="Arial" w:eastAsia="Arial" w:hAnsi="Arial"/>
          <w:sz w:val="16"/>
          <w:szCs w:val="16"/>
          <w:color w:val="auto"/>
        </w:rPr>
        <w:t xml:space="preserve">. Upon the occurrence of a Reorganization Event (regardless of whether such event also constitutes a Change in Control Event), or the execution by the Company of any agreement with respect to a Reorganization Event (regardless of whether such event will result in a Change in Control Event), the Board shall provide that all outstanding Options shall be assumed, or equivalent options shall be substituted, by the acquiring or succeeding corporation (or an affiliate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the Plan, if such Reorganization Event also constitutes a Change in Control Event, except to the extent specifically provided to the contrary in the instrument evidencing any Option or any other agreement between a Participant and the Company (A) one-half of the number of shares subject to the Option which were not already vested shall be exercisable upon the occurrence of such Reorganization Event and, subject to (B) below, the remaining one-half of such number of shares shall continue to become vested in accordance with the original vesting schedule set forth in such option, with one-half of the number of shares that would otherwise have become vested on each subsequent vesting date in accordance with the original schedule becoming vested on each subsequent vesting date and (B) such assumed or substituted options shall become immediately exercisable in full if, on or prior to the first anniversary of the date of the consummation of the Reorganization Event, the Participant’s employment with the Company or the acquiring or succeeding corporation is terminated for Good Reason by the Participant or is terminated without Cause by the Company or the acquiring or succeeding corporation. For purposes hereof, an Option shall be considered to be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384" w:lineRule="exact"/>
        <w:rPr>
          <w:sz w:val="20"/>
          <w:szCs w:val="20"/>
          <w:color w:val="auto"/>
        </w:rPr>
      </w:pPr>
    </w:p>
    <w:p>
      <w:pPr>
        <w:ind w:right="40" w:firstLine="1945"/>
        <w:spacing w:after="0" w:line="253" w:lineRule="auto"/>
        <w:rPr>
          <w:sz w:val="20"/>
          <w:szCs w:val="20"/>
          <w:color w:val="auto"/>
        </w:rPr>
      </w:pPr>
      <w:r>
        <w:rPr>
          <w:rFonts w:ascii="Arial" w:cs="Arial" w:eastAsia="Arial" w:hAnsi="Arial"/>
          <w:sz w:val="18"/>
          <w:szCs w:val="18"/>
          <w:color w:val="auto"/>
        </w:rPr>
        <w:t xml:space="preserve">Notwithstanding the foregoing and anything to the contrary in the Plan, if the acquiring or succeeding corporation (or an affiliate thereof) does not agree to assume, or substitute for, such Options, or in the event of a liquidation or dissolution of the Company, the Board shall, upon written notice to the Participants, provide that all then unexercised Options will become exercisable in full as of a specified time prior to the Reorganization Event and will terminate immediately prior to the consummation of such Reorganization Event, except to the extent exercised by the Participants before the consummation of such Reorganization Event;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the event of a Reorganization Event under the terms of which holders of Common Stock will receive upon consummation thereof a cash payment for each share of Common Stock surrendered pursuant to such Reorganization Event (the “Acquisition Price”), then the Board may instead provide that all outstanding Options shall terminate upon consummation of such Reorganization Event and that each Participant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w:t>
      </w:r>
    </w:p>
    <w:p>
      <w:pPr>
        <w:spacing w:after="0" w:line="195" w:lineRule="exact"/>
        <w:rPr>
          <w:sz w:val="20"/>
          <w:szCs w:val="20"/>
          <w:color w:val="auto"/>
        </w:rPr>
      </w:pPr>
    </w:p>
    <w:p>
      <w:pPr>
        <w:ind w:right="60" w:firstLine="1953"/>
        <w:spacing w:after="0" w:line="277" w:lineRule="auto"/>
        <w:tabs>
          <w:tab w:leader="none" w:pos="233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Change in Control Event that is not a Reorganization Event</w:t>
      </w:r>
      <w:r>
        <w:rPr>
          <w:rFonts w:ascii="Arial" w:cs="Arial" w:eastAsia="Arial" w:hAnsi="Arial"/>
          <w:sz w:val="18"/>
          <w:szCs w:val="18"/>
          <w:color w:val="auto"/>
        </w:rPr>
        <w:t>. Upon the occurrence of a Change in Control Event that does not also constitute a Reorganization Event, except to the extent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625" w:right="259" w:bottom="1440" w:gutter="0" w:footer="0" w:header="0"/>
        </w:sectPr>
      </w:pPr>
    </w:p>
    <w:bookmarkStart w:id="52" w:name="page53"/>
    <w:bookmarkEnd w:id="52"/>
    <w:p>
      <w:pPr>
        <w:ind w:right="40"/>
        <w:spacing w:after="0" w:line="253" w:lineRule="auto"/>
        <w:rPr>
          <w:sz w:val="20"/>
          <w:szCs w:val="20"/>
          <w:color w:val="auto"/>
        </w:rPr>
      </w:pPr>
      <w:r>
        <w:rPr>
          <w:rFonts w:ascii="Arial" w:cs="Arial" w:eastAsia="Arial" w:hAnsi="Arial"/>
          <w:sz w:val="18"/>
          <w:szCs w:val="18"/>
          <w:color w:val="auto"/>
        </w:rPr>
        <w:t xml:space="preserve">specifically provided to the contrary in the instrument evidencing any Option or any other agreement between a Participant and the Company, and notwithstanding anything to the contrary in the Plan, the vesting schedule of such Option shall be accelerated in part so that one-half of the number of shares that would otherwise have first become vested on any date after the date of the Change in Control Event shall immediately become exercisable. The remaining one-half of such number of shares shall continue to become vested in accordance with the original vesting schedule set forth in such Option, with one-half of the number of shares that would otherwise have become vested on each subsequent vesting date in accordance with the original schedule becoming vested on each such subsequent vesting date;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each such Option shall be immediately exercisable in full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197" w:lineRule="exact"/>
        <w:rPr>
          <w:sz w:val="20"/>
          <w:szCs w:val="20"/>
          <w:color w:val="auto"/>
        </w:rPr>
      </w:pPr>
    </w:p>
    <w:p>
      <w:pPr>
        <w:ind w:left="1700" w:hanging="395"/>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Effect on Restricted Stock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60" w:firstLine="1953"/>
        <w:spacing w:after="0" w:line="279" w:lineRule="auto"/>
        <w:tabs>
          <w:tab w:leader="none" w:pos="2324"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Reorganization Event</w:t>
      </w:r>
      <w:r>
        <w:rPr>
          <w:rFonts w:ascii="Arial" w:cs="Arial" w:eastAsia="Arial" w:hAnsi="Arial"/>
          <w:sz w:val="17"/>
          <w:szCs w:val="17"/>
          <w:color w:val="auto"/>
        </w:rPr>
        <w:t>. Upon the occurrence of a Reorganization Event (regardless of whether such event also constitutes a Change in Control Event), the repurchase and other rights of the Company under each outstanding Restricted Stock Award shall inure to the benefit of the Company’s successor and shall apply to the cash, securities or other property which the Common Stock was converted into or exchanged for pursuant to such Reorganization Event in the same manner and to the same extent as they applied to such Restricted Stock Award.</w:t>
      </w:r>
    </w:p>
    <w:p>
      <w:pPr>
        <w:spacing w:after="0" w:line="171" w:lineRule="exact"/>
        <w:rPr>
          <w:rFonts w:ascii="Arial" w:cs="Arial" w:eastAsia="Arial" w:hAnsi="Arial"/>
          <w:sz w:val="17"/>
          <w:szCs w:val="17"/>
          <w:color w:val="auto"/>
        </w:rPr>
      </w:pPr>
    </w:p>
    <w:p>
      <w:pPr>
        <w:ind w:right="20" w:firstLine="1953"/>
        <w:spacing w:after="0" w:line="287" w:lineRule="auto"/>
        <w:tabs>
          <w:tab w:leader="none" w:pos="2335"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Change in Control Event</w:t>
      </w:r>
      <w:r>
        <w:rPr>
          <w:rFonts w:ascii="Arial" w:cs="Arial" w:eastAsia="Arial" w:hAnsi="Arial"/>
          <w:sz w:val="16"/>
          <w:szCs w:val="16"/>
          <w:color w:val="auto"/>
        </w:rPr>
        <w:t>. Upon the occurrence of a Change in Control Event (regardless of whether such event also constitutes a Reorganization Event), except to the extent specifically provided to the contrary in the instrument evidencing any Restricted Stock Award or any other agreement between a Participant and the Company, and notwithstanding anything to the contrary in the Plan, the vesting schedule of all Restricted Stock Awards shall be accelerated in part so that one-half of the number of shares that would otherwise have first become free from conditions or restrictions on any date after the date of the Change in Control Event shall immediately become free from conditions or restrictions. Subject to the following sentence, the remaining one-half of such number of shares shall continue to become free from conditions or restrictions in accordance with the original schedule set forth in such Award, with one-half of the number of shares that would otherwise have become free from conditions or restrictions on each subsequent vesting date in accordance with the original schedule becoming free from conditions or restrictions on each subsequent vesting date. In addition, each such Award shall immediately become free from all conditions or restrictions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172" w:lineRule="exact"/>
        <w:rPr>
          <w:rFonts w:ascii="Arial" w:cs="Arial" w:eastAsia="Arial" w:hAnsi="Arial"/>
          <w:sz w:val="16"/>
          <w:szCs w:val="16"/>
          <w:color w:val="auto"/>
        </w:rPr>
      </w:pPr>
    </w:p>
    <w:p>
      <w:pPr>
        <w:ind w:left="1700" w:hanging="395"/>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Effect on Restricted Stock Unit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3"/>
        <w:spacing w:after="0" w:line="268" w:lineRule="auto"/>
        <w:tabs>
          <w:tab w:leader="none" w:pos="2324"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Reorganization Event</w:t>
      </w:r>
      <w:r>
        <w:rPr>
          <w:rFonts w:ascii="Arial" w:cs="Arial" w:eastAsia="Arial" w:hAnsi="Arial"/>
          <w:sz w:val="17"/>
          <w:szCs w:val="17"/>
          <w:color w:val="auto"/>
        </w:rPr>
        <w:t>. Upon the occurrence of a Reorganization Event (regardless of whether such event constitutes a Change in Control Event), the Board shall provide that all outstanding Restricted Stock Unit Awards shall be assumed, or an equivalent award providing for Restricted Stock Units shall be substituted, by the acquiring or succeeding corporation (or an affiliate thereof); provided that, notwithstanding anything to the contrary in the Plan, if such Reorganization Event also constitutes both a Change in Control Event and a “change in control event” within the meaning of Treasury Regulation Section 1.409A-3(i)(5)(i), except to the extent specifically provided to the contrary in the instrument evidencing any Award or any other agreement between the Participant and the Company, (A) one-half of the number of Restricted Stock Units that vest after the Reorganization Event shall immediately vest in full as of the consummation of the Reorganization Event and, subject to (B) below, the remaining one-half of the number of unvested Restricted Stock Units shall continue to vest in accordance with the original schedule set forth in such Restricted Stock Unit Award, with one-half of the number of Restricted Stock Units that would otherwise have become vested on each subsequent vesting date in accordance with the original schedule becoming vested on each subsequent vesting date and (B) such assumed or substituted Restricted Stock Unit award shall immediately become vested in full if, on or prior to the first anniversary of the date of the consummation of the Reorganization Event, the Participant’s employment with the Company or the acquiring or succeeding corporation is terminated for Good Reason (as defined in Section 11(b)(4)(c) below) by the Participant or is terminated without Cause by the Company or the acquiring or succeeding corporation. For purposes hereof, a Restricted Stock Unit Award shall be considered to be assumed if, following consummation of the Reorganization Event, the Restricted Stock Unit Award confers the right to receive upon vesting and conversion for each Restricted Stock Unit immediately prior to the consummation of the Reorganization Event, the consideration (whether cash, securities or other property) received as a result of the Reorganization Event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25" w:right="239" w:bottom="1440" w:gutter="0" w:footer="0" w:header="0"/>
        </w:sectPr>
      </w:pPr>
    </w:p>
    <w:bookmarkStart w:id="53" w:name="page54"/>
    <w:bookmarkEnd w:id="53"/>
    <w:p>
      <w:pPr>
        <w:ind w:right="40"/>
        <w:spacing w:after="0" w:line="290" w:lineRule="auto"/>
        <w:rPr>
          <w:sz w:val="20"/>
          <w:szCs w:val="20"/>
          <w:color w:val="auto"/>
        </w:rPr>
      </w:pPr>
      <w:r>
        <w:rPr>
          <w:rFonts w:ascii="Arial" w:cs="Arial" w:eastAsia="Arial" w:hAnsi="Arial"/>
          <w:sz w:val="16"/>
          <w:szCs w:val="16"/>
          <w:color w:val="auto"/>
        </w:rPr>
        <w:t xml:space="preserve">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the consideration received as a result of the Reorganization Event is not solely common stock of the acquiring or succeeding corporation (or an affiliate thereof) (or if holders of Common Stock were offered a choice of consideration and the type of consideration chosen by the holders of a majority of the outstanding shares of Common Stock was not common stock of the acquiring or succeeding corporation), the Company may, with the consent of the acquiring or succeeding corporation, provide for the consideration to be received upon the vesting and conversion of Restricted Stock Units to consist solely of common stock of the acquiring or succeeding corporation (or an affiliate thereof) equivalent in value (as determined by the Board of Directors) to the per share consideration received by holders of outstanding shares of Common Stock as a result of the Reorganization Event.</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Notwithstanding the foregoing and anything to the contrary in the Plan, if the acquiring or succeeding corporation (or an affiliate thereof) does not agree to assume, or substitute for, a Restricted Stock Unit Award, or in the event of a liquidation or dissolution of the Company, the Board of Directors shall, upon written notice to the Participant, (A) provide that all then unvested Restricted Stock Units that are exempt from Section 409A will vest in full as of immediately prior to the Reorganization Event;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in the event of a Reorganization Event under the terms of which holders of Common Stock will receive upon consummation thereof a cash payment for each share of Common Stock surrendered pursuant to such Reorganization Event (the “Acquisition Price”), then the Board of Directors may instead provide that all such unvested Restricted Stock Units shall terminate upon consummation of such Reorganization Event and that the Participant shall receive, in exchange therefor, a cash payment equal to the amount equal to the Acquisition Price multiplied by the number of shares of Common Stock issuable under such unvested Restricted Stock Units; and (B) provide that all then unvested Restricted Stock Units that are not exempt from Section 409A shall be treated in the same manner Restricted Stock Units subject to clause (A) if such Reorganization Event also is a “change in control event” as described in Treasury Regulation Section 1.409A-3(i)(5(i) and if not, shall be terminated as of the Reorganization Event without any payment for the unvested Restricted Stock Units.</w:t>
      </w:r>
    </w:p>
    <w:p>
      <w:pPr>
        <w:spacing w:after="0" w:line="183" w:lineRule="exact"/>
        <w:rPr>
          <w:sz w:val="20"/>
          <w:szCs w:val="20"/>
          <w:color w:val="auto"/>
        </w:rPr>
      </w:pPr>
    </w:p>
    <w:p>
      <w:pPr>
        <w:ind w:right="20" w:firstLine="1953"/>
        <w:spacing w:after="0" w:line="288" w:lineRule="auto"/>
        <w:tabs>
          <w:tab w:leader="none" w:pos="233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Change in Control Event that is not a Reorganization Event</w:t>
      </w:r>
      <w:r>
        <w:rPr>
          <w:rFonts w:ascii="Arial" w:cs="Arial" w:eastAsia="Arial" w:hAnsi="Arial"/>
          <w:sz w:val="16"/>
          <w:szCs w:val="16"/>
          <w:color w:val="auto"/>
        </w:rPr>
        <w:t>. Upon the occurrence of a Change in Control Event that also is a “change in control event” within the meaning of Treasury Regulation Section 1.409A-3(i)(5)(i) that does not constitute a Reorganization Event, except to the extent specifically provided to the contrary in the instrument evidencing any award or any other agreement between the Participant and the Company, (A) one-half of the number of Restricted Stock Units that vest after the Change in Control Event shall immediately vest in full as of the consummation of the Change in Control Event and be converted and delivered to the Participant and, subject to (B) below, the remaining one-half of the number of unvested Restricted Stock Units shall continue to vest in accordance with the original schedule set forth in such Restricted Stock Unit Award, with one-half of the number of Restricted Stock Units that would otherwise have become vested on each subsequent vesting date in accordance with the original schedule becoming vested on each subsequent vesting date and (B) such Restricted Stock Unit Award shall immediately become vested in full if, on or prior to the first anniversary of the date of the consummation of the Change in Control Event, the Participant’s employment with the Company is terminated for Good Reason (as defined in Section 11(b)(4)(c) below) by the Participant or is terminated without Cause by the Company.</w:t>
      </w:r>
    </w:p>
    <w:p>
      <w:pPr>
        <w:spacing w:after="0" w:line="169" w:lineRule="exact"/>
        <w:rPr>
          <w:rFonts w:ascii="Arial" w:cs="Arial" w:eastAsia="Arial" w:hAnsi="Arial"/>
          <w:sz w:val="16"/>
          <w:szCs w:val="16"/>
          <w:color w:val="auto"/>
        </w:rPr>
      </w:pPr>
    </w:p>
    <w:p>
      <w:pPr>
        <w:ind w:left="2340" w:hanging="387"/>
        <w:spacing w:after="0"/>
        <w:tabs>
          <w:tab w:leader="none" w:pos="23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Definition of Good Reason for the purposes this Section 11(b)(4)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40" w:hanging="639"/>
        <w:spacing w:after="0" w:line="277" w:lineRule="auto"/>
        <w:tabs>
          <w:tab w:leader="none" w:pos="3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any Restricted Stock Unit Awards granted on or before December 10, 2009, “Good Reason” shall mean good reason as defined in Section 11(b)(1)(c) of the Plan.</w:t>
      </w:r>
    </w:p>
    <w:p>
      <w:pPr>
        <w:spacing w:after="0" w:line="170" w:lineRule="exact"/>
        <w:rPr>
          <w:rFonts w:ascii="Arial" w:cs="Arial" w:eastAsia="Arial" w:hAnsi="Arial"/>
          <w:sz w:val="18"/>
          <w:szCs w:val="18"/>
          <w:color w:val="auto"/>
        </w:rPr>
      </w:pPr>
    </w:p>
    <w:p>
      <w:pPr>
        <w:ind w:left="3240" w:hanging="639"/>
        <w:spacing w:after="0" w:line="291" w:lineRule="auto"/>
        <w:tabs>
          <w:tab w:leader="none" w:pos="32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For any Restricted Stock Unit Awards granted after December 10, 2009, “Good Reason” shall mean any significant diminution in the Participant’s title, authority, or responsibilities from and after such Reorganization Event or Change in Control Event, as the case may be, or any material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 Notwithstanding the occurrence of any such event or circumstance, such occurrence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625" w:right="259" w:bottom="1440" w:gutter="0" w:footer="0" w:header="0"/>
        </w:sectPr>
      </w:pPr>
    </w:p>
    <w:bookmarkStart w:id="54" w:name="page55"/>
    <w:bookmarkEnd w:id="54"/>
    <w:p>
      <w:pPr>
        <w:ind w:left="3232" w:right="380"/>
        <w:spacing w:after="0" w:line="304" w:lineRule="auto"/>
        <w:rPr>
          <w:sz w:val="20"/>
          <w:szCs w:val="20"/>
          <w:color w:val="auto"/>
        </w:rPr>
      </w:pPr>
      <w:r>
        <w:rPr>
          <w:rFonts w:ascii="Arial" w:cs="Arial" w:eastAsia="Arial" w:hAnsi="Arial"/>
          <w:sz w:val="18"/>
          <w:szCs w:val="18"/>
          <w:color w:val="auto"/>
        </w:rPr>
        <w:t>shall not be deemed to constitute Good Reason unless (x) the Participant gives the Company notice of termination no more than 90 days after the initial existence of such event or circumstance, (y) such event or circumstance has not been fully corrected by the Company within 30 days of the Company’s receipt of such notice and (z) the Participant’s termination occurs within 60 days following the Company’s receipt of such notice.</w:t>
      </w:r>
    </w:p>
    <w:p>
      <w:pPr>
        <w:spacing w:after="0" w:line="161" w:lineRule="exact"/>
        <w:rPr>
          <w:sz w:val="20"/>
          <w:szCs w:val="20"/>
          <w:color w:val="auto"/>
        </w:rPr>
      </w:pPr>
    </w:p>
    <w:p>
      <w:pPr>
        <w:ind w:left="-8" w:right="280" w:firstLine="1305"/>
        <w:spacing w:after="0" w:line="277" w:lineRule="auto"/>
        <w:tabs>
          <w:tab w:leader="none" w:pos="1678" w:val="left"/>
        </w:tabs>
        <w:numPr>
          <w:ilvl w:val="2"/>
          <w:numId w:val="44"/>
        </w:numPr>
        <w:rPr>
          <w:rFonts w:ascii="Arial" w:cs="Arial" w:eastAsia="Arial" w:hAnsi="Arial"/>
          <w:sz w:val="18"/>
          <w:szCs w:val="18"/>
          <w:color w:val="auto"/>
        </w:rPr>
      </w:pPr>
      <w:r>
        <w:rPr>
          <w:rFonts w:ascii="Arial" w:cs="Arial" w:eastAsia="Arial" w:hAnsi="Arial"/>
          <w:sz w:val="18"/>
          <w:szCs w:val="18"/>
          <w:u w:val="single" w:color="auto"/>
          <w:color w:val="auto"/>
        </w:rPr>
        <w:t>Effect on Stock Appreciation Rights and Other Stock Unit Awards</w:t>
      </w:r>
      <w:r>
        <w:rPr>
          <w:rFonts w:ascii="Arial" w:cs="Arial" w:eastAsia="Arial" w:hAnsi="Arial"/>
          <w:sz w:val="18"/>
          <w:szCs w:val="18"/>
          <w:color w:val="auto"/>
        </w:rPr>
        <w:t>. The Board may specify in an Award at the time of the grant the effect of a Reorganization Event and Change in Control Event on any SAR or Other Stock Unit Award.</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225" w:lineRule="exact"/>
        <w:rPr>
          <w:rFonts w:ascii="Arial" w:cs="Arial" w:eastAsia="Arial" w:hAnsi="Arial"/>
          <w:sz w:val="18"/>
          <w:szCs w:val="18"/>
          <w:color w:val="auto"/>
        </w:rPr>
      </w:pPr>
    </w:p>
    <w:p>
      <w:pPr>
        <w:ind w:left="-8" w:firstLine="656"/>
        <w:spacing w:after="0" w:line="270" w:lineRule="auto"/>
        <w:tabs>
          <w:tab w:leader="none" w:pos="1020"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 xml:space="preserve">.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provided, however, that the Board may permit or provide in an Award for the gratuitous transfer of the Award by the Participant to or for the benefit of any immediate family member, family trust or family partnership established solely for the benefit of the Participant and/or an immediate family member thereof if, with respect to such proposed transferee, the Company would be eligible to use a Form S-8 for the registration of the sale of the Common Stock subject to such Award under the Securities Act of 1933, as amended; </w:t>
      </w:r>
      <w:r>
        <w:rPr>
          <w:rFonts w:ascii="Arial" w:cs="Arial" w:eastAsia="Arial" w:hAnsi="Arial"/>
          <w:sz w:val="17"/>
          <w:szCs w:val="17"/>
          <w:u w:val="single" w:color="auto"/>
          <w:color w:val="auto"/>
        </w:rPr>
        <w:t>provided</w:t>
      </w:r>
      <w:r>
        <w:rPr>
          <w:rFonts w:ascii="Arial" w:cs="Arial" w:eastAsia="Arial" w:hAnsi="Arial"/>
          <w:sz w:val="17"/>
          <w:szCs w:val="17"/>
          <w:color w:val="auto"/>
        </w:rPr>
        <w:t>, further, that the Company shall not be required to recognize any such transfer until such time as the Participant and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w:t>
      </w:r>
    </w:p>
    <w:p>
      <w:pPr>
        <w:spacing w:after="0" w:line="177" w:lineRule="exact"/>
        <w:rPr>
          <w:rFonts w:ascii="Arial" w:cs="Arial" w:eastAsia="Arial" w:hAnsi="Arial"/>
          <w:sz w:val="17"/>
          <w:szCs w:val="17"/>
          <w:color w:val="auto"/>
        </w:rPr>
      </w:pPr>
    </w:p>
    <w:p>
      <w:pPr>
        <w:ind w:left="-8" w:right="120" w:firstLine="656"/>
        <w:spacing w:after="0" w:line="264" w:lineRule="auto"/>
        <w:tabs>
          <w:tab w:leader="none" w:pos="103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 In the event of any conflict between the terms of any Award agreement and this Plan, this Plan shall govern and control.</w:t>
      </w:r>
    </w:p>
    <w:p>
      <w:pPr>
        <w:spacing w:after="0" w:line="181" w:lineRule="exact"/>
        <w:rPr>
          <w:rFonts w:ascii="Arial" w:cs="Arial" w:eastAsia="Arial" w:hAnsi="Arial"/>
          <w:sz w:val="18"/>
          <w:szCs w:val="18"/>
          <w:color w:val="auto"/>
        </w:rPr>
      </w:pPr>
    </w:p>
    <w:p>
      <w:pPr>
        <w:ind w:left="-8" w:right="220" w:firstLine="656"/>
        <w:spacing w:after="0" w:line="277"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Board Discretion</w:t>
      </w:r>
      <w:r>
        <w:rPr>
          <w:rFonts w:ascii="Arial" w:cs="Arial" w:eastAsia="Arial" w:hAnsi="Arial"/>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70" w:lineRule="exact"/>
        <w:rPr>
          <w:rFonts w:ascii="Arial" w:cs="Arial" w:eastAsia="Arial" w:hAnsi="Arial"/>
          <w:sz w:val="18"/>
          <w:szCs w:val="18"/>
          <w:color w:val="auto"/>
        </w:rPr>
      </w:pPr>
    </w:p>
    <w:p>
      <w:pPr>
        <w:ind w:left="-8" w:right="40" w:firstLine="656"/>
        <w:spacing w:after="0" w:line="264" w:lineRule="auto"/>
        <w:tabs>
          <w:tab w:leader="none" w:pos="103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 of Status</w:t>
      </w:r>
      <w:r>
        <w:rPr>
          <w:rFonts w:ascii="Arial" w:cs="Arial" w:eastAsia="Arial" w:hAnsi="Arial"/>
          <w:sz w:val="18"/>
          <w:szCs w:val="18"/>
          <w:color w:val="auto"/>
        </w:rPr>
        <w:t>. The Board shall determine the effect on an Award of the disability, death, retirement,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81" w:lineRule="exact"/>
        <w:rPr>
          <w:rFonts w:ascii="Arial" w:cs="Arial" w:eastAsia="Arial" w:hAnsi="Arial"/>
          <w:sz w:val="18"/>
          <w:szCs w:val="18"/>
          <w:color w:val="auto"/>
        </w:rPr>
      </w:pPr>
    </w:p>
    <w:p>
      <w:pPr>
        <w:ind w:left="-8" w:right="40" w:firstLine="656"/>
        <w:spacing w:after="0" w:line="268" w:lineRule="auto"/>
        <w:tabs>
          <w:tab w:leader="none" w:pos="1020"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The Participant must satisfy all applicable federal, state, local, foreign or other income, employment, payroll or social tax withholding obligations before the Company will deliver cash, stock certificates or otherwise recognize ownership of Common Stock under an Award. The Company may decide to satisfy the tax withholding obligations by deducting or withholding from salary, wages or any payment of any kind otherwise due to a Participant (including proceeds from the sale of shares obtained upon exercise, vesting or release from forfeiture of an Award).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in its sole discretion, a Participant may satisfy the minimum statutory tax withholding obligations in whole or in part by delivery (either by actual delivery or attestation) of shares of Common Stock, including shares retained from the Award creating the tax obligation, valued at their Fair Market Value;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except as otherwise provided by the Board, that the total tax withholding where stock is being used to satisfy such tax obligations cannot exceed the Company’s minimum statutory withholding obligations (based on minimum statutory withholding rates for federal, state, local or foreign or other tax purposes, including employment, payroll or social taxes, that are applicable to such supplemental taxable income); and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except with respect to shares retained from the Award creating the tax obligation, such shares of Common Stock, if acquired</w:t>
      </w:r>
    </w:p>
    <w:p>
      <w:pPr>
        <w:spacing w:after="0" w:line="200" w:lineRule="exact"/>
        <w:rPr>
          <w:sz w:val="20"/>
          <w:szCs w:val="20"/>
          <w:color w:val="auto"/>
        </w:rPr>
      </w:pPr>
    </w:p>
    <w:p>
      <w:pPr>
        <w:spacing w:after="0" w:line="23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92"/>
          </w:cols>
          <w:pgMar w:left="248" w:top="652" w:right="259" w:bottom="1440" w:gutter="0" w:footer="0" w:header="0"/>
        </w:sectPr>
      </w:pPr>
    </w:p>
    <w:bookmarkStart w:id="55" w:name="page56"/>
    <w:bookmarkEnd w:id="55"/>
    <w:p>
      <w:pPr>
        <w:jc w:val="both"/>
        <w:ind w:right="20"/>
        <w:spacing w:after="0" w:line="264" w:lineRule="auto"/>
        <w:rPr>
          <w:sz w:val="20"/>
          <w:szCs w:val="20"/>
          <w:color w:val="auto"/>
        </w:rPr>
      </w:pPr>
      <w:r>
        <w:rPr>
          <w:rFonts w:ascii="Arial" w:cs="Arial" w:eastAsia="Arial" w:hAnsi="Arial"/>
          <w:sz w:val="18"/>
          <w:szCs w:val="18"/>
          <w:color w:val="auto"/>
        </w:rPr>
        <w:t>directly from the Company, must have been owned by the Participant for at least six months or such greater period, if any, as may be established by the Board in its discretion. Shares used to satisfy the minimum statutory tax withholding requirements cannot be subject to any repurchase, forfeiture, unfulfilled vesting or other similar requirements.</w:t>
      </w:r>
    </w:p>
    <w:p>
      <w:pPr>
        <w:spacing w:after="0" w:line="181" w:lineRule="exact"/>
        <w:rPr>
          <w:sz w:val="20"/>
          <w:szCs w:val="20"/>
          <w:color w:val="auto"/>
        </w:rPr>
      </w:pPr>
    </w:p>
    <w:p>
      <w:pPr>
        <w:ind w:right="20" w:firstLine="656"/>
        <w:spacing w:after="0" w:line="279" w:lineRule="auto"/>
        <w:tabs>
          <w:tab w:leader="none" w:pos="1008"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Amendment of Award</w:t>
      </w:r>
      <w:r>
        <w:rPr>
          <w:rFonts w:ascii="Arial" w:cs="Arial" w:eastAsia="Arial" w:hAnsi="Arial"/>
          <w:sz w:val="17"/>
          <w:szCs w:val="17"/>
          <w:color w:val="auto"/>
        </w:rPr>
        <w:t xml:space="preserve">. Except as set forth in Sections 5(g) and 6(f), the Board may amend, modify or terminate any outstanding Award, including but not limited to, substituting therefor another Award of the same or a different type, changing the date of exercise or realization, and converting an Incentive Stock Option to a Nonstatutory Stock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Participant’s consent to such action shall be required unless the Board determines that the action, taking into account any related action, would not materially and adversely affect the Participant.</w:t>
      </w:r>
    </w:p>
    <w:p>
      <w:pPr>
        <w:spacing w:after="0" w:line="171" w:lineRule="exact"/>
        <w:rPr>
          <w:rFonts w:ascii="Arial" w:cs="Arial" w:eastAsia="Arial" w:hAnsi="Arial"/>
          <w:sz w:val="17"/>
          <w:szCs w:val="17"/>
          <w:color w:val="auto"/>
        </w:rPr>
      </w:pPr>
    </w:p>
    <w:p>
      <w:pPr>
        <w:jc w:val="both"/>
        <w:ind w:right="20" w:firstLine="656"/>
        <w:spacing w:after="0" w:line="291" w:lineRule="auto"/>
        <w:tabs>
          <w:tab w:leader="none" w:pos="1038"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w:t>
      </w:r>
    </w:p>
    <w:p>
      <w:pPr>
        <w:jc w:val="both"/>
        <w:ind w:right="80" w:firstLine="8"/>
        <w:spacing w:after="0" w:line="254" w:lineRule="auto"/>
        <w:tabs>
          <w:tab w:leader="none" w:pos="2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9" w:lineRule="exact"/>
        <w:rPr>
          <w:rFonts w:ascii="Arial" w:cs="Arial" w:eastAsia="Arial" w:hAnsi="Arial"/>
          <w:sz w:val="18"/>
          <w:szCs w:val="18"/>
          <w:color w:val="auto"/>
        </w:rPr>
      </w:pPr>
    </w:p>
    <w:p>
      <w:pPr>
        <w:jc w:val="both"/>
        <w:ind w:right="840" w:firstLine="656"/>
        <w:spacing w:after="0" w:line="342" w:lineRule="auto"/>
        <w:tabs>
          <w:tab w:leader="none" w:pos="1038"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Acceleration</w:t>
      </w:r>
      <w:r>
        <w:rPr>
          <w:rFonts w:ascii="Arial" w:cs="Arial" w:eastAsia="Arial" w:hAnsi="Arial"/>
          <w:sz w:val="16"/>
          <w:szCs w:val="16"/>
          <w:color w:val="auto"/>
        </w:rPr>
        <w:t>. Notwithstanding anything to the contrary in the Plan, the Board may at any time provide that any Award shall become immediately exercisable in full or in part, free of some or all restrictions or conditions, or otherwise realizable in full or in part, as the case may be.</w:t>
      </w:r>
    </w:p>
    <w:p>
      <w:pPr>
        <w:spacing w:after="0" w:line="124"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ind w:right="20" w:firstLine="656"/>
        <w:spacing w:after="0" w:line="259" w:lineRule="auto"/>
        <w:tabs>
          <w:tab w:leader="none" w:pos="1028"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xml:space="preserve">.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applicable Award.</w:t>
      </w:r>
    </w:p>
    <w:p>
      <w:pPr>
        <w:spacing w:after="0" w:line="186" w:lineRule="exact"/>
        <w:rPr>
          <w:rFonts w:ascii="Arial" w:cs="Arial" w:eastAsia="Arial" w:hAnsi="Arial"/>
          <w:sz w:val="18"/>
          <w:szCs w:val="18"/>
          <w:color w:val="auto"/>
        </w:rPr>
      </w:pPr>
    </w:p>
    <w:p>
      <w:pPr>
        <w:ind w:right="80" w:firstLine="656"/>
        <w:spacing w:after="0" w:line="272" w:lineRule="auto"/>
        <w:tabs>
          <w:tab w:leader="none" w:pos="1038"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77" w:lineRule="exact"/>
        <w:rPr>
          <w:rFonts w:ascii="Arial" w:cs="Arial" w:eastAsia="Arial" w:hAnsi="Arial"/>
          <w:sz w:val="17"/>
          <w:szCs w:val="17"/>
          <w:color w:val="auto"/>
        </w:rPr>
      </w:pPr>
    </w:p>
    <w:p>
      <w:pPr>
        <w:jc w:val="both"/>
        <w:ind w:right="100" w:firstLine="656"/>
        <w:spacing w:after="0" w:line="259" w:lineRule="auto"/>
        <w:tabs>
          <w:tab w:leader="none" w:pos="1028"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2006 Stock Incentive Plan became effective on the Initial Effective Date. The Amended and Restated 2006 Stock Incentive Plan (the “Plan”) was approved by the Board on December 12, 2013 and shall become effective on the Amended Effective Date. No Awards shall be granted under the Plan after the completion of seven (7) years from the Amended Effective Date, but Awards previously granted may extend beyond that date.</w:t>
      </w:r>
    </w:p>
    <w:p>
      <w:pPr>
        <w:spacing w:after="0" w:line="186" w:lineRule="exact"/>
        <w:rPr>
          <w:rFonts w:ascii="Arial" w:cs="Arial" w:eastAsia="Arial" w:hAnsi="Arial"/>
          <w:sz w:val="18"/>
          <w:szCs w:val="18"/>
          <w:color w:val="auto"/>
        </w:rPr>
      </w:pPr>
    </w:p>
    <w:p>
      <w:pPr>
        <w:ind w:firstLine="656"/>
        <w:spacing w:after="0" w:line="289" w:lineRule="auto"/>
        <w:tabs>
          <w:tab w:leader="none" w:pos="1038"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Except as set forth in Sections 5(g) and 6(f), the Board may amend, suspend or terminate the Plan or any portion thereof at any time; provided that (i) to the extent required by Section 162(m), no Award granted to a Participant that is intended to comply with Section 162(m) after the date of such amendment shall become exercisable, realizable or vested, as applicable to such Award, unless and until such amendment shall have been approved by the Company’s stockholders if required by Section 162(m) (including the vote required under Section 162(m)); (ii) no amendment that would require stockholder approval under the rules of NASDAQ may be made effective unless and until such amendment shall have been approved by the Company’s stockholders; and (iii) if NASDAQ amends its corporate governance rules so that such rules no longer require stockholder approval of “material revisions” to equity compensation plans, then, from and after the effective date of such amendment to the NASDAQ rules, no amendment to the Plan (A) materially increasing the number of shares authorized under the Plan (other than pursuant to Section 11), (B) expanding the types of Awards that may be granted under the Plan, or (C) materially expanding the class of participants eligible to participate in the Plan shall</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25" w:right="239" w:bottom="1440" w:gutter="0" w:footer="0" w:header="0"/>
        </w:sectPr>
      </w:pPr>
    </w:p>
    <w:bookmarkStart w:id="56" w:name="page57"/>
    <w:bookmarkEnd w:id="56"/>
    <w:p>
      <w:pPr>
        <w:ind w:right="80"/>
        <w:spacing w:after="0" w:line="264" w:lineRule="auto"/>
        <w:rPr>
          <w:sz w:val="20"/>
          <w:szCs w:val="20"/>
          <w:color w:val="auto"/>
        </w:rPr>
      </w:pPr>
      <w:r>
        <w:rPr>
          <w:rFonts w:ascii="Arial" w:cs="Arial" w:eastAsia="Arial" w:hAnsi="Arial"/>
          <w:sz w:val="18"/>
          <w:szCs w:val="18"/>
          <w:color w:val="auto"/>
        </w:rPr>
        <w:t>be effective unless stockholder approval is obtained.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w:t>
      </w:r>
    </w:p>
    <w:p>
      <w:pPr>
        <w:spacing w:after="0" w:line="181" w:lineRule="exact"/>
        <w:rPr>
          <w:sz w:val="20"/>
          <w:szCs w:val="20"/>
          <w:color w:val="auto"/>
        </w:rPr>
      </w:pPr>
    </w:p>
    <w:p>
      <w:pPr>
        <w:jc w:val="both"/>
        <w:ind w:right="180" w:firstLine="656"/>
        <w:spacing w:after="0" w:line="264" w:lineRule="auto"/>
        <w:tabs>
          <w:tab w:leader="none" w:pos="1028"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Board may modify Awards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181" w:lineRule="exact"/>
        <w:rPr>
          <w:rFonts w:ascii="Arial" w:cs="Arial" w:eastAsia="Arial" w:hAnsi="Arial"/>
          <w:sz w:val="18"/>
          <w:szCs w:val="18"/>
          <w:color w:val="auto"/>
        </w:rPr>
      </w:pPr>
    </w:p>
    <w:p>
      <w:pPr>
        <w:ind w:left="1020" w:hanging="364"/>
        <w:spacing w:after="0"/>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1305"/>
        <w:spacing w:after="0" w:line="264" w:lineRule="auto"/>
        <w:tabs>
          <w:tab w:leader="none" w:pos="1686" w:val="left"/>
        </w:tabs>
        <w:numPr>
          <w:ilvl w:val="2"/>
          <w:numId w:val="49"/>
        </w:numPr>
        <w:rPr>
          <w:rFonts w:ascii="Arial" w:cs="Arial" w:eastAsia="Arial" w:hAnsi="Arial"/>
          <w:sz w:val="18"/>
          <w:szCs w:val="18"/>
          <w:color w:val="auto"/>
        </w:rPr>
      </w:pPr>
      <w:r>
        <w:rPr>
          <w:rFonts w:ascii="Arial" w:cs="Arial" w:eastAsia="Arial" w:hAnsi="Arial"/>
          <w:sz w:val="18"/>
          <w:szCs w:val="18"/>
          <w:color w:val="auto"/>
        </w:rPr>
        <w:t>It is the intent of the Company that any deferral of the receipt of the payment of cash or the delivery of shares of Common Stock that the Board may permit or require and Award that is granted that is subject to Section 409A of the Code (“Section 409A”) comply with the requirements of Section 409A; provided that no guaranty is made by the Company to Participants that Awards will so comply.</w:t>
      </w:r>
    </w:p>
    <w:p>
      <w:pPr>
        <w:spacing w:after="0" w:line="181" w:lineRule="exact"/>
        <w:rPr>
          <w:rFonts w:ascii="Arial" w:cs="Arial" w:eastAsia="Arial" w:hAnsi="Arial"/>
          <w:sz w:val="18"/>
          <w:szCs w:val="18"/>
          <w:color w:val="auto"/>
        </w:rPr>
      </w:pPr>
    </w:p>
    <w:p>
      <w:pPr>
        <w:ind w:right="180" w:firstLine="1305"/>
        <w:spacing w:after="0" w:line="291" w:lineRule="auto"/>
        <w:tabs>
          <w:tab w:leader="none" w:pos="1683" w:val="left"/>
        </w:tabs>
        <w:numPr>
          <w:ilvl w:val="2"/>
          <w:numId w:val="49"/>
        </w:numPr>
        <w:rPr>
          <w:rFonts w:ascii="Arial" w:cs="Arial" w:eastAsia="Arial" w:hAnsi="Arial"/>
          <w:sz w:val="16"/>
          <w:szCs w:val="16"/>
          <w:color w:val="auto"/>
        </w:rPr>
      </w:pPr>
      <w:r>
        <w:rPr>
          <w:rFonts w:ascii="Arial" w:cs="Arial" w:eastAsia="Arial" w:hAnsi="Arial"/>
          <w:sz w:val="16"/>
          <w:szCs w:val="16"/>
          <w:color w:val="auto"/>
        </w:rPr>
        <w:t>The following provisions apply to each Award granted or outstanding under this Plan that are intended to comply with (and not be exempt from) Section 409A: (i) each delivery of shares or cash under each such Award shall be treated as a separate payment for purposes of Section 409A;</w:t>
      </w:r>
    </w:p>
    <w:p>
      <w:pPr>
        <w:ind w:right="180" w:firstLine="8"/>
        <w:spacing w:after="0" w:line="290" w:lineRule="auto"/>
        <w:tabs>
          <w:tab w:leader="none" w:pos="265"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notwithstanding anything in the Award or in the Plan to the contrary, neither the Participant nor the Company may accelerate or defer the delivery of the cash or shares under the Award to a date other than those specified in the Award unless specifically permitted or required by Section 409A; (iii) if a Participant becomes a “specified employee” of the Company (within the meaning of Section 409A) and any of the shares or cash to be delivered under each such Award may be delivered on account of the Participant’s “separation from service” (within the meaning of Section 409A), then any shares or cash that otherwise would have been delivered within the six month period following the separation from service shall be delivered on the date that is six months and one day following the separation from service, with any remaining delivery of shares or cash to be made in accordance with the terms of the Award.</w:t>
      </w:r>
    </w:p>
    <w:p>
      <w:pPr>
        <w:spacing w:after="0" w:line="164" w:lineRule="exact"/>
        <w:rPr>
          <w:rFonts w:ascii="Arial" w:cs="Arial" w:eastAsia="Arial" w:hAnsi="Arial"/>
          <w:sz w:val="16"/>
          <w:szCs w:val="16"/>
          <w:color w:val="auto"/>
        </w:rPr>
      </w:pPr>
    </w:p>
    <w:p>
      <w:pPr>
        <w:ind w:firstLine="1305"/>
        <w:spacing w:after="0" w:line="293" w:lineRule="auto"/>
        <w:tabs>
          <w:tab w:leader="none" w:pos="1686" w:val="left"/>
        </w:tabs>
        <w:numPr>
          <w:ilvl w:val="2"/>
          <w:numId w:val="50"/>
        </w:numPr>
        <w:rPr>
          <w:rFonts w:ascii="Arial" w:cs="Arial" w:eastAsia="Arial" w:hAnsi="Arial"/>
          <w:sz w:val="16"/>
          <w:szCs w:val="16"/>
          <w:color w:val="auto"/>
        </w:rPr>
      </w:pPr>
      <w:r>
        <w:rPr>
          <w:rFonts w:ascii="Arial" w:cs="Arial" w:eastAsia="Arial" w:hAnsi="Arial"/>
          <w:sz w:val="16"/>
          <w:szCs w:val="16"/>
          <w:color w:val="auto"/>
        </w:rPr>
        <w:t>Notwithstanding Section 13(f)(2)(iii), if a Participant was granted an Award that is intended to comply with (and not be exempt from) Section 409A on or before December 10, 2009, and the Participant becomes a “specified employee” of the Company (within the meaning of Section 409A) and any of the shares or cash to be delivered under each such Award may be delivered on account of the Participant’s “separation from service” (within the meaning of Section 409A), then instead of Section 13(f)(2)(iii) applying, any shares or cash that otherwise would have been delivered within the six month period following the separation from service shall be delivered on the later of (i) the date that is six months and one day following the separation from service, or (ii) July 1, 2010, with any remaining delivery of shares or cash to be made in accordance with the terms of the Award.</w:t>
      </w:r>
    </w:p>
    <w:p>
      <w:pPr>
        <w:spacing w:after="0" w:line="164" w:lineRule="exact"/>
        <w:rPr>
          <w:rFonts w:ascii="Arial" w:cs="Arial" w:eastAsia="Arial" w:hAnsi="Arial"/>
          <w:sz w:val="16"/>
          <w:szCs w:val="16"/>
          <w:color w:val="auto"/>
        </w:rPr>
      </w:pPr>
    </w:p>
    <w:p>
      <w:pPr>
        <w:ind w:right="20" w:firstLine="656"/>
        <w:spacing w:after="0" w:line="264" w:lineRule="auto"/>
        <w:tabs>
          <w:tab w:leader="none" w:pos="1038"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Commonwealth of Massachusetts, excluding choice-of-law principles of the law of such state that would require the application of the laws of a jurisdiction other than such state.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Last update: December 12, 2013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25"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2006 STOCK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ISRAELI SUB-PLAN</w:t>
      </w:r>
    </w:p>
    <w:p>
      <w:pPr>
        <w:spacing w:after="0" w:line="211"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1.1. This Israeli Sub-plan (the “SUB-PLAN”) to the Analog Devices, Inc. Amended and Restated 2006 Stock Incentive Plan (the “PLAN”) shall apply only to Eligible Participants who are Employees, advisors or consultants of Analog Devices (Israel) Ltd. The provisions specified hereunder apply only to persons who are residents of the State of Israel or who are deemed to be residents of the State of Israel for tax purposes, or are otherwise subject to taxation in Israel with respect to Awards.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1.2. This Sub-plan is effective with respect to Options and RSUs granted at least 30 days after the this Sub-plan and the Plan are duly submitted to the ITA in accordance with the provisions of Section 102. This Sub-plan shall comply with Amendment no. 132 of the Israeli Tax Ordinance and all rules, regulations and guidelines promulgated thereunder.</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1.3. The purpose of this Sub-Plan is to establish certain rules and limitations applicable to Awards that may be granted under the Plan from time to time, in compliance with Applicable Laws currently in force in the State of Israel. Specifically, this Sub-Plan is made in order to conform the Plan to Section 102, so as to enable the grant of Awards under the Plan to an Eligible Participant. For the avoidance of doubt, this Sub-plan does not add to or modify the Plan in any other respect if not specifically stated herein.</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1.4. The Plan and this Sub-Plan are complimentary to each other and shall be deemed as one. The Plan and this Sub-Plan shall be read together. In any case of contradiction, whether explicit or implied, between the provisions of this Sub-Plan and the Plan, the provisions of this Sub-Plan shall supersede and govern; provided, however, that this Sub-Plan shall not be construed to grant rights not consistent with the terms of the Plan, unless specifically set forth herein.</w:t>
      </w:r>
    </w:p>
    <w:p>
      <w:pPr>
        <w:spacing w:after="0" w:line="187"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Any capitalized term not specifically defined in this Sub-plan shall be construed according to the interpretation given to it in the Plan.</w:t>
      </w:r>
    </w:p>
    <w:p>
      <w:pPr>
        <w:spacing w:after="0" w:line="225"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  “3(i) AWARD” means an Award granted pursuant to Section 3(i) of the Ordinance to any person who is a Non-Employee.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2.2.  “102 AWARD” means any Award granted to Employees pursuant to Section 102 of the Ordinance.</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2.3. “102 CAPITAL GAINS TRACK GRANT” means a 102 Trustee Grant elected and designated by the Company to qualify under the capital gain tax treatment in accordance with the provisions of Section 102(b)(2) and 102(b)(3) of the Ordinance.</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2.4. “102 ORDINARY INCOME TRACK GRANT” means a 102 Trustee Grant elected and designated by the Company to qualify under the ordinary income tax treatment in accordance with the provisions of Section 102(b)(1) of the Ordinance.</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2.5. “102 TRUSTEE GRANT” means an Award granted pursuant to Section 102(b) of the Ordinance (includes both 102 Capital Gains Track Grants and 102 Ordinary Income Track Grants) held in trust by a Trustee for the benefit of the Employee.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621" w:right="239" w:bottom="1440" w:gutter="0" w:footer="0" w:header="0"/>
        </w:sectPr>
      </w:pPr>
    </w:p>
    <w:bookmarkStart w:id="58" w:name="page59"/>
    <w:bookmarkEnd w:id="58"/>
    <w:p>
      <w:pPr>
        <w:ind w:left="660"/>
        <w:spacing w:after="0"/>
        <w:tabs>
          <w:tab w:leader="none" w:pos="10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“AFFILIATE” means any “employing company” within the meaning of Section 102(a) of the Ordinance.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2.7. “AWARD” solely for purposes of this Sub-Plan, means an Option or RSU granted pursuant to the terms and conditions of the Plan and this Sub-Plan.</w:t>
      </w:r>
    </w:p>
    <w:p>
      <w:pPr>
        <w:spacing w:after="0" w:line="170"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color w:val="auto"/>
        </w:rPr>
        <w:t>2.8. “AWARD AGREEMENT” means the stock option agreement between the Company and an optionee that sets out the terms and conditions of an Option and/or the RSU award agreement between the Company and an Employee that sets out the terms and conditions of an RSU.</w:t>
      </w:r>
    </w:p>
    <w:p>
      <w:pPr>
        <w:spacing w:after="0" w:line="147"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2.9. “CONTROLLING SHAREHOLDER” shall have the meaning ascribed to it in Section 32(9) of the Ordinance, as may be amended from time to time, but which is, as of the date of this Sub-Plan, as follows: an employee who prior to the grant of any Award or as a result of such grant, holds or would hold, directly or indirectly, in his name or with a relative (as defined in section 76(d) of the ITO) (i) at least 10% of the outstanding shares of the Company;</w:t>
      </w:r>
    </w:p>
    <w:p>
      <w:pPr>
        <w:ind w:right="660" w:firstLine="8"/>
        <w:spacing w:after="0" w:line="290" w:lineRule="auto"/>
        <w:tabs>
          <w:tab w:leader="none" w:pos="265" w:val="left"/>
        </w:tabs>
        <w:numPr>
          <w:ilvl w:val="0"/>
          <w:numId w:val="53"/>
        </w:numPr>
        <w:rPr>
          <w:rFonts w:ascii="Arial" w:cs="Arial" w:eastAsia="Arial" w:hAnsi="Arial"/>
          <w:sz w:val="17"/>
          <w:szCs w:val="17"/>
          <w:color w:val="auto"/>
        </w:rPr>
      </w:pPr>
      <w:r>
        <w:rPr>
          <w:rFonts w:ascii="Arial" w:cs="Arial" w:eastAsia="Arial" w:hAnsi="Arial"/>
          <w:sz w:val="17"/>
          <w:szCs w:val="17"/>
          <w:color w:val="auto"/>
        </w:rPr>
        <w:t>at least 10% of the voting power of the Company; (iii) the right to hold or purchase at least 10% of the outstanding equity or voting power of the Company; (iv) the right to obtain at least 10% of the profit of the Company; or (v) the right to appoint a director of the Company.</w:t>
      </w:r>
    </w:p>
    <w:p>
      <w:pPr>
        <w:spacing w:after="0" w:line="162"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2.10. “EMPLOYEE” means a person who is employed by the Company or its Affiliates, including an individual who is serving as a director or an office holder, but excluding any employee who is deemed to be a Controlling Shareholder before a grant or immediately thereafter.</w:t>
      </w:r>
    </w:p>
    <w:p>
      <w:pPr>
        <w:spacing w:after="0" w:line="147"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2.11. “ISRAELI FAIR MARKET VALUE” means, with respect to 102 Capital Gains Track Grants only, for the sole purpose of determining tax liability pursuant to Section 102(b)(3) of the Ordinance, if on grant date the Company’s Common Stock is listed on any established stock exchange or a national market system or if the Company’s Common Stock will be registered for trading within ninety (90) days following the grant date, the fair market value of the Common Stock at the grant date shall be determined in accordance with the average value of the Company’s Common Stock on the thirty (30) trading days preceding the grant date or on the thirty (30) trading days following the date of registration for trading, as the case may be.</w:t>
      </w:r>
    </w:p>
    <w:p>
      <w:pPr>
        <w:spacing w:after="0" w:line="15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“ITA” means the Israeli Tax Authority.</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“NON-EMPLOYEE” means a consultant, adviser, service provider, Controlling Shareholder or any other person who is not an Employee.</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“NON-TRUSTEE GRANT” means an Award granted pursuant to Section 102(c) of the Ordinance and not held in trust by a Trustee.</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“OPTION” means an option to purchase Common Stock of the Company pursuant to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“ORDINANCE” means the 1961 Israeli Income Tax Ordinance [New Version] 1961 as now in effect or as hereafter amended.</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2.17. “SECTION 102” means section 102 of the Ordinance and any regulations, rules, orders or procedures promulgated there under as now in effect or as hereafter amended.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2.18. “TRUSTEE” means any individual or entity appointed by the Company to serve as a trustee and approved by the ITA, all in accordance with the provisions of Section 102(a) of the Ordinance.</w:t>
      </w:r>
    </w:p>
    <w:p>
      <w:pPr>
        <w:spacing w:after="0" w:line="170"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ISSUANCE OF AWARDS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3.1. The persons eligible for participation in the Plan shall include any Employees and/or Non-Employees of the Company or of any Affiliate; provided, however, that (i) Employees may only be granted 102</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340"/>
          </w:cols>
          <w:pgMar w:left="240" w:top="625" w:right="319" w:bottom="1440" w:gutter="0" w:footer="0" w:header="0"/>
        </w:sectPr>
      </w:pPr>
    </w:p>
    <w:bookmarkStart w:id="59" w:name="page60"/>
    <w:bookmarkEnd w:id="59"/>
    <w:p>
      <w:pPr>
        <w:ind w:right="220"/>
        <w:spacing w:after="0" w:line="277" w:lineRule="auto"/>
        <w:rPr>
          <w:sz w:val="20"/>
          <w:szCs w:val="20"/>
          <w:color w:val="auto"/>
        </w:rPr>
      </w:pPr>
      <w:r>
        <w:rPr>
          <w:rFonts w:ascii="Arial" w:cs="Arial" w:eastAsia="Arial" w:hAnsi="Arial"/>
          <w:sz w:val="18"/>
          <w:szCs w:val="18"/>
          <w:color w:val="auto"/>
        </w:rPr>
        <w:t>Awards; and (ii) Non-Employees and/or Controlling Shareholders may only be granted 3(i) Awards (Employees and Non-Employees together, “ELIGIBLE PARTICIPANTS”).</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Company may designate Awards granted to Employees pursuant to Section 102 as 102 Trustee Grants or Non-Trustee Grants.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3.3. 102 Trustee Grants shall be made under this Sub-plan adopted by the Board, and shall be conditioned upon the filing of this Sub-plan with the ITA and the provisions of Section 102.</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102 Trustee Grants may either be classified as 102 Capital Gain Track Grants or 102 Ordinary Income Track Grants.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3.5. No 102 Trustee Grants may be made under this Sub-plan to any Eligible Participant, unless and until the Company’s election of the type of 102 Trustee Grants as 102 Capital Gains Track Grants or 102 Ordinary Income Track Grants (the “ELECTION”), is appropriately filed with the ITA. Such Election shall become effective on the first grant date of a 102 Trustee Grant under this Sub-plan and shall remain in effect until the end of the year following the year during which the Company first made 102 Trustee Grants. Once the Company has filed such an Election, it may change the type of 102 Trustee Grant that it chooses to make only after the lapse of at least 12 months from the end of the calendar year in which the first grant was made in accordance with the previous Election, and in accordance with Section 102 of the Ordinance. The Election shall obligate the Company to grant only the type of 102 Trustee Grants it has elected, and shall apply to all 102 Trustee Grants during the period indicated herein, all in accordance with the provisions of Section 102(g) of the Ordinance. For the avoidance of doubt, such Election shall not prevent the Company from granting Non-Trustee Grants simultaneously.</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All 102 Trustee Grants must be held in trust by a Trustee, as described in section 4 below.</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3.7. In the case the requirements for 102 Trustee Grants are not met, then the 102 Trustee Grants shall be regarded as Non-Trustee Grants, all in accordance with the provisions of Section 102.</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3.8. For the avoidance of doubt, the designation of 102 Trustee Grants and Non-Trustee Grants shall be subject to the terms and conditions set forth in Section 102.</w:t>
      </w:r>
    </w:p>
    <w:p>
      <w:pPr>
        <w:spacing w:after="0" w:line="170"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TRUSTEE</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4.1. 102 Trustee Grants under this Sub-plan and/or any Common Stock allocated or issued upon exercise or vesting of such 102 Trustee Grants and/or other Common Stock received subsequently following any realization of rights, including bonus shares, shall be allocated or issued to the Trustee and held for the benefit of the Employee for such period of time as required by Section 102 (the “HOLDING PERIOD”), unless the ITA approves otherwise in writing. If such an Award is exercised or vests after the Holding Period ends, the Common Stock issued upon such exercise or vesting shall, at the election of the Eligible Participant, either (i) be issued in the name of the Trustee; or (ii) be transferred to the Eligible Participant directly, provided that the Eligible Participant first complies with all applicable provisions of the Plan and this Sub-plan including but not limited to payment of tax.</w:t>
      </w:r>
    </w:p>
    <w:p>
      <w:pPr>
        <w:spacing w:after="0" w:line="16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4.2. After termination of the Holding Period, the Trustee may release the Award and any Common Stock issued with respect to the Award, provided that (i) the Trustee has received an acknowledgement from the ITA that the Employee has paid any applicable tax due pursuant to the Ordinance or</w:t>
      </w:r>
    </w:p>
    <w:p>
      <w:pPr>
        <w:ind w:right="40" w:firstLine="8"/>
        <w:spacing w:after="0" w:line="302" w:lineRule="auto"/>
        <w:tabs>
          <w:tab w:leader="none" w:pos="26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Trustee and/or the Company or the Affiliate withholds any applicable tax due pursuant to the Ordinance. Notwithstanding anything to the contrary, the Trustee shall not release any Common Stock allocated or issued upon exercise or vesting of 102 Trustee Grants prior to the full payment of the Employee’s tax liabilities arising from 102 Trustee Grants and/or any Common Stock allocated or issued upon exercise or vesting of such Awards.</w:t>
      </w:r>
    </w:p>
    <w:p>
      <w:pPr>
        <w:spacing w:after="0" w:line="15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4.3. Upon receipt of 102 Trustee Grants, the Eligible Participant will sign an undertaking to release the Trustee from any liability in respect of any action or decision duly taken and bona fide executed in relation with this Sub-plan, or any 102 Trustee Grant or Common Stock granted to him thereunder.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625" w:right="239" w:bottom="1440" w:gutter="0" w:footer="0" w:header="0"/>
        </w:sectPr>
      </w:pPr>
    </w:p>
    <w:bookmarkStart w:id="60" w:name="page61"/>
    <w:bookmarkEnd w:id="60"/>
    <w:p>
      <w:pPr>
        <w:ind w:right="180" w:firstLine="648"/>
        <w:spacing w:after="0" w:line="276" w:lineRule="auto"/>
        <w:rPr>
          <w:sz w:val="20"/>
          <w:szCs w:val="20"/>
          <w:color w:val="auto"/>
        </w:rPr>
      </w:pPr>
      <w:r>
        <w:rPr>
          <w:rFonts w:ascii="Arial" w:cs="Arial" w:eastAsia="Arial" w:hAnsi="Arial"/>
          <w:sz w:val="17"/>
          <w:szCs w:val="17"/>
          <w:color w:val="auto"/>
        </w:rPr>
        <w:t>4.4. With respect to any 102 Trustee Grant, subject to the provisions of Section 102, an Eligible Participant shall not sell or release from trust any Common Stock received upon the exercise or vesting of a 102 Trustee Grant and/or any Common Stock received subsequently following any realization of rights, including without limitation, bonus shares, until the lapse of the Holding Period required under Section 102 of the Ordinance. Notwithstanding the above, if any such sale or release occurs during the Holding Period, the sanctions under Section 102 of the Ordinance and under any rules or regulation or orders or procedures promulgated thereunder shall apply to and shall be borne by such Eligible Participant.</w:t>
      </w:r>
    </w:p>
    <w:p>
      <w:pPr>
        <w:spacing w:after="0" w:line="173"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4.5. With respect to 102 Capital Gain Track Grants, to the extent that the Common Stock is listed on any established stock exchange or a national market system, the provisions of Section 102(b)(3) of the Ordinance will apply with respect to the Israeli tax rate applicable to such Awards (including Options with an exercise price that is lower than the Israeli Fair Market Value of the Common Stock on the grant date).</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4.6. To avoid doubt, and not withstanding any discretion or provision in the Plan to the contrary: (a) no Award granted as a 102 Trustee Grant may be settled for cash payment or any other form of consideration, unless and to the extent permitted under Section 102 or as expressly authorized by the ITA; (b) no Option qualifying as a 102 Trustee Grant shall be exercisable by the surrender of Common Stock, notwithstanding Section 5(f) of the Plan, and (c) RSUs granted pursuant to the Plan shall only be settled in Common Stock, notwithstanding Section 8(b) of the Plan.</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4.7. In the event a stock dividend is declared and/or additional rights are granted with respect to Common Stock which derives from Awards granted as 102 Trustee Grants, such stock dividend and/or rights shall also be deposited with the Trustee and will be subject to the provisions of this section 4, and the Holding Period for such Common Stock and/or rights shall be measured from the commencement of the Holding Period for the Award with respect to which the stock dividend was declared and/or rights granted. In the event of a cash dividend on Common Stock, the Trustee shall transfer the dividend proceeds to the Eligible Participant after the deduction of taxes and mandatory payments in compliance with applicable withholding requirements, and subject to any other requirements imposed by the ITA.</w:t>
      </w:r>
    </w:p>
    <w:p>
      <w:pPr>
        <w:spacing w:after="0" w:line="193"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AWARDS</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5.1. The terms and conditions upon which the Awards shall be issued, exercised, and vest shall be as specified in the Award Agreement to be executed pursuant to the Plan and to this Sub-plan. Each Award Agreement shall state, inter alia, the number of Common Stock to which the Award relates, the vesting provisions, and for Options, the exercise price. The Award Agreement shall also indicate whether the grant is a 102 Trustee Grant, a Non-Trustee Grant, or a 3(i) Award; and if the grant is a 102 Trustee Grant, whether it is a 102 Capital Gains Track Grant or a 102 Ordinary Income Track Grant.</w:t>
      </w:r>
    </w:p>
    <w:p>
      <w:pPr>
        <w:spacing w:after="0" w:line="15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5.2. Each 102 Trustee Grant will be deemed granted on the date stated in the Award Agreement, provided that (i) the Company will provide notice to the Trustee of the Award; and (ii) the Eligible Participant will sign all documents required.</w:t>
      </w:r>
    </w:p>
    <w:p>
      <w:pPr>
        <w:spacing w:after="0" w:line="170"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EXERCISE OF OPTIONS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6.1. Options shall be exercised by the optionee by giving notice to the Company and/or to any third party designated by the Company (the “REPRESENTATIVE”), in such form and method as may be determined by the Company and, when applicable, by the Trustee, in accordance with the requirements of Section 102, which exercise shall be effective upon receipt of such notice by the Company and/or the Representative and the payment of the exercise price for the number of Common Stock with respect to which the option is being exercised, at the Company’s or the Representative’s principal office. The notice shall specify the number of Common Stock with respect to which the option is being exercised.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420"/>
          </w:cols>
          <w:pgMar w:left="240" w:top="625" w:right="239" w:bottom="1440" w:gutter="0" w:footer="0" w:header="0"/>
        </w:sectPr>
      </w:pPr>
    </w:p>
    <w:bookmarkStart w:id="61" w:name="page62"/>
    <w:bookmarkEnd w:id="61"/>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ASSIGNABILITY AND SALE OF AWARDS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7.1. Notwithstanding any other provision of the Plan, no Award or any right with respect thereto, purchasable hereunder, whether fully paid or not, shall be assignable, transferable or given as collateral or any right with respect to them given to any third party whatsoever, and during the lifetime of the Eligible Participant each and all of such rights to purchase or receive Common Stock hereunder shall be exercisable only by the Eligible Participant or shall vest only to the Eligible Participant.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such action made directly or indirectly, for an immediate validation or for a future one, shall be void.</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7.2. As long as Awards or Common Stock purchased or acquired pursuant thereto are held by the Trustee on behalf of the Eligible Participant, all rights of the Eligible Participant over the Common Stock are personal, and cannot be transferred, assigned, pledged or mortgaged, by the Eligible Participant or by the Trustee, other than by will or laws of descent and distribution.</w:t>
      </w:r>
    </w:p>
    <w:p>
      <w:pPr>
        <w:spacing w:after="0" w:line="181"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INTEGRATION OF SECTION 102</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8.1. With regard to 102 Trustee Grants, the provisions of the Plan, this Sub-plan and/or the Award Agreement shall be subject to the provisions of Section 102 and the any written confirmation issued by the ITA with respect to this Plan and/or the Sub-plan (the “WRITTEN APPROVAL”), and the said provisions of any Written Approval shall be deemed an integral part of the Plan, the Sub-plan, and the Award Agreement.</w:t>
      </w:r>
    </w:p>
    <w:p>
      <w:pPr>
        <w:spacing w:after="0" w:line="166"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8.2. Any provision of Section 102 and/or any Written Approval which are necessary in order to receive and/or to maintain any tax benefit pursuant to Section 102, which is not expressly specified in the Plan or the Sub-plan or the Award Agreement, shall be considered binding upon the Company and the Eligible Participants.</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8.3. The Eligible Participant agrees to execute any and all documents that the Company, the Affiliates, or the Trustee may reasonably determine to be necessary in order to comply with the provision of any applicable law, and particularly Section 102.</w:t>
      </w:r>
    </w:p>
    <w:p>
      <w:pPr>
        <w:spacing w:after="0" w:line="170"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9.1. Any tax consequences arising from the grant, exercise, or vesting of any Award, from the payment for Common Stock covered thereby or from any other event or act (of the Company, and/or its Affiliates, and the Trustee or the Eligible Participant), hereunder, shall be borne solely by the Eligible Participant. The Company and/or its Affiliates, and/or the Trustee shall withhold taxes according to the requirements under the applicable laws, rules, and regulations, including withholding taxes at source, any may make any provisions and take such steps as they may deem necessary or appropriate to meet the withholding requirements, including, but not limited to: (i) withholding from the Eligible Participant’s wages or other cash compensation paid to the Eligible Participant by the Company or the Affiliates; (ii) withholding otherwise deliverable Common Stock having a value equal to the minimum amount statutorily required to be withheld; or (iii) selling a sufficient number of such Common Stock otherwise deliverable to the Eligible Participant through such means as the Trustee may determine in its sole discretion (whether through a broker or otherwise) equal to the amount required to be withheld either through a voluntary sale or through a mandatory sale arranged by the Company (on the Eligible Participant’s behalf pursuant to the Eligible Participant’s authorization), to the extent permitted by law or pursuant to the approval of the ITA. In addition, the Eligible Participant will be required to pay any amount, including penalties, that exceeds the tax to be withheld and transferred to the ITA, pursuant to applicable law, regulation and rules. Furthermore, the Eligible Participant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Eligible Participant. The Company, the Affiliate and/or the Trustee shall not be required to release any Awards and or Common Stock to an Eligible Participant until all required taxes have been withheld.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400"/>
          </w:cols>
          <w:pgMar w:left="240" w:top="625" w:right="259" w:bottom="1440" w:gutter="0" w:footer="0" w:header="0"/>
        </w:sectPr>
      </w:pPr>
    </w:p>
    <w:bookmarkStart w:id="62" w:name="page63"/>
    <w:bookmarkEnd w:id="62"/>
    <w:p>
      <w:pPr>
        <w:ind w:right="440" w:firstLine="648"/>
        <w:spacing w:after="0" w:line="277" w:lineRule="auto"/>
        <w:rPr>
          <w:sz w:val="20"/>
          <w:szCs w:val="20"/>
          <w:color w:val="auto"/>
        </w:rPr>
      </w:pPr>
      <w:r>
        <w:rPr>
          <w:rFonts w:ascii="Arial" w:cs="Arial" w:eastAsia="Arial" w:hAnsi="Arial"/>
          <w:sz w:val="18"/>
          <w:szCs w:val="18"/>
          <w:color w:val="auto"/>
        </w:rPr>
        <w:t>9.2. The Company and/or, when applicable, the Trustee shall not be required to release any share certificate to an Eligible Participant until all required payments have been fully made.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9.3. For avoidance of doubt, there is no assurance that all of the Awards granted pursuant to Section 102 of the Ordinance shall be eligible for the tax benefits afforded by Section 102 of the Ordinance.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9.4. Following the grant of Awards under this Sub-plan and in any case in with the Eligible Participant shall cease to be considered an “Israeli Resident” as this term is defined in the Ordinance, the Company, an Affiliate, and/or the Trustee may, if and to the extent the Ordinance and/or Rules promulgated thereunder shall impose an obligation on them, withhold all applicable taxes from the Eligible Participant, remit the amount withheld to the ITA, and report to such Eligible Participant the amount so withheld and paid.</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9.5. With respect to Non-Trustee Grants, if the Eligible Participant ceases to be employed by the Company, or otherwise if so requested by the Company or the Affiliate, the Eligible Participant shall extend to the Company or to the Affiliate a security or guarantee for the payment of tax due at the time of sale of Common Stock to the satisfaction of the Company or the Affiliate, all in accordance with the provisions of Section 102 of the Ordinance and the Rules.</w:t>
      </w:r>
    </w:p>
    <w:p>
      <w:pPr>
        <w:spacing w:after="0" w:line="187"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GOVERNING LAW AND JURISDICTION</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10.1. Notwithstanding any other provision of the Plan, with respect to Eligible Participants subject to this Sub-plan, the Plan and all instruments issued there under or in connection therewith shall be governed by, and interpreted in accordance with, the laws of the State of Israel applicable to contracts made and to be performed therein.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400"/>
          </w:cols>
          <w:pgMar w:left="240" w:top="625" w:right="2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RULES OF THE ANALOG DEVICES,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AMENDED AND RESTATED 2006 STOCK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 PARTICIPANTS IN FRANCE</w:t>
      </w:r>
    </w:p>
    <w:p>
      <w:pPr>
        <w:spacing w:after="0" w:line="211"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Board of Directors of Analog Devices, Inc. (the “Company”) has established the Amended and Restated 2006 Stock Incentive Plan (the “U.S. Plan”) for the benefit of certain employees of the Company and its Subsidiaries, including its Subsidiaries in France (the “French Subsidiaries”) of which the Company holds directly or indirectly at least 10% of the share capital.</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Sections 3 and 13 (e) of the U.S. Plan authorize the Board of Directors and a Committee as appointed by the Board of Directors (the “Committee”) to establish, amend, and rescind any rules and regulations relating to the U.S. Plan and to make all other determinations that may be necessary or advisable for the administration of the U.S. Plan. Pursuant to the foregoing authority, the Committee, therefore, intends to establish a sub-plan of the U.S. Plan for the purpose of granting stock options which qualify for the favorable tax and social security treatment in France applicable to options granted under the Sections L. 225-177 to L. 225-186-1 of the French Commercial Code, as amended (“French-qualified Options”), and restricted stock units which qualify for the favorable tax and social security treatment in France applicable to shares granted for no consideration under Sections L. 225-197-1 to L. 225-197-6 of the French Commercial Code, as amended (“French-qualified Restricted Stock Units”), to qualifying participants in France who are resident in France for French tax purposes and/or subject to the French social security regime (“French Participants”).</w:t>
      </w:r>
    </w:p>
    <w:p>
      <w:pPr>
        <w:spacing w:after="0" w:line="17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terms of the U.S. Plan as attached hereto, shall, subject to the limitations set forth in the following rules, constitute the Rules of the Analog Devices, Inc. Amended and Restated 2006 Stock Incentive Plan for Participants in France (the “French Plan”).</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Under the French Plan, the French Participants will be granted only French-qualified Options and French-qualified Restricted Stock Units as defined below under Section I.2.</w:t>
      </w:r>
    </w:p>
    <w:p>
      <w:pPr>
        <w:spacing w:after="0" w:line="170"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Capitalized terms not otherwise defined herein shall have the same meanings as set forth in the U.S. Plan. The terms set forth below shall have the following meanings:</w:t>
      </w:r>
    </w:p>
    <w:p>
      <w:pPr>
        <w:spacing w:after="0" w:line="170" w:lineRule="exact"/>
        <w:rPr>
          <w:sz w:val="20"/>
          <w:szCs w:val="20"/>
          <w:color w:val="auto"/>
        </w:rPr>
      </w:pPr>
    </w:p>
    <w:p>
      <w:pPr>
        <w:ind w:right="460" w:firstLine="656"/>
        <w:spacing w:after="0" w:line="277" w:lineRule="auto"/>
        <w:tabs>
          <w:tab w:leader="none" w:pos="102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term “Closed Period” shall mean the specific periods as set forth in Section L. 225-177 of the French Commercial Code, as amended, during which French-qualified Options cannot be granted as described in Section II.1 below, including:</w:t>
      </w:r>
    </w:p>
    <w:p>
      <w:pPr>
        <w:spacing w:after="0" w:line="170" w:lineRule="exact"/>
        <w:rPr>
          <w:rFonts w:ascii="Arial" w:cs="Arial" w:eastAsia="Arial" w:hAnsi="Arial"/>
          <w:sz w:val="18"/>
          <w:szCs w:val="18"/>
          <w:color w:val="auto"/>
        </w:rPr>
      </w:pPr>
    </w:p>
    <w:p>
      <w:pPr>
        <w:ind w:left="1960" w:right="300" w:hanging="655"/>
        <w:spacing w:after="0" w:line="277" w:lineRule="auto"/>
        <w:tabs>
          <w:tab w:leader="none" w:pos="19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twenty (20) trading days following the issuance of a coupon granting the right to receive dividends or to purchase Shares of the Company;</w:t>
      </w:r>
    </w:p>
    <w:p>
      <w:pPr>
        <w:spacing w:after="0" w:line="170" w:lineRule="exact"/>
        <w:rPr>
          <w:rFonts w:ascii="Arial" w:cs="Arial" w:eastAsia="Arial" w:hAnsi="Arial"/>
          <w:sz w:val="18"/>
          <w:szCs w:val="18"/>
          <w:color w:val="auto"/>
        </w:rPr>
      </w:pPr>
    </w:p>
    <w:p>
      <w:pPr>
        <w:ind w:left="1960" w:right="140" w:hanging="655"/>
        <w:spacing w:after="0" w:line="277" w:lineRule="auto"/>
        <w:tabs>
          <w:tab w:leader="none" w:pos="19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ten (10) quotation days preceding and following the disclosure to the public of the consolidated financial statements or the annual statements of the Company; or</w:t>
      </w:r>
    </w:p>
    <w:p>
      <w:pPr>
        <w:spacing w:after="0" w:line="170" w:lineRule="exact"/>
        <w:rPr>
          <w:rFonts w:ascii="Arial" w:cs="Arial" w:eastAsia="Arial" w:hAnsi="Arial"/>
          <w:sz w:val="18"/>
          <w:szCs w:val="18"/>
          <w:color w:val="auto"/>
        </w:rPr>
      </w:pPr>
    </w:p>
    <w:p>
      <w:pPr>
        <w:ind w:left="1960" w:right="140" w:hanging="655"/>
        <w:spacing w:after="0" w:line="259" w:lineRule="auto"/>
        <w:tabs>
          <w:tab w:leader="none" w:pos="19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period during which the corporate management of the Company (</w:t>
      </w:r>
      <w:r>
        <w:rPr>
          <w:rFonts w:ascii="Arial" w:cs="Arial" w:eastAsia="Arial" w:hAnsi="Arial"/>
          <w:sz w:val="18"/>
          <w:szCs w:val="18"/>
          <w:i w:val="1"/>
          <w:iCs w:val="1"/>
          <w:color w:val="auto"/>
        </w:rPr>
        <w:t>i.e.</w:t>
      </w:r>
      <w:r>
        <w:rPr>
          <w:rFonts w:ascii="Arial" w:cs="Arial" w:eastAsia="Arial" w:hAnsi="Arial"/>
          <w:sz w:val="18"/>
          <w:szCs w:val="18"/>
          <w:color w:val="auto"/>
        </w:rPr>
        <w:t>, those involved in the governance of the Company, such as the Board, Committee, supervisory directorate, etc.) possess confidential information which could, if disclosed to the public, significantly impact the trading price of the Shares, until ten (10) quotation days after the day such information is disclosed to the public.</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621" w:right="239" w:bottom="1440" w:gutter="0" w:footer="0" w:header="0"/>
        </w:sectPr>
      </w:pPr>
    </w:p>
    <w:bookmarkStart w:id="64" w:name="page65"/>
    <w:bookmarkEnd w:id="64"/>
    <w:p>
      <w:pPr>
        <w:ind w:right="100" w:firstLine="648"/>
        <w:spacing w:after="0" w:line="257" w:lineRule="auto"/>
        <w:rPr>
          <w:sz w:val="20"/>
          <w:szCs w:val="20"/>
          <w:color w:val="auto"/>
        </w:rPr>
      </w:pPr>
      <w:r>
        <w:rPr>
          <w:rFonts w:ascii="Arial" w:cs="Arial" w:eastAsia="Arial" w:hAnsi="Arial"/>
          <w:sz w:val="18"/>
          <w:szCs w:val="18"/>
          <w:color w:val="auto"/>
        </w:rPr>
        <w:t>The term “Closed Period” shall mean the periods set out in (i) and (ii) only for the sale or transfer of Shares acquired at vesting of the French-qualified Restricted Stock Units as described in Section III.1(b) below. If French law or regulations are amended after adoption of the French Plan to modify the definition and/or applicability of the Closed Periods to French-qualified Options and/or French-qualified Restricted Stock Units, such amendments shall become applicable to any French-qualified Options and French-qualified Restricted Stock Units granted under this French Plan, to the extent permitted or required under French law.</w:t>
      </w:r>
    </w:p>
    <w:p>
      <w:pPr>
        <w:spacing w:after="0" w:line="188" w:lineRule="exact"/>
        <w:rPr>
          <w:sz w:val="20"/>
          <w:szCs w:val="20"/>
          <w:color w:val="auto"/>
        </w:rPr>
      </w:pPr>
    </w:p>
    <w:p>
      <w:pPr>
        <w:ind w:right="780" w:firstLine="648"/>
        <w:spacing w:after="0" w:line="342" w:lineRule="auto"/>
        <w:rPr>
          <w:sz w:val="20"/>
          <w:szCs w:val="20"/>
          <w:color w:val="auto"/>
        </w:rPr>
      </w:pPr>
      <w:r>
        <w:rPr>
          <w:rFonts w:ascii="Arial" w:cs="Arial" w:eastAsia="Arial" w:hAnsi="Arial"/>
          <w:sz w:val="16"/>
          <w:szCs w:val="16"/>
          <w:color w:val="auto"/>
        </w:rPr>
        <w:t>For French-qualified Options only, if the Company grants options on a date during an applicable Closed Period, the Grant Date for French Participants shall be the first date following the expiration of the Closed Period, provided such date is not prohibited under the U.S. Plan rules.</w:t>
      </w:r>
    </w:p>
    <w:p>
      <w:pPr>
        <w:spacing w:after="0" w:line="124" w:lineRule="exact"/>
        <w:rPr>
          <w:sz w:val="20"/>
          <w:szCs w:val="20"/>
          <w:color w:val="auto"/>
        </w:rPr>
      </w:pPr>
    </w:p>
    <w:p>
      <w:pPr>
        <w:ind w:left="1040" w:hanging="384"/>
        <w:spacing w:after="0"/>
        <w:tabs>
          <w:tab w:leader="none" w:pos="1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term “Exercise Price” shall be the price to purchase each Share.</w:t>
      </w:r>
    </w:p>
    <w:p>
      <w:pPr>
        <w:spacing w:after="0" w:line="225" w:lineRule="exact"/>
        <w:rPr>
          <w:rFonts w:ascii="Arial" w:cs="Arial" w:eastAsia="Arial" w:hAnsi="Arial"/>
          <w:sz w:val="18"/>
          <w:szCs w:val="18"/>
          <w:color w:val="auto"/>
        </w:rPr>
      </w:pPr>
    </w:p>
    <w:p>
      <w:pPr>
        <w:ind w:right="20" w:firstLine="656"/>
        <w:spacing w:after="0" w:line="259" w:lineRule="auto"/>
        <w:tabs>
          <w:tab w:leader="none" w:pos="1025"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term “Disability” shall mean a disability as determined in categories 2 and 3 under Section L. 341-4 of the French Social Security Code, as amended, and subject to the fulfillment of related conditions and the applicable Award Agreement. To the extent a French Participant’s disability meets the requirements as defined in the applicable Award Agreement and not the requirements of Disability set forth herein, the French Participant may not be entitled to the favorable tax and social security treatment under the French Plan.</w:t>
      </w:r>
    </w:p>
    <w:p>
      <w:pPr>
        <w:spacing w:after="0" w:line="186" w:lineRule="exact"/>
        <w:rPr>
          <w:rFonts w:ascii="Arial" w:cs="Arial" w:eastAsia="Arial" w:hAnsi="Arial"/>
          <w:sz w:val="18"/>
          <w:szCs w:val="18"/>
          <w:color w:val="auto"/>
        </w:rPr>
      </w:pPr>
    </w:p>
    <w:p>
      <w:pPr>
        <w:ind w:firstLine="656"/>
        <w:spacing w:after="0" w:line="277" w:lineRule="auto"/>
        <w:tabs>
          <w:tab w:leader="none" w:pos="10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term “Forced Retirement” shall mean forced retirement as determined under Section L. 1237-5 of the French Labor Code, as amended, and subject to the fulfillment of related conditions.</w:t>
      </w:r>
    </w:p>
    <w:p>
      <w:pPr>
        <w:spacing w:after="0" w:line="170" w:lineRule="exact"/>
        <w:rPr>
          <w:rFonts w:ascii="Arial" w:cs="Arial" w:eastAsia="Arial" w:hAnsi="Arial"/>
          <w:sz w:val="18"/>
          <w:szCs w:val="18"/>
          <w:color w:val="auto"/>
        </w:rPr>
      </w:pPr>
    </w:p>
    <w:p>
      <w:pPr>
        <w:ind w:right="60" w:firstLine="656"/>
        <w:spacing w:after="0" w:line="257" w:lineRule="auto"/>
        <w:tabs>
          <w:tab w:leader="none" w:pos="1025"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term “Grant Date” shall mean the date on which the Committee both (i) designates the French Participants, and (ii) specifies the terms and conditions of the French-qualified Options or French-qualified Restricted Stock Units, such as the number of Shares subject to the French-qualified Options or French-qualified Restricted Stock Units, the conditions for vesting of the French-qualified Options or French-qualified Restricted Stock Units, the conditions for exercising the French-qualified Options and any restrictions on the sale of Shares subject to the French-qualified Options or French-qualified Restricted Stock Units.</w:t>
      </w:r>
    </w:p>
    <w:p>
      <w:pPr>
        <w:spacing w:after="0" w:line="188" w:lineRule="exact"/>
        <w:rPr>
          <w:rFonts w:ascii="Arial" w:cs="Arial" w:eastAsia="Arial" w:hAnsi="Arial"/>
          <w:sz w:val="18"/>
          <w:szCs w:val="18"/>
          <w:color w:val="auto"/>
        </w:rPr>
      </w:pPr>
    </w:p>
    <w:p>
      <w:pPr>
        <w:ind w:left="1020" w:hanging="364"/>
        <w:spacing w:after="0"/>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term “Options” shall, in addition to the meaning set forth in the U.S. Plan under Section 5(a), include the following:</w:t>
      </w:r>
    </w:p>
    <w:p>
      <w:pPr>
        <w:spacing w:after="0" w:line="225" w:lineRule="exact"/>
        <w:rPr>
          <w:rFonts w:ascii="Arial" w:cs="Arial" w:eastAsia="Arial" w:hAnsi="Arial"/>
          <w:sz w:val="18"/>
          <w:szCs w:val="18"/>
          <w:color w:val="auto"/>
        </w:rPr>
      </w:pPr>
    </w:p>
    <w:p>
      <w:pPr>
        <w:ind w:left="1960" w:right="140" w:hanging="655"/>
        <w:spacing w:after="0" w:line="277" w:lineRule="auto"/>
        <w:tabs>
          <w:tab w:leader="none" w:pos="1960" w:val="left"/>
        </w:tabs>
        <w:numPr>
          <w:ilvl w:val="2"/>
          <w:numId w:val="67"/>
        </w:numPr>
        <w:rPr>
          <w:rFonts w:ascii="Arial" w:cs="Arial" w:eastAsia="Arial" w:hAnsi="Arial"/>
          <w:sz w:val="18"/>
          <w:szCs w:val="18"/>
          <w:color w:val="auto"/>
        </w:rPr>
      </w:pPr>
      <w:r>
        <w:rPr>
          <w:rFonts w:ascii="Arial" w:cs="Arial" w:eastAsia="Arial" w:hAnsi="Arial"/>
          <w:sz w:val="18"/>
          <w:szCs w:val="18"/>
          <w:color w:val="auto"/>
        </w:rPr>
        <w:t>purchase options, which are rights to acquire Shares repurchased by the Company prior to the date on which the Options become exercisable;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2"/>
          <w:numId w:val="67"/>
        </w:numPr>
        <w:rPr>
          <w:rFonts w:ascii="Arial" w:cs="Arial" w:eastAsia="Arial" w:hAnsi="Arial"/>
          <w:sz w:val="18"/>
          <w:szCs w:val="18"/>
          <w:color w:val="auto"/>
        </w:rPr>
      </w:pPr>
      <w:r>
        <w:rPr>
          <w:rFonts w:ascii="Arial" w:cs="Arial" w:eastAsia="Arial" w:hAnsi="Arial"/>
          <w:sz w:val="18"/>
          <w:szCs w:val="18"/>
          <w:color w:val="auto"/>
        </w:rPr>
        <w:t>subscription options, which are rights to subscribe newly-issued Shares.</w:t>
      </w:r>
    </w:p>
    <w:p>
      <w:pPr>
        <w:spacing w:after="0" w:line="225" w:lineRule="exact"/>
        <w:rPr>
          <w:rFonts w:ascii="Arial" w:cs="Arial" w:eastAsia="Arial" w:hAnsi="Arial"/>
          <w:sz w:val="18"/>
          <w:szCs w:val="18"/>
          <w:color w:val="auto"/>
        </w:rPr>
      </w:pPr>
    </w:p>
    <w:p>
      <w:pPr>
        <w:ind w:firstLine="656"/>
        <w:spacing w:after="0" w:line="259" w:lineRule="auto"/>
        <w:tabs>
          <w:tab w:leader="none" w:pos="10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term “Restricted Stock Unit” shall mean, in addition to the meaning set forth under Section 8(a) in the U.S. Plan, a promise by the Company to issue to the French Participant, at a future date, at no cash consideration, a Share for each unit granted to a French Participant, provided that any conditions established by the Committee for the vesting restrictions with respect to such unit have been satisfied and for which any dividend and voting rights attach only upon the issuance of Shares.</w:t>
      </w:r>
    </w:p>
    <w:p>
      <w:pPr>
        <w:spacing w:after="0" w:line="186" w:lineRule="exact"/>
        <w:rPr>
          <w:rFonts w:ascii="Arial" w:cs="Arial" w:eastAsia="Arial" w:hAnsi="Arial"/>
          <w:sz w:val="18"/>
          <w:szCs w:val="18"/>
          <w:color w:val="auto"/>
        </w:rPr>
      </w:pPr>
    </w:p>
    <w:p>
      <w:pPr>
        <w:ind w:right="480" w:firstLine="656"/>
        <w:spacing w:after="0" w:line="308" w:lineRule="auto"/>
        <w:tabs>
          <w:tab w:leader="none" w:pos="1035"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term “Vesting Date” shall mean the relevant date on which Restricted Stock Units are vested, as specified by the Committee, and the French Participants are entitled to receive the Shares underlying the Restricted Stock Units for no cash consideration.</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Notwithstanding any other term of this French Plan, French-qualified Options and French-Qualified Restricted Stock Units may be granted only to employees or corporate directors of the French Subsidiaries who hold less than ten percent (10%) of the outstanding Shares of the Company and who otherwise satisfy the eligibility conditions of Section 2 of the U.S. Plan.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380"/>
          </w:cols>
          <w:pgMar w:left="240" w:top="625" w:right="279" w:bottom="1440" w:gutter="0" w:footer="0" w:header="0"/>
        </w:sectPr>
      </w:pPr>
    </w:p>
    <w:bookmarkStart w:id="65" w:name="page66"/>
    <w:bookmarkEnd w:id="65"/>
    <w:p>
      <w:pPr>
        <w:ind w:right="60" w:firstLine="648"/>
        <w:spacing w:after="0" w:line="279" w:lineRule="auto"/>
        <w:rPr>
          <w:sz w:val="20"/>
          <w:szCs w:val="20"/>
          <w:color w:val="auto"/>
        </w:rPr>
      </w:pPr>
      <w:r>
        <w:rPr>
          <w:rFonts w:ascii="Arial" w:cs="Arial" w:eastAsia="Arial" w:hAnsi="Arial"/>
          <w:sz w:val="17"/>
          <w:szCs w:val="17"/>
          <w:color w:val="auto"/>
        </w:rPr>
        <w:t>Subject to the paragraph below, any French Participant who, on the Grant Date of the Option and/or Restricted Stock Unit, and to the extent required under French law, is employed under the terms and conditions of an employment contract (“contrat de travail”) by a French Subsidiary or who is a corporate officer of a French Subsidiary shall be eligible to receive, at the discretion of the Committee, French-qualified Options and/or French-qualified Restricted Stock Units under this French Plan, provided he or she also satisfies the eligibility conditions of Section 2 of the U.S. Plan.</w:t>
      </w:r>
    </w:p>
    <w:p>
      <w:pPr>
        <w:spacing w:after="0" w:line="171"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 xml:space="preserve">French-qualified Options and French-qualified Restricted Stock Units may not be issued to corporate executives of French Subsidiaries, other than the managing directors </w:t>
      </w:r>
      <w:r>
        <w:rPr>
          <w:rFonts w:ascii="Arial" w:cs="Arial" w:eastAsia="Arial" w:hAnsi="Arial"/>
          <w:sz w:val="17"/>
          <w:szCs w:val="17"/>
          <w:i w:val="1"/>
          <w:iCs w:val="1"/>
          <w:color w:val="auto"/>
        </w:rPr>
        <w:t>(Président du Conseil d’Administration, Directeur Général, Directeur Général Délégué, Membre du Directoire, Gérant de Sociétés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 actions) </w:t>
      </w:r>
      <w:r>
        <w:rPr>
          <w:rFonts w:ascii="Arial" w:cs="Arial" w:eastAsia="Arial" w:hAnsi="Arial"/>
          <w:sz w:val="17"/>
          <w:szCs w:val="17"/>
          <w:color w:val="auto"/>
        </w:rPr>
        <w:t>unless the corporate executive is an employee of a French Subsidiary, as defined by French law.</w:t>
      </w:r>
    </w:p>
    <w:p>
      <w:pPr>
        <w:spacing w:after="0" w:line="166"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Employment Rights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adoption of this French Plan shall not confer upon the French Participant, or any employees of a French entity, any employment rights and shall not be construed as a part of any employment contracts that a French Subsidiary has with its employees.</w:t>
      </w:r>
    </w:p>
    <w:p>
      <w:pPr>
        <w:spacing w:after="0" w:line="170"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Delivery of Shares Only</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Only Shares and not cash payments may be delivered to any French Grantee as a result of the French-qualified Options and French-qualified Restricted Stock Units granted under this French Plan.</w:t>
      </w:r>
    </w:p>
    <w:p>
      <w:pPr>
        <w:spacing w:after="0" w:line="170"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Notwithstanding any provision in the U.S. Plan to the contrary and, except in the case of death, French-qualified Options and French-qualified Restricted Stock Units cannot be transferred to any third party. In addition, during the lifetime of the French Participant, the French-qualified Options are exercisable only by the French Participant, subject to Sections II.3(c) and II.4 below. The Shares underlying the French-qualified Restricted Stock Units may not be transferred to any third party and shall be issued only to the French Participant during his or her lifetime, subject to Sections III.1(a) and III.3 below.</w:t>
      </w:r>
    </w:p>
    <w:p>
      <w:pPr>
        <w:spacing w:after="0" w:line="154"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Disqualification of French-qualified Options and French-qualified Restricted Stock Units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changes are made to the terms and conditions of the French-qualified Options and/or French-qualified Restricted Stock Units due to any requirements under the applicable laws, or by decision of the Company’s shareholders, the Board or the Committee, the Options and/or Restricted Stock Units may no longer qualify as French-qualified Options and French-qualified Restricted Stock Units.</w:t>
      </w:r>
    </w:p>
    <w:p>
      <w:pPr>
        <w:spacing w:after="0" w:line="18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If the Options and/or Restricted Stock Units no longer qualify as French-qualified Options and/or French-qualified Restricted Stock Units, the Committee may, in its sole discretion, determine to lift, shorten or terminate certain restrictions applicable to the vesting or exercisability of the Options, the vesting of the Restricted Stock Units or to the sale of the Shares underlying the Options and/or Restricted Stock Units which have been imposed under this French Plan or in the applicable Award Agreement delivered to the French Participant in order to achieve the favorable tax and social security treatment applicable to French-qualified Options and/or French-qualified Restricted Stock Units. Should the awards no longer be qualified the French Participant shall be liable to French tax and social security to the extent permissible under French law.</w:t>
      </w:r>
    </w:p>
    <w:p>
      <w:pPr>
        <w:spacing w:after="0" w:line="178"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Amendments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Subject to the terms of the U.S. Plan, the Board or Committee reserves the right to amend or terminate the French Plan at any time.</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420"/>
          </w:cols>
          <w:pgMar w:left="240" w:top="625" w:right="239" w:bottom="1440" w:gutter="0" w:footer="0" w:header="0"/>
        </w:sectPr>
      </w:pPr>
    </w:p>
    <w:bookmarkStart w:id="66" w:name="page67"/>
    <w:bookmarkEnd w:id="66"/>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FRENCH-QUALIFIED OPTIONS</w:t>
      </w:r>
    </w:p>
    <w:p>
      <w:pPr>
        <w:spacing w:after="0" w:line="225"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Closed Period</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French-qualified Options may not be granted during a Closed Period to the extent such Closed Periods are applicable to French-qualified Options granted by the Company. If the Company grants options on a date during an applicable Closed Period, the Grant Date for French Participants shall be the first date following the expiration of the Closed Period, provided such date is not prohibited under the U.S. Plan rules.</w:t>
      </w:r>
    </w:p>
    <w:p>
      <w:pPr>
        <w:spacing w:after="0" w:line="166"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Conditions of the French-qualified Options</w:t>
      </w:r>
    </w:p>
    <w:p>
      <w:pPr>
        <w:spacing w:after="0" w:line="225" w:lineRule="exact"/>
        <w:rPr>
          <w:rFonts w:ascii="Arial" w:cs="Arial" w:eastAsia="Arial" w:hAnsi="Arial"/>
          <w:sz w:val="18"/>
          <w:szCs w:val="18"/>
          <w:color w:val="auto"/>
        </w:rPr>
      </w:pPr>
    </w:p>
    <w:p>
      <w:pPr>
        <w:ind w:right="20" w:firstLine="656"/>
        <w:spacing w:after="0" w:line="264" w:lineRule="auto"/>
        <w:tabs>
          <w:tab w:leader="none" w:pos="1025"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Exercise Price and number of underlying Shares shall not be modified after the Grant Date, except as provided in Sections II.5 of this French Plan, or as otherwise authorized by French law. Any other modification permitted under the U.S. Plan may result in the Option no longer qualifying as a French-qualified Option.</w:t>
      </w:r>
    </w:p>
    <w:p>
      <w:pPr>
        <w:spacing w:after="0" w:line="181" w:lineRule="exact"/>
        <w:rPr>
          <w:rFonts w:ascii="Arial" w:cs="Arial" w:eastAsia="Arial" w:hAnsi="Arial"/>
          <w:sz w:val="18"/>
          <w:szCs w:val="18"/>
          <w:color w:val="auto"/>
        </w:rPr>
      </w:pPr>
    </w:p>
    <w:p>
      <w:pPr>
        <w:ind w:firstLine="656"/>
        <w:spacing w:after="0" w:line="277" w:lineRule="auto"/>
        <w:tabs>
          <w:tab w:leader="none" w:pos="1035"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French-qualified Options will vest and become exercisable pursuant to the terms and conditions set forth in the U.S. Plan, this French Plan, and the applicable Award Agreement delivered to each French Participant.</w:t>
      </w:r>
    </w:p>
    <w:p>
      <w:pPr>
        <w:spacing w:after="0" w:line="170" w:lineRule="exact"/>
        <w:rPr>
          <w:rFonts w:ascii="Arial" w:cs="Arial" w:eastAsia="Arial" w:hAnsi="Arial"/>
          <w:sz w:val="18"/>
          <w:szCs w:val="18"/>
          <w:color w:val="auto"/>
        </w:rPr>
      </w:pPr>
    </w:p>
    <w:p>
      <w:pPr>
        <w:ind w:right="140" w:firstLine="656"/>
        <w:spacing w:after="0" w:line="277" w:lineRule="auto"/>
        <w:tabs>
          <w:tab w:leader="none" w:pos="1025"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Exercise Price per Share payable pursuant to French-qualified Options granted under this French Plan shall be fixed by the Committee on the Grant Date. In no event shall the Exercise Price be less than the greatest of:</w:t>
      </w:r>
    </w:p>
    <w:p>
      <w:pPr>
        <w:spacing w:after="0" w:line="170" w:lineRule="exact"/>
        <w:rPr>
          <w:rFonts w:ascii="Arial" w:cs="Arial" w:eastAsia="Arial" w:hAnsi="Arial"/>
          <w:sz w:val="18"/>
          <w:szCs w:val="18"/>
          <w:color w:val="auto"/>
        </w:rPr>
      </w:pPr>
    </w:p>
    <w:p>
      <w:pPr>
        <w:ind w:left="1960" w:hanging="655"/>
        <w:spacing w:after="0" w:line="264" w:lineRule="auto"/>
        <w:tabs>
          <w:tab w:leader="none" w:pos="19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with respect to purchase stock options: the higher of either 80% of the average of the closing price of the Shares during the 20 days of quotation immediately preceding the Grant Date or 80% of the average of the purchase price paid for such Shares by the Company;</w:t>
      </w:r>
    </w:p>
    <w:p>
      <w:pPr>
        <w:spacing w:after="0" w:line="181" w:lineRule="exact"/>
        <w:rPr>
          <w:rFonts w:ascii="Arial" w:cs="Arial" w:eastAsia="Arial" w:hAnsi="Arial"/>
          <w:sz w:val="18"/>
          <w:szCs w:val="18"/>
          <w:color w:val="auto"/>
        </w:rPr>
      </w:pPr>
    </w:p>
    <w:p>
      <w:pPr>
        <w:ind w:left="1960" w:right="140" w:hanging="655"/>
        <w:spacing w:after="0" w:line="277" w:lineRule="auto"/>
        <w:tabs>
          <w:tab w:leader="none" w:pos="19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with respect to subscription stock options: 80% of the average of the closing price of such Shares during the 20 days of quotation immediately preceding the Grant Date;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100% of the Fair Market Value per Share as defined under the U.S. Plan, as determined on the Grant Date.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Exercise of a French-qualified Option</w:t>
      </w:r>
    </w:p>
    <w:p>
      <w:pPr>
        <w:spacing w:after="0" w:line="225" w:lineRule="exact"/>
        <w:rPr>
          <w:rFonts w:ascii="Arial" w:cs="Arial" w:eastAsia="Arial" w:hAnsi="Arial"/>
          <w:sz w:val="18"/>
          <w:szCs w:val="18"/>
          <w:color w:val="auto"/>
        </w:rPr>
      </w:pPr>
    </w:p>
    <w:p>
      <w:pPr>
        <w:ind w:right="80" w:firstLine="656"/>
        <w:spacing w:after="0" w:line="286" w:lineRule="auto"/>
        <w:tabs>
          <w:tab w:leader="none" w:pos="1018" w:val="left"/>
        </w:tabs>
        <w:numPr>
          <w:ilvl w:val="1"/>
          <w:numId w:val="76"/>
        </w:numPr>
        <w:rPr>
          <w:rFonts w:ascii="Arial" w:cs="Arial" w:eastAsia="Arial" w:hAnsi="Arial"/>
          <w:sz w:val="16"/>
          <w:szCs w:val="16"/>
          <w:color w:val="auto"/>
        </w:rPr>
      </w:pPr>
      <w:r>
        <w:rPr>
          <w:rFonts w:ascii="Arial" w:cs="Arial" w:eastAsia="Arial" w:hAnsi="Arial"/>
          <w:sz w:val="16"/>
          <w:szCs w:val="16"/>
          <w:color w:val="auto"/>
        </w:rPr>
        <w:t>At the time a French-qualified Option is effectively granted, the Committee shall fix the period within which the French-qualified Option vests and may be exercised and shall determine any conditions that must be satisfied before the French-qualified Option may be exercised. Specifically, the Committee may provide for a restriction period measured from the Grant Date, for the vesting or the exercise of a French-qualified Option, or for the sale of Shares acquired pursuant to the exercise of a French-qualified Option, designed to obtain the favorable tax and social security treatment pursuant to Section</w:t>
      </w:r>
    </w:p>
    <w:p>
      <w:pPr>
        <w:spacing w:after="0" w:line="1" w:lineRule="exact"/>
        <w:rPr>
          <w:rFonts w:ascii="Arial" w:cs="Arial" w:eastAsia="Arial" w:hAnsi="Arial"/>
          <w:sz w:val="16"/>
          <w:szCs w:val="16"/>
          <w:color w:val="auto"/>
        </w:rPr>
      </w:pPr>
    </w:p>
    <w:p>
      <w:pPr>
        <w:jc w:val="both"/>
        <w:ind w:right="100" w:firstLine="8"/>
        <w:spacing w:after="0" w:line="281" w:lineRule="auto"/>
        <w:tabs>
          <w:tab w:leader="none" w:pos="315" w:val="left"/>
        </w:tabs>
        <w:numPr>
          <w:ilvl w:val="0"/>
          <w:numId w:val="77"/>
        </w:numPr>
        <w:rPr>
          <w:rFonts w:ascii="Arial" w:cs="Arial" w:eastAsia="Arial" w:hAnsi="Arial"/>
          <w:sz w:val="16"/>
          <w:szCs w:val="16"/>
          <w:color w:val="auto"/>
        </w:rPr>
      </w:pPr>
      <w:r>
        <w:rPr>
          <w:rFonts w:ascii="Arial" w:cs="Arial" w:eastAsia="Arial" w:hAnsi="Arial"/>
          <w:sz w:val="16"/>
          <w:szCs w:val="16"/>
          <w:color w:val="auto"/>
        </w:rPr>
        <w:t>bis C of the French Tax Code, as amended. Such restriction period for the vesting or the exercise of a French-qualified Option or the sale of Shares shall be set forth in the applicable Award Agreement. The holding period of the Shares acquired upon exercise of a French-qualified Option shall not exceed three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 years as from the exercise date of a French-qualified Option, or such other period as may be required to comply with French law.</w:t>
      </w:r>
    </w:p>
    <w:p>
      <w:pPr>
        <w:spacing w:after="0" w:line="210" w:lineRule="exact"/>
        <w:rPr>
          <w:rFonts w:ascii="Arial" w:cs="Arial" w:eastAsia="Arial" w:hAnsi="Arial"/>
          <w:sz w:val="16"/>
          <w:szCs w:val="16"/>
          <w:color w:val="auto"/>
        </w:rPr>
      </w:pPr>
    </w:p>
    <w:p>
      <w:pPr>
        <w:ind w:right="220" w:firstLine="656"/>
        <w:spacing w:after="0" w:line="259" w:lineRule="auto"/>
        <w:tabs>
          <w:tab w:leader="none" w:pos="1038" w:val="left"/>
        </w:tabs>
        <w:numPr>
          <w:ilvl w:val="1"/>
          <w:numId w:val="77"/>
        </w:numPr>
        <w:rPr>
          <w:rFonts w:ascii="Arial" w:cs="Arial" w:eastAsia="Arial" w:hAnsi="Arial"/>
          <w:sz w:val="18"/>
          <w:szCs w:val="18"/>
          <w:color w:val="auto"/>
        </w:rPr>
      </w:pPr>
      <w:r>
        <w:rPr>
          <w:rFonts w:ascii="Arial" w:cs="Arial" w:eastAsia="Arial" w:hAnsi="Arial"/>
          <w:sz w:val="18"/>
          <w:szCs w:val="18"/>
          <w:color w:val="auto"/>
        </w:rPr>
        <w:t>Upon exercise of a French-qualified Option, the full Exercise Price and any required withholding tax or social security contributions, if any, shall be paid by the French Participant as set forth in the applicable Award Agreement. Under a cashless exercise program, the French Participant may give irrevocable instructions to a stockbroker to properly deliver the Exercise Price to the Company. No delivery, surrender or attestation to the ownership of previously owned Shares may be used to pay the Exercise Price.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1400"/>
          </w:cols>
          <w:pgMar w:left="240" w:top="625" w:right="259" w:bottom="1440" w:gutter="0" w:footer="0" w:header="0"/>
        </w:sectPr>
      </w:pPr>
    </w:p>
    <w:bookmarkStart w:id="67" w:name="page68"/>
    <w:bookmarkEnd w:id="67"/>
    <w:p>
      <w:pPr>
        <w:ind w:right="200" w:firstLine="656"/>
        <w:spacing w:after="0" w:line="277" w:lineRule="auto"/>
        <w:tabs>
          <w:tab w:leader="none" w:pos="1028"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event of the death of a French Participant, his or her French-qualified Options shall thereafter be immediately vested and exercisable in full under the conditions set forth by Section II.4 of this French Plan.</w:t>
      </w:r>
    </w:p>
    <w:p>
      <w:pPr>
        <w:spacing w:after="0" w:line="170" w:lineRule="exact"/>
        <w:rPr>
          <w:rFonts w:ascii="Arial" w:cs="Arial" w:eastAsia="Arial" w:hAnsi="Arial"/>
          <w:sz w:val="18"/>
          <w:szCs w:val="18"/>
          <w:color w:val="auto"/>
        </w:rPr>
      </w:pPr>
    </w:p>
    <w:p>
      <w:pPr>
        <w:ind w:right="180" w:firstLine="656"/>
        <w:spacing w:after="0" w:line="277" w:lineRule="auto"/>
        <w:tabs>
          <w:tab w:leader="none" w:pos="1038"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 French Participant is terminated or ceases to provide services to the Company or a French Subsidiary, his or her French-qualified Options will be exercisable according to the provisions of the Award Agreement.</w:t>
      </w:r>
    </w:p>
    <w:p>
      <w:pPr>
        <w:spacing w:after="0" w:line="170" w:lineRule="exact"/>
        <w:rPr>
          <w:rFonts w:ascii="Arial" w:cs="Arial" w:eastAsia="Arial" w:hAnsi="Arial"/>
          <w:sz w:val="18"/>
          <w:szCs w:val="18"/>
          <w:color w:val="auto"/>
        </w:rPr>
      </w:pPr>
    </w:p>
    <w:p>
      <w:pPr>
        <w:ind w:firstLine="656"/>
        <w:spacing w:after="0" w:line="259" w:lineRule="auto"/>
        <w:tabs>
          <w:tab w:leader="none" w:pos="1028"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 French Participant is terminated or ceases to be employed by the Company or a French Subsidiary by reason of Disability (as defined in this French Plan), his or her French-qualified Options may benefit from the favorable tax and social security treatment, even if the date of sale of the Shares subject to the French-qualified Options occurs prior to the expiration of the minimum holding period of the Shares, as provided for by Section 163 bis C of the French Tax Code, as amended.</w:t>
      </w:r>
    </w:p>
    <w:p>
      <w:pPr>
        <w:spacing w:after="0" w:line="186" w:lineRule="exact"/>
        <w:rPr>
          <w:rFonts w:ascii="Arial" w:cs="Arial" w:eastAsia="Arial" w:hAnsi="Arial"/>
          <w:sz w:val="18"/>
          <w:szCs w:val="18"/>
          <w:color w:val="auto"/>
        </w:rPr>
      </w:pPr>
    </w:p>
    <w:p>
      <w:pPr>
        <w:ind w:right="40" w:firstLine="656"/>
        <w:spacing w:after="0" w:line="272" w:lineRule="auto"/>
        <w:tabs>
          <w:tab w:leader="none" w:pos="1008"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a French Participant ceases to be employed by the Company or a French Subsidiary by reason of his or her Forced Retirement (as defined in this French Plan) or dismissal as defined by Section 91-ter of Exhibit II to the French Tax Code, as amended, and as construed by the French tax circulars and subject to the fulfillment of related conditions, his or her French-qualified Options may benefit from favorable tax and social security treatment, irrespective of the date of sale of the Shares, provided the exercise of the French-qualified Options was authorized under the applicable Award Agreement prior to the time of Forced Retirement or dismissal and the French-qualified Options were exercised at least three (3) months prior to the effective date of the Forced Retirement or at least three (3) months prior to the sending of the letter of dismissal to the French Participant as defined by French law and as construed by French tax and social security guidelines and court decisions of French Labor Courts.</w:t>
      </w:r>
    </w:p>
    <w:p>
      <w:pPr>
        <w:spacing w:after="0" w:line="177" w:lineRule="exact"/>
        <w:rPr>
          <w:rFonts w:ascii="Arial" w:cs="Arial" w:eastAsia="Arial" w:hAnsi="Arial"/>
          <w:sz w:val="17"/>
          <w:szCs w:val="17"/>
          <w:color w:val="auto"/>
        </w:rPr>
      </w:pPr>
    </w:p>
    <w:p>
      <w:pPr>
        <w:ind w:right="220" w:firstLine="656"/>
        <w:spacing w:after="0" w:line="264" w:lineRule="auto"/>
        <w:tabs>
          <w:tab w:leader="none" w:pos="10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Shares acquired upon exercise of a French-qualified Option shall be fully owned by the French Participant and recorded in an account in his or her name and must be held with the Company or a broker or in such manner as the Company may otherwise determine to ensure compliance with French laws including any necessary holding periods.</w:t>
      </w:r>
    </w:p>
    <w:p>
      <w:pPr>
        <w:spacing w:after="0" w:line="18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To the extent and as long as applicable to French-qualified Options granted by the Company, a specific holding period for the Shares or a restriction on exercise of the Options shall be imposed in the Award Agreement for any French Participant who qualifies as a managing director of the Company.</w:t>
      </w:r>
    </w:p>
    <w:p>
      <w:pPr>
        <w:spacing w:after="0" w:line="124"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Death</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the event of the death of a French Participant while he or she is actively employed, all French-qualified Options shall become immediately vested and exercisable and may be exercised in full by the French Participant’s heirs or the legal representative of his or her estate for the six (6) month period following the date of the French Participant’s death or such other period as may be required to comply with French law. In the event of the death of a French Participant after termination of active employment, the treatment of French-qualified Options will be as set forth in the Award Agreement. Any French-qualified Option that remains unexercised shall expire six (6) months following the date of the French Participant’s death or after expiration of such other period as may be required to comply with French law. The six (6) month exercise period (or such other period as may be required to comply with French law) will apply without regard to the term of the French-qualified Option as described in Section II.6 of this French Plan.</w:t>
      </w:r>
    </w:p>
    <w:p>
      <w:pPr>
        <w:spacing w:after="0" w:line="178"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Adjustments – Change in Control</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Adjustments of French-qualified Options issued hereunder shall be made to preclude the dilution or enlargement of benefits under the French-qualified Option only in the event of the transactions by the Company listed under Section L. 225-181 of the French Commercial Code, as amended, and in case of a repurchase of Shares by the Company at a price which is higher than the stock quotation price in the open market, and according to the provisions of Section L. 228-99 of the French Commercial Code, as amended, as well as according to specific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ectPr>
          <w:pgSz w:w="11900" w:h="16838" w:orient="portrait"/>
          <w:cols w:equalWidth="0" w:num="1">
            <w:col w:w="11420"/>
          </w:cols>
          <w:pgMar w:left="240" w:top="625" w:right="239" w:bottom="1440" w:gutter="0" w:footer="0" w:header="0"/>
        </w:sectPr>
      </w:pPr>
    </w:p>
    <w:bookmarkStart w:id="68" w:name="page69"/>
    <w:bookmarkEnd w:id="68"/>
    <w:p>
      <w:pPr>
        <w:ind w:right="140"/>
        <w:spacing w:after="0" w:line="277" w:lineRule="auto"/>
        <w:rPr>
          <w:sz w:val="20"/>
          <w:szCs w:val="20"/>
          <w:color w:val="auto"/>
        </w:rPr>
      </w:pPr>
      <w:r>
        <w:rPr>
          <w:rFonts w:ascii="Arial" w:cs="Arial" w:eastAsia="Arial" w:hAnsi="Arial"/>
          <w:sz w:val="18"/>
          <w:szCs w:val="18"/>
          <w:color w:val="auto"/>
        </w:rPr>
        <w:t>decrees. In the event of an adjustment other than as described above, the Options may no longer qualify for favorable tax and social security treatment under French law.</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Nevertheless, the Board or the Committee, at its discretion, may decide to make adjustments in the case of a transaction as described in Sections 5(i) and 11 of the U.S. Plan, for which adjustments may not be authorized under French law, in which case, the Options may no longer qualify as French-qualified awards and the favorable tax and social security treatment may be lost.</w:t>
      </w:r>
    </w:p>
    <w:p>
      <w:pPr>
        <w:spacing w:after="0" w:line="181"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Term of Option</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French-qualified Options granted pursuant to this French Plan will expire no later than nine and a half (9 1/2) years from the Grant Date, unless otherwise specified in the applicable Award Agreement. The French-qualified Option term will be extended only in the event of the death of a French Participant, but in no event will any French-qualified Option be exercisable beyond nine (9) months following the date of death of the French Participant or such other period as may be required to comply with French law.</w:t>
      </w:r>
    </w:p>
    <w:p>
      <w:pPr>
        <w:spacing w:after="0" w:line="187"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the event of any conflict between the provisions of this French Plan and the U.S. Plan, the provisions of this French Plan shall control for any grants of French-qualified Options made to French Participants.</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It is intended that Options granted under this French Plan shall qualify for the favorable tax and social security treatment applicable to stock options granted under Sections L. 225-177 to L. 225-186-1 of the French Commercial Code, as amended, and in accordance with the relevant provisions set forth by French tax law and the French tax administration, but no undertaking is made by the Company to maintain such status. The terms of this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w:t>
      </w:r>
    </w:p>
    <w:p>
      <w:pPr>
        <w:spacing w:after="0" w:line="158"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FRENCH-QUALIFIED RESTRICTED STOCK UNITS</w:t>
      </w:r>
    </w:p>
    <w:p>
      <w:pPr>
        <w:spacing w:after="0" w:line="225"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Conditions of the French-qualified Restricted Stock Units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Vesting of French-Qualified Restricted Stock Units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Notwithstanding any other provision of the U.S. Plan, French-qualified Restricted Stock Units shall not vest and the Shares underlying the French-qualified Restricted Stock Units shall not be delivered to the French Participants prior to the expiration of a minimum two-year period as calculated from the Grant Date, or such other period as is required to comply with the minimum mandatory vesting period applicable to French-qualified Restricted Stock Units under Section L. 225-197-1 of the French Commercial Code, as amended, or the relevant sections of the French Tax Code or the French Social Security Code, as amended to benefit from the favorable French restricted stock units regime. However, notwithstanding the vesting requirements described above, in the event of the death of a French Participant, all of his or her outstanding French-qualified Restricted Stock Units shall become vested under the conditions set forth in Section III.3 of this French Plan.</w:t>
      </w:r>
    </w:p>
    <w:p>
      <w:pPr>
        <w:spacing w:after="0" w:line="18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Holding of Shares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sale or transfer of Shares issued pursuant to the French-qualified Restricted Stock Units may not occur prior to the relevant anniversary of the Vesting Date specified by the Committee and in no case prior to the expiration of a minimum two-year period as calculated from the Vesting Date (or, if later, the date on which the Shares underlying the French-qualified Restricted Stock Units are issued to a French Participant), or such other period as is required to comply with the minimum mandatory holding period applicable to French-qualified Restricted Stock Units under Section L. 225-197-1 of the French Commercial Code, as amended, or the relevant sections of the French Tax Code or the French Social Security Code, as amended, to benefit from the favorable tax</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B-6</w:t>
      </w:r>
    </w:p>
    <w:p>
      <w:pPr>
        <w:sectPr>
          <w:pgSz w:w="11900" w:h="16838" w:orient="portrait"/>
          <w:cols w:equalWidth="0" w:num="1">
            <w:col w:w="11420"/>
          </w:cols>
          <w:pgMar w:left="240" w:top="62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and social security regime, even if the French Participant is no longer an employee or corporate officer of an Affiliate or the Company.</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the Shares issued pursuant to the French-qualified Restricted Stock Units may not be sold or transferred during a Closed Period, so long as those Closed Periods are applicable to Shares underlying French-qualified Restricted Stock Units.</w:t>
      </w:r>
    </w:p>
    <w:p>
      <w:pPr>
        <w:spacing w:after="0" w:line="170"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Corporate Officer Restriction</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To the extent and as long as applicable to French-qualified Restricted Stock Units granted by the Company, a specific holding period for the sale or transfer of Shares shall be imposed in the applicable Restricted Stock Unit Agreement for any French Participant who qualifies as a managing director of the Company.</w:t>
      </w:r>
    </w:p>
    <w:p>
      <w:pPr>
        <w:spacing w:after="0" w:line="181"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French Participant’s Account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Shares issued pursuant to the French-qualified Restricted Stock Units shall be fully owned by the French Participant and recorded and held in an account in his or her name with the Company or a broker or in such other manner as the Company may determine in order to ensure compliance with French laws, including any required holding periods.</w:t>
      </w:r>
    </w:p>
    <w:p>
      <w:pPr>
        <w:spacing w:after="0" w:line="181"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Adjustments – Change in Control</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In the event of an adjustment due to a corporate transaction or event as set forth in Section 11(c) of the U.S. Plan, the adjustment to the terms and conditions of the French-qualified Restricted Stock Units or underlying Shares shall be made in accordance with the U.S. Plan and pursuant to applicable French legal and tax rules. Nevertheless, should the Board or Committee make adjustments in the case of a transaction for which adjustments are not authorized under French law, the Restricted Stock Units may no longer qualify as French-qualified Restricted Stock Units.</w:t>
      </w:r>
    </w:p>
    <w:p>
      <w:pPr>
        <w:spacing w:after="0" w:line="154"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Death and Disability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the event of the death of a French Participant, the French-qualified Restricted Stock Units held by the French Participant at the time of death shall become immediately transferable to the French Participant’s heirs. The Company shall issue the underlying Shares to the French Participant’s heirs, at their request, provided the heirs contact the Company within six (6) months following the death of the French Participant or such other period as may be required to comply with French law If the French Participant’s heirs do not request the issuance of the Shares underlying the French-qualified Restricted Stock Units within six (6) months following the French Participant’s death (or such other period as may be required to comply with French law), the French-qualified Restricted Stock Units will be forfeited.</w:t>
      </w:r>
    </w:p>
    <w:p>
      <w:pPr>
        <w:spacing w:after="0" w:line="19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If a French Participant dies or ceases to be employed by the Company or a French Subsidiary or any Affiliate by reason of his or her Disability (as defined in this French Plan), the French Participant’s heirs or the disabled French Participant, as applicable, shall not be subject to the restrictions on the sale or transfer of Shares set forth in Section III.1(b) of this French Plan.</w:t>
      </w:r>
    </w:p>
    <w:p>
      <w:pPr>
        <w:spacing w:after="0" w:line="181"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It is intended that Options granted under the French Plan shall qualify for the favorable tax and social security treatment applicable to Options granted under Sections L. 225-177 to L. 225-186-1 of the French Commercial Code, as amended, and in accordance with the relevant provisions set forth by French tax law and the French tax administration, but no undertaking is made to maintain such status.</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terms of the French Plan shall be interpreted accordingly and in accordance with the relevant provisions set forth by French tax and social security laws, as well as the French tax and social security</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B-7</w:t>
      </w:r>
    </w:p>
    <w:p>
      <w:pPr>
        <w:sectPr>
          <w:pgSz w:w="11900" w:h="16838" w:orient="portrait"/>
          <w:cols w:equalWidth="0" w:num="1">
            <w:col w:w="11380"/>
          </w:cols>
          <w:pgMar w:left="240" w:top="625" w:right="279" w:bottom="1440" w:gutter="0" w:footer="0" w:header="0"/>
        </w:sectPr>
      </w:pPr>
    </w:p>
    <w:bookmarkStart w:id="70" w:name="page71"/>
    <w:bookmarkEnd w:id="70"/>
    <w:p>
      <w:pPr>
        <w:spacing w:after="0" w:line="277" w:lineRule="auto"/>
        <w:rPr>
          <w:sz w:val="20"/>
          <w:szCs w:val="20"/>
          <w:color w:val="auto"/>
        </w:rPr>
      </w:pPr>
      <w:r>
        <w:rPr>
          <w:rFonts w:ascii="Arial" w:cs="Arial" w:eastAsia="Arial" w:hAnsi="Arial"/>
          <w:sz w:val="18"/>
          <w:szCs w:val="18"/>
          <w:color w:val="auto"/>
        </w:rPr>
        <w:t>administrations and the relevant guidelines released by the French tax and social security authorities and subject to the fulfillment of legal, tax and reporting obligations.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the event of any conflict between the provisions of the French Plan and the U.S. Plan, the provisions of this French Plan shall control for any grants of Options made thereunder to French Participants.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ADOPTION</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French Plan, as amended and restated, was adopted by the Committee on March 13, 2012 and became effective as of the same date.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B-8</w:t>
      </w:r>
    </w:p>
    <w:p>
      <w:pPr>
        <w:sectPr>
          <w:pgSz w:w="11900" w:h="16838" w:orient="portrait"/>
          <w:cols w:equalWidth="0" w:num="1">
            <w:col w:w="11260"/>
          </w:cols>
          <w:pgMar w:left="240" w:top="625" w:right="399" w:bottom="1440" w:gutter="0" w:footer="0" w:header="0"/>
        </w:sectPr>
      </w:pPr>
    </w:p>
    <w:bookmarkStart w:id="71" w:name="page72"/>
    <w:bookmarkEnd w:id="71"/>
    <w:p>
      <w:pPr>
        <w:jc w:val="center"/>
        <w:ind w:right="-159"/>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AUSTRALIAN ADDENDUM</w:t>
      </w:r>
    </w:p>
    <w:p>
      <w:pPr>
        <w:spacing w:after="0" w:line="225"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Addendum (the “Australian Addendum”) to the Analog Devices, Inc. (“Company”) Amended and Restated 2006 Stock Incentive Plan (as amended)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(“U.S. Plan”) is adopted to set out rules which, together with those provisions of the U.S. Plan which this Australian Addendum does not replace, will:</w:t>
      </w:r>
    </w:p>
    <w:p>
      <w:pPr>
        <w:spacing w:after="0" w:line="222" w:lineRule="exact"/>
        <w:rPr>
          <w:sz w:val="20"/>
          <w:szCs w:val="20"/>
          <w:color w:val="auto"/>
        </w:rPr>
      </w:pPr>
    </w:p>
    <w:p>
      <w:pPr>
        <w:ind w:left="1040" w:hanging="384"/>
        <w:spacing w:after="0"/>
        <w:tabs>
          <w:tab w:leader="none" w:pos="1040" w:val="left"/>
        </w:tabs>
        <w:numPr>
          <w:ilvl w:val="1"/>
          <w:numId w:val="89"/>
        </w:numPr>
        <w:rPr>
          <w:rFonts w:ascii="Arial" w:cs="Arial" w:eastAsia="Arial" w:hAnsi="Arial"/>
          <w:sz w:val="17"/>
          <w:szCs w:val="17"/>
          <w:color w:val="auto"/>
        </w:rPr>
      </w:pPr>
      <w:r>
        <w:rPr>
          <w:rFonts w:ascii="Arial" w:cs="Arial" w:eastAsia="Arial" w:hAnsi="Arial"/>
          <w:sz w:val="17"/>
          <w:szCs w:val="17"/>
          <w:color w:val="auto"/>
        </w:rPr>
        <w:t>govern the operation of the Plan with respect to Australian resident employees of the Company and its Australian Subsidiaries; and</w:t>
      </w:r>
    </w:p>
    <w:p>
      <w:pPr>
        <w:spacing w:after="0" w:line="236" w:lineRule="exact"/>
        <w:rPr>
          <w:rFonts w:ascii="Arial" w:cs="Arial" w:eastAsia="Arial" w:hAnsi="Arial"/>
          <w:sz w:val="17"/>
          <w:szCs w:val="17"/>
          <w:color w:val="auto"/>
        </w:rPr>
      </w:pPr>
    </w:p>
    <w:p>
      <w:pPr>
        <w:ind w:right="600" w:firstLine="656"/>
        <w:spacing w:after="0" w:line="277" w:lineRule="auto"/>
        <w:tabs>
          <w:tab w:leader="none" w:pos="1038" w:val="left"/>
        </w:tabs>
        <w:numPr>
          <w:ilvl w:val="1"/>
          <w:numId w:val="89"/>
        </w:numPr>
        <w:rPr>
          <w:rFonts w:ascii="Arial" w:cs="Arial" w:eastAsia="Arial" w:hAnsi="Arial"/>
          <w:sz w:val="18"/>
          <w:szCs w:val="18"/>
          <w:color w:val="auto"/>
        </w:rPr>
      </w:pPr>
      <w:r>
        <w:rPr>
          <w:rFonts w:ascii="Arial" w:cs="Arial" w:eastAsia="Arial" w:hAnsi="Arial"/>
          <w:sz w:val="18"/>
          <w:szCs w:val="18"/>
          <w:color w:val="auto"/>
        </w:rPr>
        <w:t>provide for the Plan to comply with ASIC Class Order 03/184 (“Class Order”), relevant provisions of the Corporations Act and ASIC Regulatory Guide 49.</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set out in this clause 2, capitalised terms used in this document have the meaning ascribed to them in the U.S. Plan. If any conflict occurs between the provisions of this Australian Addendum and the provisions of the U.S. Plan, these provisions prevail.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Australian Addendum: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ASIC </w:t>
      </w:r>
      <w:r>
        <w:rPr>
          <w:rFonts w:ascii="Arial" w:cs="Arial" w:eastAsia="Arial" w:hAnsi="Arial"/>
          <w:sz w:val="18"/>
          <w:szCs w:val="18"/>
          <w:color w:val="auto"/>
        </w:rPr>
        <w:t>means the Australian Securities and Investments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Associated Body Corporate </w:t>
      </w:r>
      <w:r>
        <w:rPr>
          <w:rFonts w:ascii="Arial" w:cs="Arial" w:eastAsia="Arial" w:hAnsi="Arial"/>
          <w:sz w:val="18"/>
          <w:szCs w:val="18"/>
          <w:color w:val="auto"/>
        </w:rPr>
        <w:t>means, as determined in accordance with the Corporations Act, a body corporate:</w:t>
      </w:r>
    </w:p>
    <w:p>
      <w:pPr>
        <w:spacing w:after="0" w:line="225" w:lineRule="exact"/>
        <w:rPr>
          <w:sz w:val="20"/>
          <w:szCs w:val="20"/>
          <w:color w:val="auto"/>
        </w:rPr>
      </w:pPr>
    </w:p>
    <w:p>
      <w:pPr>
        <w:ind w:left="1040" w:hanging="384"/>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that is a related body corporate of the Company;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that has voting power in the Company of not less than 20%;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which the Company has voting power of not less than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Australian Award </w:t>
      </w:r>
      <w:r>
        <w:rPr>
          <w:rFonts w:ascii="Arial" w:cs="Arial" w:eastAsia="Arial" w:hAnsi="Arial"/>
          <w:sz w:val="18"/>
          <w:szCs w:val="18"/>
          <w:color w:val="auto"/>
        </w:rPr>
        <w:t>means the award of an Option, Share, Restricted Stock Unit or Dividend Equivalent under the terms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Australian Offerees </w:t>
      </w:r>
      <w:r>
        <w:rPr>
          <w:rFonts w:ascii="Arial" w:cs="Arial" w:eastAsia="Arial" w:hAnsi="Arial"/>
          <w:sz w:val="18"/>
          <w:szCs w:val="18"/>
          <w:color w:val="auto"/>
        </w:rPr>
        <w:t>means all persons to whom an offer of an Australian Award is made in Australia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Australian Subsidiary </w:t>
      </w:r>
      <w:r>
        <w:rPr>
          <w:rFonts w:ascii="Arial" w:cs="Arial" w:eastAsia="Arial" w:hAnsi="Arial"/>
          <w:sz w:val="18"/>
          <w:szCs w:val="18"/>
          <w:color w:val="auto"/>
        </w:rPr>
        <w:t>means an Australian Associated Body Corporate;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means the common stock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Analog Devices,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Corporations </w:t>
      </w:r>
      <w:r>
        <w:rPr>
          <w:rFonts w:ascii="Arial" w:cs="Arial" w:eastAsia="Arial" w:hAnsi="Arial"/>
          <w:sz w:val="18"/>
          <w:szCs w:val="18"/>
          <w:color w:val="auto"/>
        </w:rPr>
        <w:t>A</w:t>
      </w:r>
      <w:r>
        <w:rPr>
          <w:rFonts w:ascii="Arial" w:cs="Arial" w:eastAsia="Arial" w:hAnsi="Arial"/>
          <w:sz w:val="18"/>
          <w:szCs w:val="18"/>
          <w:b w:val="1"/>
          <w:bCs w:val="1"/>
          <w:i w:val="1"/>
          <w:iCs w:val="1"/>
          <w:color w:val="auto"/>
        </w:rPr>
        <w:t>c</w:t>
      </w:r>
      <w:r>
        <w:rPr>
          <w:rFonts w:ascii="Arial" w:cs="Arial" w:eastAsia="Arial" w:hAnsi="Arial"/>
          <w:sz w:val="18"/>
          <w:szCs w:val="18"/>
          <w:color w:val="auto"/>
        </w:rPr>
        <w:t>t means Corporations Act 2001 (Cth);</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 xml:space="preserve">Dividend Equivalent </w:t>
      </w:r>
      <w:r>
        <w:rPr>
          <w:rFonts w:ascii="Arial" w:cs="Arial" w:eastAsia="Arial" w:hAnsi="Arial"/>
          <w:sz w:val="17"/>
          <w:szCs w:val="17"/>
          <w:color w:val="auto"/>
        </w:rPr>
        <w:t>means a right to receive a cash payment equal to the amount of any dividends that the Company may declare on its Shares that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in connection with any award of Restricted Stock Units at the Company’s discretion, in accordance with the U.S. Plan;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Offer </w:t>
      </w:r>
      <w:r>
        <w:rPr>
          <w:rFonts w:ascii="Arial" w:cs="Arial" w:eastAsia="Arial" w:hAnsi="Arial"/>
          <w:sz w:val="17"/>
          <w:szCs w:val="17"/>
          <w:color w:val="auto"/>
        </w:rPr>
        <w:t>means an offer received in Australia to acquire Shares, Options, Restricted Stock Units or Dividend Equivalents under the terms of the Plan;</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260"/>
          </w:cols>
          <w:pgMar w:left="240" w:top="621" w:right="3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 xml:space="preserve">Option </w:t>
      </w:r>
      <w:r>
        <w:rPr>
          <w:rFonts w:ascii="Arial" w:cs="Arial" w:eastAsia="Arial" w:hAnsi="Arial"/>
          <w:sz w:val="18"/>
          <w:szCs w:val="18"/>
          <w:color w:val="auto"/>
        </w:rPr>
        <w:t>means an option to acquire a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the U.S. Plan as modified for implementation in Australia by this Australian Addendum;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Share </w:t>
      </w:r>
      <w:r>
        <w:rPr>
          <w:rFonts w:ascii="Arial" w:cs="Arial" w:eastAsia="Arial" w:hAnsi="Arial"/>
          <w:sz w:val="18"/>
          <w:szCs w:val="18"/>
          <w:color w:val="auto"/>
        </w:rPr>
        <w:t>means a share of Common Stock; and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Unit means an unfunded promise by the Company to deliver the number of Shares underlying the Restricted Stock Unit following the lapse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specified restrictions.</w:t>
      </w:r>
    </w:p>
    <w:p>
      <w:pPr>
        <w:spacing w:after="0" w:line="166"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FORM OF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only grant Australian Awards under the Plan in Australia.</w:t>
      </w:r>
    </w:p>
    <w:p>
      <w:pPr>
        <w:spacing w:after="0" w:line="225"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Options and Restricted Stock Units may be offered for no more than nominal consideration (i.e. consideration of not more than one (1) cent per Option/Restricted Stock Unit).</w:t>
      </w:r>
    </w:p>
    <w:p>
      <w:pPr>
        <w:spacing w:after="0" w:line="166"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AUSTRALIAN OFFEREES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may extend an Offer only to Australian Offerees who at the time of the Offer are full or part-time employees or directors of the Company or an Associated Body Corporate.</w:t>
      </w:r>
    </w:p>
    <w:p>
      <w:pPr>
        <w:spacing w:after="0" w:line="166"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NO CONTRIBUTION OR TRUST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 Offer must not involve a contribution plan or any offer, issue or sale being made through a trust.</w:t>
      </w:r>
    </w:p>
    <w:p>
      <w:pPr>
        <w:spacing w:after="0" w:line="221" w:lineRule="exact"/>
        <w:rPr>
          <w:sz w:val="20"/>
          <w:szCs w:val="20"/>
          <w:color w:val="auto"/>
        </w:rPr>
      </w:pPr>
    </w:p>
    <w:p>
      <w:pPr>
        <w:ind w:right="7780" w:firstLine="8"/>
        <w:spacing w:after="0" w:line="503" w:lineRule="auto"/>
        <w:tabs>
          <w:tab w:leader="none" w:pos="648"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AUSTRALIAN OFFER DOCUMENT 6.1 Form of Offer</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shall make an Offer in Australia to participate in the Plan via a written document (“Offer Document”) which must set out the terms of the Offer and include or be accompanied by the following:</w:t>
      </w:r>
    </w:p>
    <w:p>
      <w:pPr>
        <w:spacing w:after="0" w:line="170" w:lineRule="exact"/>
        <w:rPr>
          <w:sz w:val="20"/>
          <w:szCs w:val="20"/>
          <w:color w:val="auto"/>
        </w:rPr>
      </w:pPr>
    </w:p>
    <w:p>
      <w:pPr>
        <w:ind w:left="1040" w:hanging="384"/>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summary or a copy of the Plan;</w:t>
      </w:r>
    </w:p>
    <w:p>
      <w:pPr>
        <w:spacing w:after="0" w:line="225" w:lineRule="exact"/>
        <w:rPr>
          <w:rFonts w:ascii="Arial" w:cs="Arial" w:eastAsia="Arial" w:hAnsi="Arial"/>
          <w:sz w:val="18"/>
          <w:szCs w:val="18"/>
          <w:color w:val="auto"/>
        </w:rPr>
      </w:pPr>
    </w:p>
    <w:p>
      <w:pPr>
        <w:jc w:val="both"/>
        <w:ind w:right="220" w:firstLine="656"/>
        <w:spacing w:after="0" w:line="264" w:lineRule="auto"/>
        <w:tabs>
          <w:tab w:leader="none" w:pos="1038"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where only a summary of the Plan is provided, an undertaking that during the period (“Offer Period”) in which an Australian Award may be issued or Shares may be acquired through exercise of an Australian Award, the Company or its Australian Subsidiary will, within a reasonable period of an Australian Offeree so requesting, provide the offeree without charge with a copy of the Plan.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Company must take reasonable steps to ensure that any Australian Offeree to whom an Offer is made is given a copy of the Offer Document.</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Australian Dollar Equivalent of Exercise and Issue Price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Offer requires the Australian Offeree to pay a purchase price to receive the Australian Award granted under the Plan, the Offer Document must specify the Australian dollar equivalent of the purchase price of the Australian Award as at the date of the Offer.</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offer of Options, the Offer Document must specify the Australian dollar equivalent of the exercise price of the Options (“Exercise Price”) at the date of the Offer.</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offers of Shares, the Offer Document must specify the Australian dollar equivalent of the issue price of the Shares the subject of the Offer (“Issue Price”) as at the date of the Offer.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400"/>
          </w:cols>
          <w:pgMar w:left="240" w:top="625" w:right="259" w:bottom="1440" w:gutter="0" w:footer="0" w:header="0"/>
        </w:sectPr>
      </w:pPr>
    </w:p>
    <w:bookmarkStart w:id="73" w:name="page74"/>
    <w:bookmarkEnd w:id="73"/>
    <w:p>
      <w:pPr>
        <w:spacing w:after="0"/>
        <w:tabs>
          <w:tab w:leader="none" w:pos="4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Updated Price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Offer Document must include an undertaking that, and an explanation of the way in which the Company or its Australian Subsidiary will (during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Offer Period and within a reasonable period of an Australian Offeree so requesting), make available to the Australian Offeree the following information:</w:t>
      </w:r>
    </w:p>
    <w:p>
      <w:pPr>
        <w:spacing w:after="0" w:line="222" w:lineRule="exact"/>
        <w:rPr>
          <w:sz w:val="20"/>
          <w:szCs w:val="20"/>
          <w:color w:val="auto"/>
        </w:rPr>
      </w:pPr>
    </w:p>
    <w:p>
      <w:pPr>
        <w:ind w:left="1040" w:hanging="384"/>
        <w:spacing w:after="0"/>
        <w:tabs>
          <w:tab w:leader="none" w:pos="10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Australian dollar equivalent of the current market price of a share of Common Stock as at the date of the Australian Offeree’s request;</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 the case of the Options, the Australian dollar equivalent of the Exercise Price, as at the date of the Australian Offeree’s request; and</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 the case of Shares, if there is an Issue Price, the Australian dollar equivalent of the Issue Price as at the date of the Australian Offeree’s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For the purposes of this clause 6.3, the current market price of a share of Common Stock shall be taken as the price published as the closing sales price for such stock on the trading day preceding the date of the request, as traded on the New York Stock Exchange. Please note that for Australian tax purposes, market value is defined differently.</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Exchange Rate for Australian Dollar Equivalent</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purposes of clauses 6.2 and 6.3, the Australian dollar equivalent of the Exercise Price, Issue Price and current market price of a share of Common Stock are calculated by reference to the relevant exchange rate published by an Australian bank no earlier than the business day before the day to which the price relates.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General Advice Only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Offer Document will include a statement to the effect that any advice given by the Company or an Australian Subsidiary in connection with the Offer is general advice only, and that Australian Offerees should consider obtaining their own financial product advice from an independent person who is licensed by ASIC to give such advice.</w:t>
      </w:r>
    </w:p>
    <w:p>
      <w:pPr>
        <w:spacing w:after="0" w:line="177"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ON CAPITAL RAISING: 5% LIMIT</w:t>
      </w:r>
    </w:p>
    <w:p>
      <w:pPr>
        <w:spacing w:after="0" w:line="22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 the case where an Offer under the Plan may involve or result in the issue of shares of Common Stock (including as a result of the exercise or upon the vesting of any Australian Award), the number of shares of Common Stock that are the subject of the Offer when aggregated with:</w:t>
      </w:r>
    </w:p>
    <w:p>
      <w:pPr>
        <w:spacing w:after="0" w:line="147" w:lineRule="exact"/>
        <w:rPr>
          <w:sz w:val="20"/>
          <w:szCs w:val="20"/>
          <w:color w:val="auto"/>
        </w:rPr>
      </w:pPr>
    </w:p>
    <w:p>
      <w:pPr>
        <w:ind w:firstLine="656"/>
        <w:spacing w:after="0" w:line="264" w:lineRule="auto"/>
        <w:tabs>
          <w:tab w:leader="none" w:pos="102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number of shares of Common Stock in the same class which would be issued were each outstanding offer with respect to shares of Common Stock, units of shares of Common Stock and options to acquire unissued shares of Common Stock, made under an employee share scheme, to be accepted or exercised (as the case may be); and</w:t>
      </w:r>
    </w:p>
    <w:p>
      <w:pPr>
        <w:spacing w:after="0" w:line="181" w:lineRule="exact"/>
        <w:rPr>
          <w:rFonts w:ascii="Arial" w:cs="Arial" w:eastAsia="Arial" w:hAnsi="Arial"/>
          <w:sz w:val="18"/>
          <w:szCs w:val="18"/>
          <w:color w:val="auto"/>
        </w:rPr>
      </w:pPr>
    </w:p>
    <w:p>
      <w:pPr>
        <w:ind w:right="380" w:firstLine="656"/>
        <w:spacing w:after="0" w:line="308" w:lineRule="auto"/>
        <w:tabs>
          <w:tab w:leader="none" w:pos="1038"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number of shares of Common Stock in the same class issued during the previous five years under the Plan or any other employee share scheme extended only to full or part time employees (including directors) of the Company and its Associated Bodies Corporate;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disregarding any offer made, or option acquired or shares of Common Stock issued by way of or as a result of:</w:t>
      </w:r>
    </w:p>
    <w:p>
      <w:pPr>
        <w:spacing w:after="0" w:line="225" w:lineRule="exact"/>
        <w:rPr>
          <w:sz w:val="20"/>
          <w:szCs w:val="20"/>
          <w:color w:val="auto"/>
        </w:rPr>
      </w:pPr>
    </w:p>
    <w:p>
      <w:pPr>
        <w:ind w:left="1040" w:hanging="384"/>
        <w:spacing w:after="0"/>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offer, to a person situated at the time of receipt of the offer outside Australia;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offer that was an excluded offer or invitation within the meaning of the Corporations Law as it stood prior to 13 March 2000; or</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C-3</w:t>
      </w:r>
    </w:p>
    <w:p>
      <w:pPr>
        <w:sectPr>
          <w:pgSz w:w="11900" w:h="16838" w:orient="portrait"/>
          <w:cols w:equalWidth="0" w:num="1">
            <w:col w:w="11420"/>
          </w:cols>
          <w:pgMar w:left="240" w:top="621" w:right="239" w:bottom="1440" w:gutter="0" w:footer="0" w:header="0"/>
        </w:sectPr>
      </w:pPr>
    </w:p>
    <w:bookmarkStart w:id="74" w:name="page75"/>
    <w:bookmarkEnd w:id="74"/>
    <w:p>
      <w:pPr>
        <w:ind w:left="1040" w:hanging="384"/>
        <w:spacing w:after="0"/>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offer that did not need disclosure to investors because of section 708 of the Corporations Act;</w:t>
      </w:r>
    </w:p>
    <w:p>
      <w:pPr>
        <w:spacing w:after="0" w:line="225" w:lineRule="exact"/>
        <w:rPr>
          <w:rFonts w:ascii="Arial" w:cs="Arial" w:eastAsia="Arial" w:hAnsi="Arial"/>
          <w:sz w:val="18"/>
          <w:szCs w:val="18"/>
          <w:color w:val="auto"/>
        </w:rPr>
      </w:pPr>
    </w:p>
    <w:p>
      <w:pPr>
        <w:ind w:right="460" w:firstLine="656"/>
        <w:spacing w:after="0" w:line="277" w:lineRule="auto"/>
        <w:tabs>
          <w:tab w:leader="none" w:pos="100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offer that did not require the giving of a Product Disclosure Statement (within the meaning of the Corporations Act) because of section 1012D of the Corporations Act;</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offer made under a disclosure document or a Product Disclosure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must not exceed 5% of the total number of issued shares in that class of shares of Common Stock as at the time of the offer.</w:t>
      </w:r>
    </w:p>
    <w:p>
      <w:pPr>
        <w:spacing w:after="0" w:line="221"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LOAN OR FINANCIAL ASSISTANCE</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If the Company or an Associated Body Corporate offers an Australian Offeree any loan or other financial assistance for the purpose of acquiring any financial product to which the Offer relates, the Offer Document must disclose the conditions, obligations and risks associated with such loan or financial assistance.</w:t>
      </w:r>
    </w:p>
    <w:p>
      <w:pPr>
        <w:spacing w:after="0" w:line="120"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LODGEMENT OF OFFER DOCUMENT WITH ASIC</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shall lodge a copy of the Offer Document (which need not contain details of the offer particular to the Australian Offeree such as the identity or entitlement of the Australian Offeree) and each accompanying document to ASIC not later than 7 days after the first provision of that material to an Australian Offeree.</w:t>
      </w:r>
    </w:p>
    <w:p>
      <w:pPr>
        <w:spacing w:after="0" w:line="177"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UNDERTAKINGS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or an Australian Subsidiary shall comply with any undertaking required to be made in the Offer Document by the Class Order, such as the undertaking to provide pricing information on request.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C-4</w:t>
      </w:r>
    </w:p>
    <w:p>
      <w:pPr>
        <w:sectPr>
          <w:pgSz w:w="11900" w:h="16838" w:orient="portrait"/>
          <w:cols w:equalWidth="0" w:num="1">
            <w:col w:w="11400"/>
          </w:cols>
          <w:pgMar w:left="240" w:top="625" w:right="2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Exhibit 10.2</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AMENDED AND RESTATED 2006 STOCK INCENTIVE PLAN</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GLOBAL NON-QUALIFIED STOCK OPTION AGREEMENT</w:t>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{EMPNAME}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{EMPNUM}</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Amended and Restated 2006 Stock Incentive Plan (the “Plan”), and this Global Non-Qualified Stock Option Agreement, including Appendix A, which includes any applicable country-specific provisions (this agreement, together with Appendix A, the “Agreement”). The grant of this Option reflects the Company’s confidence in the Optionee’s commitment and contributions to the success and continued growth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71" w:lineRule="exact"/>
        <w:rPr>
          <w:sz w:val="20"/>
          <w:szCs w:val="20"/>
          <w:color w:val="auto"/>
        </w:rPr>
      </w:pPr>
    </w:p>
    <w:p>
      <w:pPr>
        <w:ind w:left="340" w:right="20" w:hanging="332"/>
        <w:spacing w:after="0" w:line="277"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Subject to the terms and conditions of the Plan and this Agreement, the Company has granted to the Optionee an Option to purchase that number of shares of the Company’s Common Stock (the “Option Shares”) effective on the Date of Grant set forth below:</w:t>
      </w:r>
    </w:p>
    <w:p>
      <w:pPr>
        <w:spacing w:after="0" w:line="116"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Date of Grant:</w:t>
        <w:tab/>
        <w:t>{GRANTDATE}</w:t>
      </w:r>
    </w:p>
    <w:p>
      <w:pPr>
        <w:spacing w:after="0" w:line="387" w:lineRule="exact"/>
        <w:rPr>
          <w:sz w:val="20"/>
          <w:szCs w:val="20"/>
          <w:color w:val="auto"/>
        </w:rPr>
      </w:pPr>
    </w:p>
    <w:p>
      <w:pPr>
        <w:ind w:left="1300"/>
        <w:spacing w:after="0"/>
        <w:tabs>
          <w:tab w:leader="none" w:pos="4000" w:val="left"/>
        </w:tabs>
        <w:rPr>
          <w:sz w:val="20"/>
          <w:szCs w:val="20"/>
          <w:color w:val="auto"/>
        </w:rPr>
      </w:pPr>
      <w:r>
        <w:rPr>
          <w:rFonts w:ascii="Arial" w:cs="Arial" w:eastAsia="Arial" w:hAnsi="Arial"/>
          <w:sz w:val="18"/>
          <w:szCs w:val="18"/>
          <w:color w:val="auto"/>
        </w:rPr>
        <w:t>Number of Option Shares Granted:</w:t>
      </w:r>
      <w:r>
        <w:rPr>
          <w:sz w:val="20"/>
          <w:szCs w:val="20"/>
          <w:color w:val="auto"/>
        </w:rPr>
        <w:tab/>
      </w:r>
      <w:r>
        <w:rPr>
          <w:rFonts w:ascii="Arial" w:cs="Arial" w:eastAsia="Arial" w:hAnsi="Arial"/>
          <w:sz w:val="17"/>
          <w:szCs w:val="17"/>
          <w:color w:val="auto"/>
        </w:rPr>
        <w:t>{SOSHARESGRANTED}</w:t>
      </w:r>
    </w:p>
    <w:p>
      <w:pPr>
        <w:spacing w:after="0" w:line="387" w:lineRule="exact"/>
        <w:rPr>
          <w:sz w:val="20"/>
          <w:szCs w:val="20"/>
          <w:color w:val="auto"/>
        </w:rPr>
      </w:pPr>
    </w:p>
    <w:p>
      <w:pPr>
        <w:ind w:left="1300"/>
        <w:spacing w:after="0"/>
        <w:tabs>
          <w:tab w:leader="none" w:pos="3840" w:val="left"/>
        </w:tabs>
        <w:rPr>
          <w:sz w:val="20"/>
          <w:szCs w:val="20"/>
          <w:color w:val="auto"/>
        </w:rPr>
      </w:pPr>
      <w:r>
        <w:rPr>
          <w:rFonts w:ascii="Arial" w:cs="Arial" w:eastAsia="Arial" w:hAnsi="Arial"/>
          <w:sz w:val="18"/>
          <w:szCs w:val="18"/>
          <w:color w:val="auto"/>
        </w:rPr>
        <w:t>Option Exercise Price Per Share:</w:t>
      </w:r>
      <w:r>
        <w:rPr>
          <w:sz w:val="20"/>
          <w:szCs w:val="20"/>
          <w:color w:val="auto"/>
        </w:rPr>
        <w:tab/>
      </w:r>
      <w:r>
        <w:rPr>
          <w:rFonts w:ascii="Arial" w:cs="Arial" w:eastAsia="Arial" w:hAnsi="Arial"/>
          <w:sz w:val="17"/>
          <w:szCs w:val="17"/>
          <w:color w:val="auto"/>
        </w:rPr>
        <w:t>{EXERCISEPRICE}</w:t>
      </w:r>
    </w:p>
    <w:p>
      <w:pPr>
        <w:spacing w:after="0" w:line="171" w:lineRule="exact"/>
        <w:rPr>
          <w:sz w:val="20"/>
          <w:szCs w:val="20"/>
          <w:color w:val="auto"/>
        </w:rPr>
      </w:pPr>
    </w:p>
    <w:p>
      <w:pPr>
        <w:jc w:val="both"/>
        <w:ind w:left="340" w:right="20" w:hanging="332"/>
        <w:spacing w:after="0" w:line="264"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Vesting and Exercise of Option</w:t>
      </w:r>
      <w:r>
        <w:rPr>
          <w:rFonts w:ascii="Arial" w:cs="Arial" w:eastAsia="Arial" w:hAnsi="Arial"/>
          <w:sz w:val="18"/>
          <w:szCs w:val="18"/>
          <w:color w:val="auto"/>
        </w:rPr>
        <w:t>. Subject to the Optionee’s continued employment with the Company or the Employer (as defined in 3(h) below) and other limitations set forth in this Agreement and the Plan, the Option will vest as to a set number of shares on each of the vesting dates set out in the following schedule:</w:t>
      </w:r>
    </w:p>
    <w:p>
      <w:pPr>
        <w:spacing w:after="0" w:line="1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{SOVESTSCHED}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right of exercise is cumulative, so that an Option, once vested, may be exercised, in whole or in part, at any time up to {EXPDATE}, the expiration date, or such earlier date as provided in Section 3 below or in the country-specific provisions in Appendix A.</w:t>
      </w:r>
    </w:p>
    <w:p>
      <w:pPr>
        <w:spacing w:after="0" w:line="116"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Term of Option; Termination of Employment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Except as otherwise provided herein, the Option shall be exercisable by the Optionee (or his/her successor in interest) following the termination of the Optionee’s employment only to the extent that the Option was vested on or prior to the date of such termination.</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The vesting of the Option shall terminate on the date the Optionee </w:t>
      </w:r>
      <w:r>
        <w:rPr>
          <w:rFonts w:ascii="Arial" w:cs="Arial" w:eastAsia="Arial" w:hAnsi="Arial"/>
          <w:sz w:val="18"/>
          <w:szCs w:val="18"/>
          <w:u w:val="single" w:color="auto"/>
          <w:color w:val="auto"/>
        </w:rPr>
        <w:t>voluntarily terminates</w:t>
      </w:r>
      <w:r>
        <w:rPr>
          <w:rFonts w:ascii="Arial" w:cs="Arial" w:eastAsia="Arial" w:hAnsi="Arial"/>
          <w:sz w:val="18"/>
          <w:szCs w:val="18"/>
          <w:color w:val="auto"/>
        </w:rPr>
        <w:t xml:space="preserve"> employment with the Company or the Employer (as defined in Section 3(h))(except by reason of retirement after attaining age 60 as provided below) or on the date his/her employment is terminated by the Company or the Employer</w:t>
      </w:r>
    </w:p>
    <w:p>
      <w:pPr>
        <w:spacing w:after="0" w:line="361"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75" w:right="239" w:bottom="1440" w:gutter="0" w:footer="0" w:header="0"/>
        </w:sectPr>
      </w:pPr>
    </w:p>
    <w:bookmarkStart w:id="76" w:name="page77"/>
    <w:bookmarkEnd w:id="76"/>
    <w:p>
      <w:pPr>
        <w:ind w:left="652"/>
        <w:spacing w:after="0" w:line="32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without “Cause” (as defined in paragraph d), but any Option Shares that are vested on the date of such termination shall continue to be exercisable for a period of three (3) months following such termination date.</w:t>
      </w:r>
    </w:p>
    <w:p>
      <w:pPr>
        <w:spacing w:after="0" w:line="89" w:lineRule="exact"/>
        <w:rPr>
          <w:sz w:val="20"/>
          <w:szCs w:val="20"/>
          <w:color w:val="auto"/>
        </w:rPr>
      </w:pPr>
    </w:p>
    <w:p>
      <w:pPr>
        <w:jc w:val="both"/>
        <w:ind w:left="652" w:hanging="328"/>
        <w:spacing w:after="0" w:line="286" w:lineRule="auto"/>
        <w:tabs>
          <w:tab w:leader="none" w:pos="652" w:val="left"/>
        </w:tabs>
        <w:numPr>
          <w:ilvl w:val="1"/>
          <w:numId w:val="108"/>
        </w:numPr>
        <w:rPr>
          <w:rFonts w:ascii="Arial" w:cs="Arial" w:eastAsia="Arial" w:hAnsi="Arial"/>
          <w:sz w:val="17"/>
          <w:szCs w:val="17"/>
          <w:color w:val="auto"/>
        </w:rPr>
      </w:pPr>
      <w:r>
        <w:rPr>
          <w:rFonts w:ascii="Arial" w:cs="Arial" w:eastAsia="Arial" w:hAnsi="Arial"/>
          <w:sz w:val="17"/>
          <w:szCs w:val="17"/>
          <w:color w:val="auto"/>
        </w:rPr>
        <w:t xml:space="preserve">The Option shall terminate on the date the Optionee’s employment with the Company or the Employer is terminated by the Company or one of its subsidiaries </w:t>
      </w:r>
      <w:r>
        <w:rPr>
          <w:rFonts w:ascii="Arial" w:cs="Arial" w:eastAsia="Arial" w:hAnsi="Arial"/>
          <w:sz w:val="17"/>
          <w:szCs w:val="17"/>
          <w:u w:val="single" w:color="auto"/>
          <w:color w:val="auto"/>
        </w:rPr>
        <w:t>for “Cause</w:t>
      </w:r>
      <w:r>
        <w:rPr>
          <w:rFonts w:ascii="Arial" w:cs="Arial" w:eastAsia="Arial" w:hAnsi="Arial"/>
          <w:sz w:val="17"/>
          <w:szCs w:val="17"/>
          <w:color w:val="auto"/>
        </w:rPr>
        <w:t>”, and all Option Shares that are then vested shall forthwith cease to be exercisable. “Cause” for this purpose means unsatisfactory job performance (as determined by the Company), willful misconduct, fraud, gross negligence, disobedience or dishonesty.</w:t>
      </w:r>
    </w:p>
    <w:p>
      <w:pPr>
        <w:spacing w:after="0" w:line="111" w:lineRule="exact"/>
        <w:rPr>
          <w:rFonts w:ascii="Arial" w:cs="Arial" w:eastAsia="Arial" w:hAnsi="Arial"/>
          <w:sz w:val="17"/>
          <w:szCs w:val="17"/>
          <w:color w:val="auto"/>
        </w:rPr>
      </w:pPr>
    </w:p>
    <w:p>
      <w:pPr>
        <w:ind w:left="652" w:hanging="328"/>
        <w:spacing w:after="0" w:line="342" w:lineRule="auto"/>
        <w:tabs>
          <w:tab w:leader="none" w:pos="65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the Employer, the Option shall become immediately vested in full as to all shares on the date of death and shall continue to be exercisable (by the Optionee’s successor in interest) over the remaining term of the Option.</w:t>
      </w:r>
    </w:p>
    <w:p>
      <w:pPr>
        <w:spacing w:after="0" w:line="69" w:lineRule="exact"/>
        <w:rPr>
          <w:rFonts w:ascii="Arial" w:cs="Arial" w:eastAsia="Arial" w:hAnsi="Arial"/>
          <w:sz w:val="16"/>
          <w:szCs w:val="16"/>
          <w:color w:val="auto"/>
        </w:rPr>
      </w:pPr>
    </w:p>
    <w:p>
      <w:pPr>
        <w:jc w:val="both"/>
        <w:ind w:left="652" w:hanging="328"/>
        <w:spacing w:after="0" w:line="257" w:lineRule="auto"/>
        <w:tabs>
          <w:tab w:leader="none" w:pos="65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the Optionee’s employment with the Company or the Employer terminates by reason of the retirement of the Optionee after attaining age 60, the vesting of the Option shall terminate on the date of such retirement, but any Option Shares that are vested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the Employer (as determined in the sole discretion of the Company).</w:t>
      </w:r>
    </w:p>
    <w:p>
      <w:pPr>
        <w:spacing w:after="0" w:line="134" w:lineRule="exact"/>
        <w:rPr>
          <w:rFonts w:ascii="Arial" w:cs="Arial" w:eastAsia="Arial" w:hAnsi="Arial"/>
          <w:sz w:val="18"/>
          <w:szCs w:val="18"/>
          <w:color w:val="auto"/>
        </w:rPr>
      </w:pPr>
    </w:p>
    <w:p>
      <w:pPr>
        <w:jc w:val="both"/>
        <w:ind w:left="652" w:hanging="328"/>
        <w:spacing w:after="0" w:line="255" w:lineRule="auto"/>
        <w:tabs>
          <w:tab w:leader="none" w:pos="65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If the Optionee becomes Disabled (as defined below), </w:t>
      </w:r>
      <w:r>
        <w:rPr>
          <w:rFonts w:ascii="Arial" w:cs="Arial" w:eastAsia="Arial" w:hAnsi="Arial"/>
          <w:sz w:val="18"/>
          <w:szCs w:val="18"/>
          <w:u w:val="single" w:color="auto"/>
          <w:color w:val="auto"/>
        </w:rPr>
        <w:t>regardless of whether Optionee terminates employment with the Company or the Employer</w:t>
      </w:r>
      <w:r>
        <w:rPr>
          <w:rFonts w:ascii="Arial" w:cs="Arial" w:eastAsia="Arial" w:hAnsi="Arial"/>
          <w:sz w:val="18"/>
          <w:szCs w:val="18"/>
          <w:color w:val="auto"/>
        </w:rPr>
        <w:t>, the Option Shares that are not vested as of the date of disability shall vest on the date or dates (over the remaining term of the Option) that they otherwise would have vested if the Optionee had not become Disabled. Any Option Shares that are vested upon disability prior to giving effect to this provision shall continue to be vested over the remaining term of the Option. For the purpose of this Agreement, “</w:t>
      </w:r>
      <w:r>
        <w:rPr>
          <w:rFonts w:ascii="Arial" w:cs="Arial" w:eastAsia="Arial" w:hAnsi="Arial"/>
          <w:sz w:val="18"/>
          <w:szCs w:val="18"/>
          <w:u w:val="single" w:color="auto"/>
          <w:color w:val="auto"/>
        </w:rPr>
        <w:t>Disabled</w:t>
      </w:r>
      <w:r>
        <w:rPr>
          <w:rFonts w:ascii="Arial" w:cs="Arial" w:eastAsia="Arial" w:hAnsi="Arial"/>
          <w:sz w:val="18"/>
          <w:szCs w:val="18"/>
          <w:color w:val="auto"/>
        </w:rPr>
        <w:t>” is defined pursuant to Internal Revenue Code Section 22(e)(3) and means the Optionee’s inability to engage in any substantial gainful activity by reason of any medically determinable physical or mental impairment that can be expected to result in death or can be expected to last for a continuous period of not less than 12 months, as determined by the Company.</w:t>
      </w:r>
    </w:p>
    <w:p>
      <w:pPr>
        <w:spacing w:after="0" w:line="135" w:lineRule="exact"/>
        <w:rPr>
          <w:rFonts w:ascii="Arial" w:cs="Arial" w:eastAsia="Arial" w:hAnsi="Arial"/>
          <w:sz w:val="18"/>
          <w:szCs w:val="18"/>
          <w:color w:val="auto"/>
        </w:rPr>
      </w:pPr>
    </w:p>
    <w:p>
      <w:pPr>
        <w:jc w:val="both"/>
        <w:ind w:left="652" w:hanging="328"/>
        <w:spacing w:after="0" w:line="297" w:lineRule="auto"/>
        <w:tabs>
          <w:tab w:leader="none" w:pos="65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an Optionee transfer employment to become a director, consultant or advisor to the Company or the Employer following the Date of Grant, he or she will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04" w:lineRule="exact"/>
        <w:rPr>
          <w:rFonts w:ascii="Arial" w:cs="Arial" w:eastAsia="Arial" w:hAnsi="Arial"/>
          <w:sz w:val="16"/>
          <w:szCs w:val="16"/>
          <w:color w:val="auto"/>
        </w:rPr>
      </w:pPr>
    </w:p>
    <w:p>
      <w:pPr>
        <w:jc w:val="both"/>
        <w:ind w:left="652" w:hanging="328"/>
        <w:spacing w:after="0" w:line="264" w:lineRule="auto"/>
        <w:tabs>
          <w:tab w:leader="none" w:pos="65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Notwithstanding the provisions in this Section 3, if the Company or the Employer develops a good faith belief that any provision in this Section 3 may be found to be unlawful, discriminatory or against public policy in any relevant jurisdiction, then the Company in its sole discretion may choose not to apply such provision to this Option, nor any Option grant in the Optionee’s jurisdiction.</w:t>
      </w:r>
    </w:p>
    <w:p>
      <w:pPr>
        <w:spacing w:after="0" w:line="127" w:lineRule="exact"/>
        <w:rPr>
          <w:rFonts w:ascii="Arial" w:cs="Arial" w:eastAsia="Arial" w:hAnsi="Arial"/>
          <w:sz w:val="18"/>
          <w:szCs w:val="18"/>
          <w:color w:val="auto"/>
        </w:rPr>
      </w:pPr>
    </w:p>
    <w:p>
      <w:pPr>
        <w:ind w:left="332" w:hanging="332"/>
        <w:spacing w:after="0"/>
        <w:tabs>
          <w:tab w:leader="none" w:pos="33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following payment methods may be used to purchase Option Shares:</w:t>
      </w:r>
    </w:p>
    <w:p>
      <w:pPr>
        <w:spacing w:after="0" w:line="171" w:lineRule="exact"/>
        <w:rPr>
          <w:rFonts w:ascii="Arial" w:cs="Arial" w:eastAsia="Arial" w:hAnsi="Arial"/>
          <w:sz w:val="18"/>
          <w:szCs w:val="18"/>
          <w:color w:val="auto"/>
        </w:rPr>
      </w:pPr>
    </w:p>
    <w:p>
      <w:pPr>
        <w:ind w:left="652" w:hanging="328"/>
        <w:spacing w:after="0"/>
        <w:tabs>
          <w:tab w:leader="none" w:pos="65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cashless exercise in a manner described in Section 5(f)(2) of the Plan.</w:t>
      </w:r>
    </w:p>
    <w:p>
      <w:pPr>
        <w:spacing w:after="0" w:line="171" w:lineRule="exact"/>
        <w:rPr>
          <w:rFonts w:ascii="Arial" w:cs="Arial" w:eastAsia="Arial" w:hAnsi="Arial"/>
          <w:sz w:val="18"/>
          <w:szCs w:val="18"/>
          <w:color w:val="auto"/>
        </w:rPr>
      </w:pPr>
    </w:p>
    <w:p>
      <w:pPr>
        <w:ind w:left="652" w:hanging="328"/>
        <w:spacing w:after="0"/>
        <w:tabs>
          <w:tab w:leader="none" w:pos="65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71" w:lineRule="exact"/>
        <w:rPr>
          <w:rFonts w:ascii="Arial" w:cs="Arial" w:eastAsia="Arial" w:hAnsi="Arial"/>
          <w:sz w:val="18"/>
          <w:szCs w:val="18"/>
          <w:color w:val="auto"/>
        </w:rPr>
      </w:pPr>
    </w:p>
    <w:p>
      <w:pPr>
        <w:ind w:left="652" w:hanging="328"/>
        <w:spacing w:after="0" w:line="277" w:lineRule="auto"/>
        <w:tabs>
          <w:tab w:leader="none" w:pos="65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(by actual delivery or attestation) in accordance with Section 5(f)(3) of the Plan.</w:t>
      </w:r>
    </w:p>
    <w:p>
      <w:pPr>
        <w:spacing w:after="0" w:line="116" w:lineRule="exact"/>
        <w:rPr>
          <w:rFonts w:ascii="Arial" w:cs="Arial" w:eastAsia="Arial" w:hAnsi="Arial"/>
          <w:sz w:val="18"/>
          <w:szCs w:val="18"/>
          <w:color w:val="auto"/>
        </w:rPr>
      </w:pPr>
    </w:p>
    <w:p>
      <w:pPr>
        <w:ind w:left="652" w:hanging="328"/>
        <w:spacing w:after="0"/>
        <w:tabs>
          <w:tab w:leader="none" w:pos="65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71" w:lineRule="exact"/>
        <w:rPr>
          <w:rFonts w:ascii="Arial" w:cs="Arial" w:eastAsia="Arial" w:hAnsi="Arial"/>
          <w:sz w:val="18"/>
          <w:szCs w:val="18"/>
          <w:color w:val="auto"/>
        </w:rPr>
      </w:pPr>
    </w:p>
    <w:p>
      <w:pPr>
        <w:jc w:val="both"/>
        <w:ind w:left="332" w:hanging="332"/>
        <w:spacing w:after="0" w:line="286" w:lineRule="auto"/>
        <w:tabs>
          <w:tab w:leader="none" w:pos="332"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Except in the event of death (whether by beneficiary designation or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346" w:lineRule="exact"/>
        <w:rPr>
          <w:sz w:val="20"/>
          <w:szCs w:val="20"/>
          <w:color w:val="auto"/>
        </w:rPr>
      </w:pPr>
    </w:p>
    <w:p>
      <w:pPr>
        <w:ind w:left="4532"/>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12"/>
          </w:cols>
          <w:pgMar w:left="248" w:top="1205" w:right="239" w:bottom="1440" w:gutter="0" w:footer="0" w:header="0"/>
        </w:sectPr>
      </w:pPr>
    </w:p>
    <w:bookmarkStart w:id="77" w:name="page78"/>
    <w:bookmarkEnd w:id="77"/>
    <w:p>
      <w:pPr>
        <w:ind w:left="332" w:hanging="332"/>
        <w:spacing w:after="0" w:line="308" w:lineRule="auto"/>
        <w:tabs>
          <w:tab w:leader="none" w:pos="332"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Adjustment</w:t>
      </w:r>
      <w:r>
        <w:rPr>
          <w:rFonts w:ascii="Arial" w:cs="Arial" w:eastAsia="Arial" w:hAnsi="Arial"/>
          <w:sz w:val="17"/>
          <w:szCs w:val="17"/>
          <w:color w:val="auto"/>
        </w:rPr>
        <w: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92" w:lineRule="exact"/>
        <w:rPr>
          <w:rFonts w:ascii="Arial" w:cs="Arial" w:eastAsia="Arial" w:hAnsi="Arial"/>
          <w:sz w:val="17"/>
          <w:szCs w:val="17"/>
          <w:color w:val="auto"/>
        </w:rPr>
      </w:pPr>
    </w:p>
    <w:p>
      <w:pPr>
        <w:jc w:val="both"/>
        <w:ind w:left="332" w:hanging="332"/>
        <w:spacing w:after="0" w:line="269" w:lineRule="auto"/>
        <w:tabs>
          <w:tab w:leader="none" w:pos="332"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Regardless of any action the Company or the Employer, if different, takes with respect to any or all income tax, social insurance, payroll tax, fringe benefits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actually withheld by the Company or the Employer. The Optionee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 not commit to and are under no obligation to structure the terms of the grant or any aspect of the Option to reduce or eliminate the Optionee’s liability for Tax-Related Items or achieve any particular tax result. Further, if the Optionee has become subject to Tax-Related Items in more than one jurisdiction between the Date of Grant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128" w:lineRule="exact"/>
        <w:rPr>
          <w:rFonts w:ascii="Arial" w:cs="Arial" w:eastAsia="Arial" w:hAnsi="Arial"/>
          <w:sz w:val="17"/>
          <w:szCs w:val="17"/>
          <w:color w:val="auto"/>
        </w:rPr>
      </w:pPr>
    </w:p>
    <w:p>
      <w:pPr>
        <w:jc w:val="both"/>
        <w:ind w:left="332"/>
        <w:spacing w:after="0" w:line="271" w:lineRule="auto"/>
        <w:rPr>
          <w:rFonts w:ascii="Arial" w:cs="Arial" w:eastAsia="Arial" w:hAnsi="Arial"/>
          <w:sz w:val="17"/>
          <w:szCs w:val="17"/>
          <w:color w:val="auto"/>
        </w:rPr>
      </w:pPr>
      <w:r>
        <w:rPr>
          <w:rFonts w:ascii="Arial" w:cs="Arial" w:eastAsia="Arial" w:hAnsi="Arial"/>
          <w:sz w:val="17"/>
          <w:szCs w:val="17"/>
          <w:color w:val="auto"/>
        </w:rPr>
        <w:t>Prior to the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with regard to all Tax-Related Items by one or a combination of the following: (i) withholding from the Optionee’s wages or other cash compensation paid to the Optionee by the Company and/or the Employer; or (ii) withholding from proceeds of the sale of Option Shares acquired at exercise of the Option either through a voluntary sale or through a mandatory sale arranged by the Company (on the Optionee’s behalf pursuant to this authorization). The Company may withhold or account for Tax-Related Items by considering applicable minimum statutory withholding amounts or other applicable withholding rates, including maximum applicable rates. No fractional Option Shares will be issued pursuant to the grant of the Option and the issuance of Option Shares hereunder.</w:t>
      </w:r>
    </w:p>
    <w:p>
      <w:pPr>
        <w:spacing w:after="0" w:line="124" w:lineRule="exact"/>
        <w:rPr>
          <w:rFonts w:ascii="Arial" w:cs="Arial" w:eastAsia="Arial" w:hAnsi="Arial"/>
          <w:sz w:val="17"/>
          <w:szCs w:val="17"/>
          <w:color w:val="auto"/>
        </w:rPr>
      </w:pPr>
    </w:p>
    <w:p>
      <w:pPr>
        <w:jc w:val="both"/>
        <w:ind w:left="332"/>
        <w:spacing w:after="0" w:line="259" w:lineRule="auto"/>
        <w:rPr>
          <w:rFonts w:ascii="Arial" w:cs="Arial" w:eastAsia="Arial" w:hAnsi="Arial"/>
          <w:sz w:val="17"/>
          <w:szCs w:val="17"/>
          <w:color w:val="auto"/>
        </w:rPr>
      </w:pPr>
      <w:r>
        <w:rPr>
          <w:rFonts w:ascii="Arial" w:cs="Arial" w:eastAsia="Arial" w:hAnsi="Arial"/>
          <w:sz w:val="18"/>
          <w:szCs w:val="18"/>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132" w:lineRule="exact"/>
        <w:rPr>
          <w:rFonts w:ascii="Arial" w:cs="Arial" w:eastAsia="Arial" w:hAnsi="Arial"/>
          <w:sz w:val="17"/>
          <w:szCs w:val="17"/>
          <w:color w:val="auto"/>
        </w:rPr>
      </w:pPr>
    </w:p>
    <w:p>
      <w:pPr>
        <w:ind w:left="332" w:hanging="332"/>
        <w:spacing w:after="0"/>
        <w:tabs>
          <w:tab w:leader="none" w:pos="33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Option, the Optionee acknowledges, understands and agrees that:</w:t>
      </w:r>
    </w:p>
    <w:p>
      <w:pPr>
        <w:spacing w:after="0" w:line="171" w:lineRule="exact"/>
        <w:rPr>
          <w:rFonts w:ascii="Arial" w:cs="Arial" w:eastAsia="Arial" w:hAnsi="Arial"/>
          <w:sz w:val="18"/>
          <w:szCs w:val="18"/>
          <w:color w:val="auto"/>
        </w:rPr>
      </w:pPr>
    </w:p>
    <w:p>
      <w:pPr>
        <w:ind w:left="652" w:hanging="328"/>
        <w:spacing w:after="0" w:line="277" w:lineRule="auto"/>
        <w:tabs>
          <w:tab w:leader="none" w:pos="65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 to the extent permitted by the Plan;</w:t>
      </w:r>
    </w:p>
    <w:p>
      <w:pPr>
        <w:spacing w:after="0" w:line="116" w:lineRule="exact"/>
        <w:rPr>
          <w:rFonts w:ascii="Arial" w:cs="Arial" w:eastAsia="Arial" w:hAnsi="Arial"/>
          <w:sz w:val="18"/>
          <w:szCs w:val="18"/>
          <w:color w:val="auto"/>
        </w:rPr>
      </w:pPr>
    </w:p>
    <w:p>
      <w:pPr>
        <w:ind w:left="652" w:hanging="328"/>
        <w:spacing w:after="0" w:line="277" w:lineRule="auto"/>
        <w:tabs>
          <w:tab w:leader="none" w:pos="65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116" w:lineRule="exact"/>
        <w:rPr>
          <w:rFonts w:ascii="Arial" w:cs="Arial" w:eastAsia="Arial" w:hAnsi="Arial"/>
          <w:sz w:val="18"/>
          <w:szCs w:val="18"/>
          <w:color w:val="auto"/>
        </w:rPr>
      </w:pPr>
    </w:p>
    <w:p>
      <w:pPr>
        <w:ind w:left="652" w:hanging="328"/>
        <w:spacing w:after="0"/>
        <w:tabs>
          <w:tab w:leader="none" w:pos="65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decisions with respect to future option grants, if any, will be at the sole discretion of the Company;</w:t>
      </w:r>
    </w:p>
    <w:p>
      <w:pPr>
        <w:spacing w:after="0" w:line="171" w:lineRule="exact"/>
        <w:rPr>
          <w:rFonts w:ascii="Arial" w:cs="Arial" w:eastAsia="Arial" w:hAnsi="Arial"/>
          <w:sz w:val="18"/>
          <w:szCs w:val="18"/>
          <w:color w:val="auto"/>
        </w:rPr>
      </w:pPr>
    </w:p>
    <w:p>
      <w:pPr>
        <w:ind w:left="652" w:hanging="328"/>
        <w:spacing w:after="0" w:line="277" w:lineRule="auto"/>
        <w:tabs>
          <w:tab w:leader="none" w:pos="65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Optionee’s participation in the Plan shall not create a right to further employment with the Employer and shall not interfere with the ability of the Employer to terminate the Optionee’s employment or service relationship (if any) at any time;</w:t>
      </w:r>
    </w:p>
    <w:p>
      <w:pPr>
        <w:spacing w:after="0" w:line="116" w:lineRule="exact"/>
        <w:rPr>
          <w:rFonts w:ascii="Arial" w:cs="Arial" w:eastAsia="Arial" w:hAnsi="Arial"/>
          <w:sz w:val="18"/>
          <w:szCs w:val="18"/>
          <w:color w:val="auto"/>
        </w:rPr>
      </w:pPr>
    </w:p>
    <w:p>
      <w:pPr>
        <w:ind w:left="652" w:hanging="328"/>
        <w:spacing w:after="0"/>
        <w:tabs>
          <w:tab w:leader="none" w:pos="65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Optionee is voluntarily participating in the Plan;</w:t>
      </w:r>
    </w:p>
    <w:p>
      <w:pPr>
        <w:spacing w:after="0" w:line="171" w:lineRule="exact"/>
        <w:rPr>
          <w:rFonts w:ascii="Arial" w:cs="Arial" w:eastAsia="Arial" w:hAnsi="Arial"/>
          <w:sz w:val="18"/>
          <w:szCs w:val="18"/>
          <w:color w:val="auto"/>
        </w:rPr>
      </w:pPr>
    </w:p>
    <w:p>
      <w:pPr>
        <w:jc w:val="both"/>
        <w:ind w:left="652" w:hanging="328"/>
        <w:spacing w:after="0" w:line="264" w:lineRule="auto"/>
        <w:tabs>
          <w:tab w:leader="none" w:pos="65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Option and any Option Shares acquired under the Plan and the income and value of same, are not part of normal or expected compensation or salary for any purposes, including, but not limited to, calculating any severance, resignation, termination, redundancy, dismissal, end of service payments, bonuses, long-service</w:t>
      </w:r>
    </w:p>
    <w:p>
      <w:pPr>
        <w:spacing w:after="0" w:line="361" w:lineRule="exact"/>
        <w:rPr>
          <w:sz w:val="20"/>
          <w:szCs w:val="20"/>
          <w:color w:val="auto"/>
        </w:rPr>
      </w:pPr>
    </w:p>
    <w:p>
      <w:pPr>
        <w:ind w:left="4532"/>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12"/>
          </w:cols>
          <w:pgMar w:left="248" w:top="1179" w:right="239" w:bottom="1440" w:gutter="0" w:footer="0" w:header="0"/>
        </w:sectPr>
      </w:pPr>
    </w:p>
    <w:bookmarkStart w:id="78" w:name="page79"/>
    <w:bookmarkEnd w:id="78"/>
    <w:p>
      <w:pPr>
        <w:ind w:left="652" w:right="20"/>
        <w:spacing w:after="0" w:line="32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awards, pension or retirement or welfare benefits or similar payments and in no event should be considered as compensation for, or relating in any way to, past services for the Company or the Employer;</w:t>
      </w:r>
    </w:p>
    <w:p>
      <w:pPr>
        <w:spacing w:after="0" w:line="89" w:lineRule="exact"/>
        <w:rPr>
          <w:sz w:val="20"/>
          <w:szCs w:val="20"/>
          <w:color w:val="auto"/>
        </w:rPr>
      </w:pPr>
    </w:p>
    <w:p>
      <w:pPr>
        <w:ind w:left="652" w:hanging="328"/>
        <w:spacing w:after="0" w:line="277" w:lineRule="auto"/>
        <w:tabs>
          <w:tab w:leader="none" w:pos="65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Option grant and the Optionee’s participation in the Plan will not be interpreted to form an employment or service contract or relationship with the Company or the Employer;</w:t>
      </w:r>
    </w:p>
    <w:p>
      <w:pPr>
        <w:spacing w:after="0" w:line="116" w:lineRule="exact"/>
        <w:rPr>
          <w:rFonts w:ascii="Arial" w:cs="Arial" w:eastAsia="Arial" w:hAnsi="Arial"/>
          <w:sz w:val="18"/>
          <w:szCs w:val="18"/>
          <w:color w:val="auto"/>
        </w:rPr>
      </w:pPr>
    </w:p>
    <w:p>
      <w:pPr>
        <w:ind w:left="652" w:hanging="328"/>
        <w:spacing w:after="0"/>
        <w:tabs>
          <w:tab w:leader="none" w:pos="65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future value of the Option Shares underlying the Option is unknown, indeterminable, and cannot be predicted with certainty;</w:t>
      </w:r>
    </w:p>
    <w:p>
      <w:pPr>
        <w:spacing w:after="0" w:line="171" w:lineRule="exact"/>
        <w:rPr>
          <w:rFonts w:ascii="Arial" w:cs="Arial" w:eastAsia="Arial" w:hAnsi="Arial"/>
          <w:sz w:val="18"/>
          <w:szCs w:val="18"/>
          <w:color w:val="auto"/>
        </w:rPr>
      </w:pPr>
    </w:p>
    <w:p>
      <w:pPr>
        <w:ind w:left="652" w:hanging="328"/>
        <w:spacing w:after="0"/>
        <w:tabs>
          <w:tab w:leader="none" w:pos="65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the underlying Option Shares do not increase in value, the Option will have no value;</w:t>
      </w:r>
    </w:p>
    <w:p>
      <w:pPr>
        <w:spacing w:after="0" w:line="171" w:lineRule="exact"/>
        <w:rPr>
          <w:rFonts w:ascii="Arial" w:cs="Arial" w:eastAsia="Arial" w:hAnsi="Arial"/>
          <w:sz w:val="18"/>
          <w:szCs w:val="18"/>
          <w:color w:val="auto"/>
        </w:rPr>
      </w:pPr>
    </w:p>
    <w:p>
      <w:pPr>
        <w:ind w:left="652" w:hanging="328"/>
        <w:spacing w:after="0" w:line="277" w:lineRule="auto"/>
        <w:tabs>
          <w:tab w:leader="none" w:pos="65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the Optionee exercises the Option and acquires Option Shares, the value of such Option Shares may increase or decrease in value, even below the Exercise Price;</w:t>
      </w:r>
    </w:p>
    <w:p>
      <w:pPr>
        <w:spacing w:after="0" w:line="116" w:lineRule="exact"/>
        <w:rPr>
          <w:rFonts w:ascii="Arial" w:cs="Arial" w:eastAsia="Arial" w:hAnsi="Arial"/>
          <w:sz w:val="18"/>
          <w:szCs w:val="18"/>
          <w:color w:val="auto"/>
        </w:rPr>
      </w:pPr>
    </w:p>
    <w:p>
      <w:pPr>
        <w:ind w:left="652" w:hanging="328"/>
        <w:spacing w:after="0"/>
        <w:tabs>
          <w:tab w:leader="none" w:pos="65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for Optionees who reside outside the U.S., the following additional provisions shall apply:</w:t>
      </w:r>
    </w:p>
    <w:p>
      <w:pPr>
        <w:spacing w:after="0" w:line="171" w:lineRule="exact"/>
        <w:rPr>
          <w:rFonts w:ascii="Arial" w:cs="Arial" w:eastAsia="Arial" w:hAnsi="Arial"/>
          <w:sz w:val="18"/>
          <w:szCs w:val="18"/>
          <w:color w:val="auto"/>
        </w:rPr>
      </w:pPr>
    </w:p>
    <w:p>
      <w:pPr>
        <w:ind w:left="1292" w:hanging="320"/>
        <w:spacing w:after="0"/>
        <w:tabs>
          <w:tab w:leader="none" w:pos="1292"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Option and any Option Shares acquired under the Plan are not intended to replace any pension rights or compensation;</w:t>
      </w:r>
    </w:p>
    <w:p>
      <w:pPr>
        <w:spacing w:after="0" w:line="171" w:lineRule="exact"/>
        <w:rPr>
          <w:rFonts w:ascii="Arial" w:cs="Arial" w:eastAsia="Arial" w:hAnsi="Arial"/>
          <w:sz w:val="18"/>
          <w:szCs w:val="18"/>
          <w:color w:val="auto"/>
        </w:rPr>
      </w:pPr>
    </w:p>
    <w:p>
      <w:pPr>
        <w:jc w:val="both"/>
        <w:ind w:left="1292" w:hanging="320"/>
        <w:spacing w:after="0" w:line="264" w:lineRule="auto"/>
        <w:tabs>
          <w:tab w:leader="none" w:pos="1292"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Option and any Option Shares acquired under the Plan are extraordinary items that do not constitute compensation of any kind for services of any kind rendered to the Company or the Employer, and which is outside the scope of the Optionee’s employment or service contract, if any;</w:t>
      </w:r>
    </w:p>
    <w:p>
      <w:pPr>
        <w:spacing w:after="0" w:line="127" w:lineRule="exact"/>
        <w:rPr>
          <w:rFonts w:ascii="Arial" w:cs="Arial" w:eastAsia="Arial" w:hAnsi="Arial"/>
          <w:sz w:val="18"/>
          <w:szCs w:val="18"/>
          <w:color w:val="auto"/>
        </w:rPr>
      </w:pPr>
    </w:p>
    <w:p>
      <w:pPr>
        <w:jc w:val="both"/>
        <w:ind w:left="1292" w:hanging="320"/>
        <w:spacing w:after="0" w:line="312" w:lineRule="auto"/>
        <w:tabs>
          <w:tab w:leader="none" w:pos="1292" w:val="left"/>
        </w:tabs>
        <w:numPr>
          <w:ilvl w:val="2"/>
          <w:numId w:val="111"/>
        </w:numPr>
        <w:rPr>
          <w:rFonts w:ascii="Arial" w:cs="Arial" w:eastAsia="Arial" w:hAnsi="Arial"/>
          <w:sz w:val="16"/>
          <w:szCs w:val="16"/>
          <w:color w:val="auto"/>
        </w:rPr>
      </w:pPr>
      <w:r>
        <w:rPr>
          <w:rFonts w:ascii="Arial" w:cs="Arial" w:eastAsia="Arial" w:hAnsi="Arial"/>
          <w:sz w:val="16"/>
          <w:szCs w:val="16"/>
          <w:color w:val="auto"/>
        </w:rPr>
        <w:t>the Optionee acknowledges and agrees that neither the Company nor the Employer shall be liable for any foreign exchange rate fluctuation between the Optionee’s local currency and the United States Dollar that may affect the value of the Option or of any amounts due to the Optionee pursuant to the exercise of the Option or the subsequent sale of any Option Shares acquired upon exercise; and</w:t>
      </w:r>
    </w:p>
    <w:p>
      <w:pPr>
        <w:spacing w:after="0" w:line="92" w:lineRule="exact"/>
        <w:rPr>
          <w:rFonts w:ascii="Arial" w:cs="Arial" w:eastAsia="Arial" w:hAnsi="Arial"/>
          <w:sz w:val="16"/>
          <w:szCs w:val="16"/>
          <w:color w:val="auto"/>
        </w:rPr>
      </w:pPr>
    </w:p>
    <w:p>
      <w:pPr>
        <w:jc w:val="both"/>
        <w:ind w:left="1292" w:hanging="320"/>
        <w:spacing w:after="0" w:line="271" w:lineRule="auto"/>
        <w:tabs>
          <w:tab w:leader="none" w:pos="1292" w:val="left"/>
        </w:tabs>
        <w:numPr>
          <w:ilvl w:val="2"/>
          <w:numId w:val="111"/>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the Option resulting from termination of the Optionee’s employment by the Company or the Employer (regardless of the reason for such termination and whether or not later found to be invalid or in breach of employment laws in the jurisdiction where Participant is employed or the terms of Participant’s employment agreement, if any) and in consideration of the grant of the Option to which the Optionee is otherwise not entitled, the Optionee irrevocably agrees never to institute any claim against the Company or the Employer, waive his or her ability, if any, to bring any such claim, and release the Company and the Employer from any such claim; if, notwithstanding the foregoing, any such claim is allowed by a court of competent jurisdiction, then, by participating in the Plan, the Optionee shall be deemed irrevocably to have agreed not to pursue such claim and agree to execute any and all documents necessary to request dismissal or withdrawal of such claims.</w:t>
      </w:r>
    </w:p>
    <w:p>
      <w:pPr>
        <w:spacing w:after="0" w:line="124" w:lineRule="exact"/>
        <w:rPr>
          <w:rFonts w:ascii="Arial" w:cs="Arial" w:eastAsia="Arial" w:hAnsi="Arial"/>
          <w:sz w:val="17"/>
          <w:szCs w:val="17"/>
          <w:color w:val="auto"/>
        </w:rPr>
      </w:pPr>
    </w:p>
    <w:p>
      <w:pPr>
        <w:jc w:val="both"/>
        <w:ind w:left="332" w:hanging="332"/>
        <w:spacing w:after="0" w:line="259" w:lineRule="auto"/>
        <w:tabs>
          <w:tab w:leader="none" w:pos="33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the Optionee’s participation in the Plan, or the Optionee’s acquisition or sale of the underlying Option Shares. The Optionee is hereby advised to consult with his or her own personal tax, legal and financial advisors regarding his or her participation in the Plan before taking any action related to the Plan.</w:t>
      </w:r>
    </w:p>
    <w:p>
      <w:pPr>
        <w:spacing w:after="0" w:line="132" w:lineRule="exact"/>
        <w:rPr>
          <w:rFonts w:ascii="Arial" w:cs="Arial" w:eastAsia="Arial" w:hAnsi="Arial"/>
          <w:sz w:val="18"/>
          <w:szCs w:val="18"/>
          <w:color w:val="auto"/>
        </w:rPr>
      </w:pPr>
    </w:p>
    <w:p>
      <w:pPr>
        <w:jc w:val="both"/>
        <w:ind w:left="332" w:hanging="332"/>
        <w:spacing w:after="0" w:line="259" w:lineRule="auto"/>
        <w:tabs>
          <w:tab w:leader="none" w:pos="332" w:val="left"/>
        </w:tabs>
        <w:numPr>
          <w:ilvl w:val="0"/>
          <w:numId w:val="112"/>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Privacy</w:t>
      </w:r>
      <w:r>
        <w:rPr>
          <w:rFonts w:ascii="Arial" w:cs="Arial" w:eastAsia="Arial" w:hAnsi="Arial"/>
          <w:sz w:val="18"/>
          <w:szCs w:val="18"/>
          <w:i w:val="1"/>
          <w:iCs w:val="1"/>
          <w:color w:val="auto"/>
        </w:rPr>
        <w:t>. This Section 10 applies if the Optionee resides outside the U.S.: The Optionee hereby explicitly and unambiguously consents to the collection, use and transfer, in electronic or other form, of the Optionee’s personal data as described in this Agreement and any other Option grant materials by and among, as applicable, the Employer, the Company and its subsidiaries for the exclusive purpose of implementing, administering and managing the Optionee’s participation in the Plan.</w:t>
      </w:r>
    </w:p>
    <w:p>
      <w:pPr>
        <w:spacing w:after="0" w:line="132" w:lineRule="exact"/>
        <w:rPr>
          <w:rFonts w:ascii="Arial" w:cs="Arial" w:eastAsia="Arial" w:hAnsi="Arial"/>
          <w:sz w:val="18"/>
          <w:szCs w:val="18"/>
          <w:color w:val="auto"/>
        </w:rPr>
      </w:pPr>
    </w:p>
    <w:p>
      <w:pPr>
        <w:jc w:val="both"/>
        <w:ind w:left="332"/>
        <w:spacing w:after="0" w:line="312" w:lineRule="auto"/>
        <w:rPr>
          <w:rFonts w:ascii="Arial" w:cs="Arial" w:eastAsia="Arial" w:hAnsi="Arial"/>
          <w:sz w:val="18"/>
          <w:szCs w:val="18"/>
          <w:color w:val="auto"/>
        </w:rPr>
      </w:pPr>
      <w:r>
        <w:rPr>
          <w:rFonts w:ascii="Arial" w:cs="Arial" w:eastAsia="Arial" w:hAnsi="Arial"/>
          <w:sz w:val="16"/>
          <w:szCs w:val="16"/>
          <w:i w:val="1"/>
          <w:iCs w:val="1"/>
          <w:color w:val="auto"/>
        </w:rPr>
        <w:t>The Optionee understands that the Company and the Employer may hold certain personal information about the Optionee, including, but not limited to, the Optionee’s name, home address and telephone number, date of birth, social insurance number or other identification number, salary, nationality, job title, any shares of stock or directorships held in the Company, details of all Options or any other entitlement to shares of stock awarded,</w:t>
      </w:r>
    </w:p>
    <w:p>
      <w:pPr>
        <w:spacing w:after="0" w:line="327" w:lineRule="exact"/>
        <w:rPr>
          <w:sz w:val="20"/>
          <w:szCs w:val="20"/>
          <w:color w:val="auto"/>
        </w:rPr>
      </w:pPr>
    </w:p>
    <w:p>
      <w:pPr>
        <w:ind w:left="4532"/>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12"/>
          </w:cols>
          <w:pgMar w:left="248" w:top="1206" w:right="239" w:bottom="1440" w:gutter="0" w:footer="0" w:header="0"/>
        </w:sectPr>
      </w:pPr>
    </w:p>
    <w:bookmarkStart w:id="79" w:name="page80"/>
    <w:bookmarkEnd w:id="79"/>
    <w:p>
      <w:pPr>
        <w:jc w:val="both"/>
        <w:ind w:left="332" w:right="2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canceled, exercised, vested, unvested or outstanding in the Optionee’s favor, for the exclusive purpose of implementing, administering and managing the Plan (“Data”).</w:t>
      </w:r>
    </w:p>
    <w:p>
      <w:pPr>
        <w:spacing w:after="0" w:line="116" w:lineRule="exact"/>
        <w:rPr>
          <w:sz w:val="20"/>
          <w:szCs w:val="20"/>
          <w:color w:val="auto"/>
        </w:rPr>
      </w:pPr>
    </w:p>
    <w:p>
      <w:pPr>
        <w:jc w:val="both"/>
        <w:ind w:left="332"/>
        <w:spacing w:after="0" w:line="286" w:lineRule="auto"/>
        <w:rPr>
          <w:sz w:val="20"/>
          <w:szCs w:val="20"/>
          <w:color w:val="auto"/>
        </w:rPr>
      </w:pPr>
      <w:r>
        <w:rPr>
          <w:rFonts w:ascii="Arial" w:cs="Arial" w:eastAsia="Arial" w:hAnsi="Arial"/>
          <w:sz w:val="16"/>
          <w:szCs w:val="16"/>
          <w:i w:val="1"/>
          <w:iCs w:val="1"/>
          <w:color w:val="auto"/>
        </w:rPr>
        <w:t>The Optionee understands that Data will be transferred to such other stock plan service provider as may be selected by the Company that assists the Company with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the Optionee’s local human resources representative. The Optionee authorizes the Company, the stock plan service provider,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his or her participation in the Plan. 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Optionee understands, however,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121" w:lineRule="exact"/>
        <w:rPr>
          <w:sz w:val="20"/>
          <w:szCs w:val="20"/>
          <w:color w:val="auto"/>
        </w:rPr>
      </w:pPr>
    </w:p>
    <w:p>
      <w:pPr>
        <w:ind w:left="332" w:hanging="332"/>
        <w:spacing w:after="0" w:line="277" w:lineRule="auto"/>
        <w:tabs>
          <w:tab w:leader="none" w:pos="33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Commonwealth of Massachusetts without regard to any applicable conflicts of laws.</w:t>
      </w:r>
    </w:p>
    <w:p>
      <w:pPr>
        <w:spacing w:after="0" w:line="116" w:lineRule="exact"/>
        <w:rPr>
          <w:rFonts w:ascii="Arial" w:cs="Arial" w:eastAsia="Arial" w:hAnsi="Arial"/>
          <w:sz w:val="18"/>
          <w:szCs w:val="18"/>
          <w:color w:val="auto"/>
        </w:rPr>
      </w:pPr>
    </w:p>
    <w:p>
      <w:pPr>
        <w:jc w:val="both"/>
        <w:ind w:left="332" w:hanging="332"/>
        <w:spacing w:after="0" w:line="253" w:lineRule="auto"/>
        <w:tabs>
          <w:tab w:leader="none" w:pos="33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Option Shares, the Company shall not be required to deliver any shares issuable upon exercise of the Option prior to the completion of any registration or qualification of the Option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SEC or any state or foreign securities commission or to seek approval or clearance from any governmental authority for the issuance or sale of the Option Shares. Further, the Optionee agrees that the Company shall have unilateral authority to amend the Plan and this Agreement without the Optionee’s consent to the extent necessary to comply with securities or other laws applicable to issuance of Option Shares.</w:t>
      </w:r>
    </w:p>
    <w:p>
      <w:pPr>
        <w:spacing w:after="0" w:line="140"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27" w:lineRule="exact"/>
        <w:rPr>
          <w:rFonts w:ascii="Arial" w:cs="Arial" w:eastAsia="Arial" w:hAnsi="Arial"/>
          <w:sz w:val="18"/>
          <w:szCs w:val="18"/>
          <w:color w:val="auto"/>
        </w:rPr>
      </w:pPr>
    </w:p>
    <w:p>
      <w:pPr>
        <w:ind w:left="332" w:hanging="332"/>
        <w:spacing w:after="0" w:line="308" w:lineRule="auto"/>
        <w:tabs>
          <w:tab w:leader="none" w:pos="332"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the Optionee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92" w:lineRule="exact"/>
        <w:rPr>
          <w:rFonts w:ascii="Arial" w:cs="Arial" w:eastAsia="Arial" w:hAnsi="Arial"/>
          <w:sz w:val="17"/>
          <w:szCs w:val="17"/>
          <w:color w:val="auto"/>
        </w:rPr>
      </w:pPr>
    </w:p>
    <w:p>
      <w:pPr>
        <w:ind w:left="332" w:hanging="332"/>
        <w:spacing w:after="0" w:line="277" w:lineRule="auto"/>
        <w:tabs>
          <w:tab w:leader="none" w:pos="33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16" w:lineRule="exact"/>
        <w:rPr>
          <w:rFonts w:ascii="Arial" w:cs="Arial" w:eastAsia="Arial" w:hAnsi="Arial"/>
          <w:sz w:val="18"/>
          <w:szCs w:val="18"/>
          <w:color w:val="auto"/>
        </w:rPr>
      </w:pPr>
    </w:p>
    <w:p>
      <w:pPr>
        <w:jc w:val="both"/>
        <w:ind w:left="332" w:hanging="332"/>
        <w:spacing w:after="0" w:line="259" w:lineRule="auto"/>
        <w:tabs>
          <w:tab w:leader="none" w:pos="33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The Option shall be subject to any special provisions set forth in the Appendix for the Optionee’s country of residence, if any. If the Optionee relocates to one of the countries included in the Appendix during the life of the Option, the special provisions for such country shall apply to the Optionee, to the extent the Company determines that the application of such provisions is necessary or advisable in order to comply with local law or facilitate the administration of the Plan. The Appendix constitutes part of this Agreement.</w:t>
      </w:r>
    </w:p>
    <w:p>
      <w:pPr>
        <w:spacing w:after="0" w:line="367" w:lineRule="exact"/>
        <w:rPr>
          <w:sz w:val="20"/>
          <w:szCs w:val="20"/>
          <w:color w:val="auto"/>
        </w:rPr>
      </w:pPr>
    </w:p>
    <w:p>
      <w:pPr>
        <w:ind w:left="4532"/>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12"/>
          </w:cols>
          <w:pgMar w:left="248" w:top="1179" w:right="239" w:bottom="1440" w:gutter="0" w:footer="0" w:header="0"/>
        </w:sectPr>
      </w:pPr>
    </w:p>
    <w:bookmarkStart w:id="80" w:name="page81"/>
    <w:bookmarkEnd w:id="80"/>
    <w:p>
      <w:pPr>
        <w:jc w:val="both"/>
        <w:ind w:left="340" w:hanging="332"/>
        <w:spacing w:after="0" w:line="286" w:lineRule="auto"/>
        <w:tabs>
          <w:tab w:leader="none" w:pos="34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Imposition of Other Requirements</w:t>
      </w:r>
      <w:r>
        <w:rPr>
          <w:rFonts w:ascii="Arial" w:cs="Arial" w:eastAsia="Arial" w:hAnsi="Arial"/>
          <w:sz w:val="17"/>
          <w:szCs w:val="17"/>
          <w:color w:val="auto"/>
        </w:rPr>
        <w:t>. The Company reserves the right to impose other requirements on the Option and the Option Shares purchased upon exercise of the Option, to the extent the Company determines it is necessary or advisable for legal or administrative reasons, and to require the Optionee to sign any additional agreements or undertakings that may be necessary to accomplish the foregoing.</w:t>
      </w:r>
    </w:p>
    <w:p>
      <w:pPr>
        <w:spacing w:after="0" w:line="111"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Optionee acknowledges that a waiver by the Company or breach of any provision of this Agreement shall not operate or be construed as a waiver of any other provision of this Agreement, or of any subsequent breach by the Optionee or any other optionee.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copy of the Plan prospectus is available on the Company’s Intranet at http://signals.corpnt.analog.com/default.aspx. (From Signals home page, click Knowledge Centers, HR, Employee Stock Programs. The related documents can be found in the right-hand column.) If the Optionee is unable to access this information via the Intranet, the Company’s or the Optionee’s regional stock plan administrator can provide the Optionee with copies.</w:t>
      </w:r>
    </w:p>
    <w:p>
      <w:pPr>
        <w:spacing w:after="0" w:line="200" w:lineRule="exact"/>
        <w:rPr>
          <w:sz w:val="20"/>
          <w:szCs w:val="20"/>
          <w:color w:val="auto"/>
        </w:rPr>
      </w:pPr>
    </w:p>
    <w:p>
      <w:pPr>
        <w:spacing w:after="0" w:line="247" w:lineRule="exact"/>
        <w:rPr>
          <w:sz w:val="20"/>
          <w:szCs w:val="20"/>
          <w:color w:val="auto"/>
        </w:rPr>
      </w:pPr>
    </w:p>
    <w:p>
      <w:pPr>
        <w:ind w:left="220"/>
        <w:spacing w:after="0"/>
        <w:tabs>
          <w:tab w:leader="none" w:pos="1080" w:val="left"/>
        </w:tabs>
        <w:rPr>
          <w:sz w:val="20"/>
          <w:szCs w:val="20"/>
          <w:color w:val="auto"/>
        </w:rPr>
      </w:pPr>
      <w:r>
        <w:rPr>
          <w:rFonts w:ascii="Arial" w:cs="Arial" w:eastAsia="Arial" w:hAnsi="Arial"/>
          <w:sz w:val="18"/>
          <w:szCs w:val="18"/>
          <w:color w:val="auto"/>
        </w:rPr>
        <w:t>Ray Stata</w:t>
      </w:r>
      <w:r>
        <w:rPr>
          <w:sz w:val="20"/>
          <w:szCs w:val="20"/>
          <w:color w:val="auto"/>
        </w:rPr>
        <w:tab/>
      </w:r>
      <w:r>
        <w:rPr>
          <w:rFonts w:ascii="Arial" w:cs="Arial" w:eastAsia="Arial" w:hAnsi="Arial"/>
          <w:sz w:val="16"/>
          <w:szCs w:val="16"/>
          <w:color w:val="auto"/>
        </w:rPr>
        <w:t>Vincent Roche</w:t>
      </w:r>
    </w:p>
    <w:p>
      <w:pPr>
        <w:ind w:left="220"/>
        <w:spacing w:after="0"/>
        <w:tabs>
          <w:tab w:leader="none" w:pos="2040" w:val="left"/>
        </w:tabs>
        <w:rPr>
          <w:sz w:val="20"/>
          <w:szCs w:val="20"/>
          <w:color w:val="auto"/>
        </w:rPr>
      </w:pPr>
      <w:r>
        <w:rPr>
          <w:rFonts w:ascii="Arial" w:cs="Arial" w:eastAsia="Arial" w:hAnsi="Arial"/>
          <w:sz w:val="18"/>
          <w:szCs w:val="18"/>
          <w:color w:val="auto"/>
        </w:rPr>
        <w:t>Chairman of the Board</w:t>
      </w:r>
      <w:r>
        <w:rPr>
          <w:sz w:val="20"/>
          <w:szCs w:val="20"/>
          <w:color w:val="auto"/>
        </w:rPr>
        <w:tab/>
      </w:r>
      <w:r>
        <w:rPr>
          <w:rFonts w:ascii="Arial" w:cs="Arial" w:eastAsia="Arial" w:hAnsi="Arial"/>
          <w:sz w:val="16"/>
          <w:szCs w:val="16"/>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179" w:right="239" w:bottom="1440" w:gutter="0" w:footer="0" w:header="0"/>
        </w:sectPr>
      </w:pPr>
    </w:p>
    <w:bookmarkStart w:id="81" w:name="page82"/>
    <w:bookmarkEnd w:id="81"/>
    <w:p>
      <w:pPr>
        <w:jc w:val="center"/>
        <w:ind w:right="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11910" cy="411480"/>
                    </a:xfrm>
                    <a:prstGeom prst="rect">
                      <a:avLst/>
                    </a:prstGeom>
                    <a:noFill/>
                  </pic:spPr>
                </pic:pic>
              </a:graphicData>
            </a:graphic>
          </wp:anchor>
        </w:drawing>
        <w:t>APPENDIX A TO</w:t>
      </w:r>
    </w:p>
    <w:p>
      <w:pPr>
        <w:spacing w:after="0" w:line="221"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GLOBAL NON-QUALIFIED STOCK OPTION AGREEMENT</w:t>
      </w:r>
    </w:p>
    <w:p>
      <w:pPr>
        <w:spacing w:after="0" w:line="200" w:lineRule="exact"/>
        <w:rPr>
          <w:sz w:val="20"/>
          <w:szCs w:val="20"/>
          <w:color w:val="auto"/>
        </w:rPr>
      </w:pP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Appendix A includes additional terms and conditions that govern the Options granted to the Optionee if the Optionee resides in one of the countries listed herein. These terms and conditions are in addition to, or, if so indicated, in place of, the terms and conditions set forth in the Agreement. Capitalized terms used but not defined shall have the same meanings as set forth in the Plan and/or the Agreement.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Appendix A also includes certain issues of which the Optionee should be aware with respect to his or her participation in the Plan. The information is based on the securities, exchange control, income tax and other laws in effect in the respective countries as of December 2013.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 of date when the Optionee exercises the Options or when the Option Shares purchased under the Plan are subsequently sold.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is general in nature and may not apply to the Optionee’s particular situation, and the Company is not in a position to assure the Optionee of any particular result. Therefore, the Optionee is advised to seek appropriate professional advice as to how the relevant laws in the Optionee’s country may apply to his or her situation.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Finally, the Optionee understands that if he or she is a citizen or resident of a country other than the one in which the Optionee is currently working, transfers employment after the Date of Grant, or is considered a resident of another country for local law purposes, the information contained herein may not apply to the Optionee, and the Company shall, in its discretion, determine to what extent the terms and conditions contained herein shall apply.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AUSTRIA</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Consumer Protection Information</w:t>
      </w:r>
      <w:r>
        <w:rPr>
          <w:rFonts w:ascii="Arial" w:cs="Arial" w:eastAsia="Arial" w:hAnsi="Arial"/>
          <w:sz w:val="17"/>
          <w:szCs w:val="17"/>
          <w:color w:val="auto"/>
        </w:rPr>
        <w:t>. The Optionee may be entitled to revoke acceptance of the Agreement on the basis of the Austrian Consumer Protection Act (the “Act”) under the conditions listed below, if the Act is considered to be applicable to the Agreement and the Plan:</w:t>
      </w:r>
    </w:p>
    <w:p>
      <w:pPr>
        <w:spacing w:after="0" w:line="147" w:lineRule="exact"/>
        <w:rPr>
          <w:sz w:val="20"/>
          <w:szCs w:val="20"/>
          <w:color w:val="auto"/>
        </w:rPr>
      </w:pPr>
    </w:p>
    <w:p>
      <w:pPr>
        <w:ind w:left="1500" w:hanging="211"/>
        <w:spacing w:after="0"/>
        <w:tabs>
          <w:tab w:leader="none" w:pos="1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revocation must be made within one (1) week after acceptance of the Agreement.</w:t>
      </w:r>
    </w:p>
    <w:p>
      <w:pPr>
        <w:spacing w:after="0" w:line="225" w:lineRule="exact"/>
        <w:rPr>
          <w:rFonts w:ascii="Arial" w:cs="Arial" w:eastAsia="Arial" w:hAnsi="Arial"/>
          <w:sz w:val="18"/>
          <w:szCs w:val="18"/>
          <w:color w:val="auto"/>
        </w:rPr>
      </w:pPr>
    </w:p>
    <w:p>
      <w:pPr>
        <w:jc w:val="both"/>
        <w:ind w:left="960" w:firstLine="1301"/>
        <w:spacing w:after="0" w:line="264" w:lineRule="auto"/>
        <w:tabs>
          <w:tab w:leader="none" w:pos="255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revocation must be in written form to be valid. It is sufficient if the Optionee returns the Agreement to the Company or the Company’s representative with language which can be understood as a refusal to conclude or honor the Agreement, provided the revocation is sent within the period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BELGIUM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Taxation of Option</w:t>
      </w:r>
      <w:r>
        <w:rPr>
          <w:rFonts w:ascii="Arial" w:cs="Arial" w:eastAsia="Arial" w:hAnsi="Arial"/>
          <w:sz w:val="18"/>
          <w:szCs w:val="18"/>
          <w:color w:val="auto"/>
        </w:rPr>
        <w:t>. The Option must be accepted in writing either (i) within 60 days of the offer (for tax at offer), or (ii) after 60 days of the offer (for tax at exercise). The Optionee has received a separate offer letter, acceptance form and undertaking form in addition to the Agreement. The Optionee should refer to the offer letter for a more detailed description of the tax consequences of choosing to accept the Option. The Optionee should consult with his or her personal tax advisor regarding completion of the additional forms.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Optionee is permitted to sell Option Shares acquired through the Plan through the designated broker appointed under the Plan, if any (or any other broker acceptable to the Company), provided the resale of Option Shares acquired under the Plan takes place outside Canada through the facilities of a stock exchange on which the Option Shares are listed. The Option Shares are currently listed on the NASDAQ Global Select Market.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u w:val="single" w:color="auto"/>
          <w:color w:val="auto"/>
        </w:rPr>
        <w:t>Payment of Exercise Price and Withholding Taxes</w:t>
      </w:r>
      <w:r>
        <w:rPr>
          <w:rFonts w:ascii="Arial" w:cs="Arial" w:eastAsia="Arial" w:hAnsi="Arial"/>
          <w:sz w:val="16"/>
          <w:szCs w:val="16"/>
          <w:color w:val="auto"/>
        </w:rPr>
        <w:t>. Notwithstanding anything in the Agreement or the Plan, the Optionee agrees to pay the Exercise Price and any Tax-Related Items solely by means of (i) cash, which may be paid by check, or other instrument acceptable to the Company or (ii) a broker-assisted cashless exercise, whereby the broker sells some or all of the Option Shares to be issued upon exercise to pay the Exercise Price, brokerage fees and any applicable Tax-Related Items. To the extent that tax regulatory requirements change, the Company reserves the right to permit the Optionee to exercise the Option and pay the Exercise Price and any applicable Tax-Related Items in Option Shares to the extent permitted by the Plan.</w:t>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080"/>
          </w:cols>
          <w:pgMar w:left="580" w:top="936"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11910" cy="411480"/>
                    </a:xfrm>
                    <a:prstGeom prst="rect">
                      <a:avLst/>
                    </a:prstGeom>
                    <a:noFill/>
                  </pic:spPr>
                </pic:pic>
              </a:graphicData>
            </a:graphic>
          </wp:anchor>
        </w:drawing>
        <w:t>Termination of Employment</w:t>
      </w:r>
      <w:r>
        <w:rPr>
          <w:rFonts w:ascii="Arial" w:cs="Arial" w:eastAsia="Arial" w:hAnsi="Arial"/>
          <w:sz w:val="18"/>
          <w:szCs w:val="18"/>
          <w:color w:val="auto"/>
        </w:rPr>
        <w:t>. The following supplement Section 3 of the Agreement: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event of the Optionee’s termination of employment (whether or not in breach of local labor laws), his or her right to receive the Option under the Plan, if any, will terminate as of the earlier of: (a) the termination of employment date; (b) the date upon which the Optionee receives written notice of termination of employment, regardless of any notice period or period of pay in lieu of such notice mandated under the employment laws in the jurisdiction where the Optionee is employed or the terms of his or her employment agreement, if any; or (c) the date of which the Optionee is no longer actively employed or actively providing services to the Company or the Employer.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terms and conditions apply if the Optionee is in Quebec: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This provision supplements Section 10 of the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Company and the administrator of the Plan to disclose and discuss the Plan with their advisors. The Optionee further authorizes the Company and the Employer to record such information and to keep such information in the Optionee’s employee file.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French Language Acknowledgment</w:t>
      </w:r>
      <w:r>
        <w:rPr>
          <w:rFonts w:ascii="Arial" w:cs="Arial" w:eastAsia="Arial" w:hAnsi="Arial"/>
          <w:sz w:val="18"/>
          <w:szCs w:val="18"/>
          <w:color w:val="auto"/>
        </w:rPr>
        <w:t>. This provision supplements Section 15 of the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CHINA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following supplements Section 4 of the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regulatory requirements in the PRC, the Optionee will be required to exercise the Option using a broker assisted cashless sell-all exercise method pursuant to which all Option Shares subject to the exercised Option will be sold immediately upon exercise and the proceeds of sale, less any broker’s fees or commissions, will be remitted to the Optionee. The Optionee will not be permitted to hold Option Shares after exercise. The Optionee understands and agrees that the Tax-Related Items with respect to the exercise of the Options may be taken by the Employer from the Optionee’s salary or other cash compensation. The Optionee acknowledges that the Company’s designated broker is under no obligation to arrange for the sale of the Option Shares pursuant to the cashless sell-all exercise method at any particular price. The Company reserves the right to provide additional methods of exercise depending on the development of local law.</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Exchange Control Requirements</w:t>
      </w:r>
      <w:r>
        <w:rPr>
          <w:rFonts w:ascii="Arial" w:cs="Arial" w:eastAsia="Arial" w:hAnsi="Arial"/>
          <w:sz w:val="16"/>
          <w:szCs w:val="16"/>
          <w:color w:val="auto"/>
        </w:rPr>
        <w:t>. Due to exchange control laws in the PRC, if the Optionee is a PRC national he or she will be required to repatriate the proceeds from the cashless sell-all exercise to the PRC. The Optionee understands and agrees that such cash proceeds must be repatriated to the PRC through a special exchange control account established by the Company, the Employer, or a subsidiary of the Company, and the Optionee hereby consents and agrees that any proceeds from the sale of Option Shares may be transferred to such special account prior to being delivered to the Optionee.</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notwithstanding Section 3(e) or Section (g) of the Agreement, if the Optionee terminates employment with the Company or the Employer due to death or disability, the vesting of the Option shall terminate on the date of such termination, and the Option Shares that are vested on the date of such termination shall continue to be exercisable for a period of three (3) months following such termination date. If the Optionee or the Optionee’s heirs do not exercise the Option within three (3) months of the Optionee’s termination due to death or disability, the Option will be forfeited and the Optionee or the Optionee’s heirs will not be able to exercise the Option.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Optionee understands and agrees that there will be a delay between the date the Option Shares are sold and the date the cash proceeds are distributed to the Optionee. The Optionee also understands and agrees that the Company is not responsible</w:t>
      </w:r>
    </w:p>
    <w:p>
      <w:pPr>
        <w:spacing w:after="0" w:line="18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- 2</w:t>
      </w:r>
    </w:p>
    <w:p>
      <w:pPr>
        <w:sectPr>
          <w:pgSz w:w="11900" w:h="16838" w:orient="portrait"/>
          <w:cols w:equalWidth="0" w:num="1">
            <w:col w:w="11080"/>
          </w:cols>
          <w:pgMar w:left="580" w:top="1395" w:right="239" w:bottom="1440" w:gutter="0" w:footer="0" w:header="0"/>
        </w:sectPr>
      </w:pPr>
    </w:p>
    <w:bookmarkStart w:id="83" w:name="page84"/>
    <w:bookmarkEnd w:id="8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311910" cy="411480"/>
                    </a:xfrm>
                    <a:prstGeom prst="rect">
                      <a:avLst/>
                    </a:prstGeom>
                    <a:noFill/>
                  </pic:spPr>
                </pic:pic>
              </a:graphicData>
            </a:graphic>
          </wp:anchor>
        </w:drawing>
        <w:t>for any currency fluctuation that may occur between the date the Option Shares are sold and the date the cash proceeds are distributed to the Optionee. The Optionee further agrees to comply with any other requirements that may be imposed by the Company in the future to facilitate compliance with exchange control requirements in the PRC.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DENMARK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Danish Stock Option Act</w:t>
      </w:r>
      <w:r>
        <w:rPr>
          <w:rFonts w:ascii="Arial" w:cs="Arial" w:eastAsia="Arial" w:hAnsi="Arial"/>
          <w:sz w:val="18"/>
          <w:szCs w:val="18"/>
          <w:color w:val="auto"/>
        </w:rPr>
        <w:t>. By participating in the Plan, the Optionee acknowledges that he or she received an Employer Statement translated into Danish, which is being provided to comply with the Danish Stock Option Act. To the extent more favorable to the Optionee, the terms set forth in the Employer Statement will apply to the Optionee’s participation in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Notice of Grant</w:t>
      </w:r>
      <w:r>
        <w:rPr>
          <w:rFonts w:ascii="Arial" w:cs="Arial" w:eastAsia="Arial" w:hAnsi="Arial"/>
          <w:sz w:val="18"/>
          <w:szCs w:val="18"/>
          <w:color w:val="auto"/>
        </w:rPr>
        <w:t>. This provision supplements Section 8 in the Agreement: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By accepting the Option, the Optionee acknowledges, understands and agrees that this grant relates to future services to be performed and is not a bonus or compensation for past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French Qualified Option</w:t>
      </w:r>
      <w:r>
        <w:rPr>
          <w:rFonts w:ascii="Arial" w:cs="Arial" w:eastAsia="Arial" w:hAnsi="Arial"/>
          <w:sz w:val="17"/>
          <w:szCs w:val="17"/>
          <w:color w:val="auto"/>
        </w:rPr>
        <w:t>. This Option is intended to qualify for favorable tax and social security treatment applicable to stock options granted under Section L.225-177 to L.225-186-1 of the French Commercial Code, as amended and in accordance with the relevant provisions set forth by the French tax and social security laws and the French tax and social security administrations. The Company does not undertake to maintain the qualified status of this Option. The Optionee understands and agrees that he or she will be responsible for paying personal income tax and the Optionee’s portion of social security contributions resulting from the exercise of this Option in the event this Option loses its qualified status and the Optionee will not be entitled to any damages if the Option no longer qualifies as French-qualified Option.</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Plan Terms</w:t>
      </w:r>
      <w:r>
        <w:rPr>
          <w:rFonts w:ascii="Arial" w:cs="Arial" w:eastAsia="Arial" w:hAnsi="Arial"/>
          <w:sz w:val="17"/>
          <w:szCs w:val="17"/>
          <w:color w:val="auto"/>
        </w:rPr>
        <w:t>. The Options are subject to the terms and conditions of the Plan and the Rules of the Analog Devices, Inc. Amended and Restated 2006 Stock Incentive Plan for Grants of Options to Optionees in France (the “French Sub-plan”). To the extent that any term is defined in both the Plan and the French Sub-plan, for purposes of this grant of a French-qualified Option, the definitions in the French Sub-plan shall prevail.</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Option Exercise Price Per Share</w:t>
      </w:r>
      <w:r>
        <w:rPr>
          <w:rFonts w:ascii="Arial" w:cs="Arial" w:eastAsia="Arial" w:hAnsi="Arial"/>
          <w:sz w:val="18"/>
          <w:szCs w:val="18"/>
          <w:color w:val="auto"/>
        </w:rPr>
        <w:t>. With respect to Section 1 of the Agreement, the Date of Grant shall be the Effective Grant Date set forth in the French Sub-plan and the Option Exercise Price Per Share as of the Effective Grant Date shall be no less than the minimum amount required under French law as set forth in the French Sub-plan.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This provision replaces Section 3(a) of the Agreement: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Notwithstanding Section 3(a) of the Agreement, the Option will expire 9½ years after the Effective Grant Date ({FRENCHEXPDATE}), as defined in the French Sub-plan.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Upon Death</w:t>
      </w:r>
      <w:r>
        <w:rPr>
          <w:rFonts w:ascii="Arial" w:cs="Arial" w:eastAsia="Arial" w:hAnsi="Arial"/>
          <w:sz w:val="18"/>
          <w:szCs w:val="18"/>
          <w:color w:val="auto"/>
        </w:rPr>
        <w:t>. This provision replaces Section 3(e) of the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Optionee’s employment is terminated because of death, the unvested portion of the Optionee’s Option will immediately vest and become exercisable by the Optionee’s estate or heirs on the termination date for a period of six (6) months following the Optionee’s death. If the Optionee’s heirs do not exercise the Option within six (6) months of the Optionee’s death, the Option will be forfeited and the Optionee’s heirs will not be able to exercise the Option.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By accepting this Option, the Optionee confirms having read and understood the documents relating to this Option (e.g., the Plan, the French Sub-plan, and the Agreement, including Appendix A) which were provided in the English language. The Optionee accordingly accepts the terms of those documents.</w:t>
      </w:r>
    </w:p>
    <w:p>
      <w:pPr>
        <w:spacing w:after="0" w:line="19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- 3</w:t>
      </w:r>
    </w:p>
    <w:p>
      <w:pPr>
        <w:sectPr>
          <w:pgSz w:w="11900" w:h="16838" w:orient="portrait"/>
          <w:cols w:equalWidth="0" w:num="1">
            <w:col w:w="11080"/>
          </w:cols>
          <w:pgMar w:left="580" w:top="1178" w:right="239" w:bottom="1440" w:gutter="0" w:footer="0" w:header="0"/>
        </w:sectPr>
      </w:pPr>
    </w:p>
    <w:bookmarkStart w:id="84" w:name="page85"/>
    <w:bookmarkEnd w:id="84"/>
    <w:p>
      <w:pPr>
        <w:jc w:val="both"/>
        <w:spacing w:after="0" w:line="264" w:lineRule="auto"/>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11910" cy="411480"/>
                    </a:xfrm>
                    <a:prstGeom prst="rect">
                      <a:avLst/>
                    </a:prstGeom>
                    <a:noFill/>
                  </pic:spPr>
                </pic:pic>
              </a:graphicData>
            </a:graphic>
          </wp:anchor>
        </w:drawing>
        <w:t>Consentement a la Langue</w:t>
      </w:r>
      <w:r>
        <w:rPr>
          <w:rFonts w:ascii="Arial" w:cs="Arial" w:eastAsia="Arial" w:hAnsi="Arial"/>
          <w:sz w:val="18"/>
          <w:szCs w:val="18"/>
          <w:color w:val="auto"/>
        </w:rPr>
        <w:t>.</w:t>
      </w:r>
      <w:r>
        <w:rPr>
          <w:rFonts w:ascii="Arial" w:cs="Arial" w:eastAsia="Arial" w:hAnsi="Arial"/>
          <w:sz w:val="18"/>
          <w:szCs w:val="18"/>
          <w:i w:val="1"/>
          <w:iCs w:val="1"/>
          <w:color w:val="auto"/>
        </w:rPr>
        <w:t xml:space="preserve"> En signant et renvoyant cet Accord, ou par acceptant autrement l’Accord, le Titulaire de l’Option confirme ainsi avoir lu et compris les documents relatifs à l’Option, (c’est-à-dire, Le Plan, Le Plan pour la France et cet Accord) qui ont été fournis en langue anglaise. Le Titulaire de l’Option accepte les termes de ces documents en connaissance de cause.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HONG KONG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Warning: The Options and Option Shares acquired upon exercise of the Options do not constitute a public offering of securities under Hong Kong law and are available only to employees of the Company. The Agreement, including Appendix A,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Options are intended only for the personal use of each eligible employee of the Company and may not be distributed to any other person. If the Optionee is in any doubt about any of the contents of the Agreement, including Appendix A or the Plan, the Optionee should obtain independent professional advice.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To facilitate compliance with securities laws in Hong Kong, in the event the Optionee’s Options vest and become exercisable within six (6) months of the Date of Grant, the Optionee agrees not to sell the Option Shares issued upon exercise of the Options prior to the six-month anniversary of the Date of Grant.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This provision supplements Section 4 of the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anything to the contrary in the Agreement, due to legal restrictions in India, the Optionee will not be permitted to pay the Exercise Price by (i) delivery of shares of Common Stock (as set forth in Section 4(c) of the Agreement) or (ii) a broker assisted partial cashless exercise such that a certain number of Option Shares subject to the exercised Option are sold immediately upon exercise and the proceeds of the sale remitted to the Company to cover the aggregate Exercise Price and any Tax-Related Items. However, payment of the Exercise Price may be made by any of the other methods of payment set forth in Section 4 of the Agreement. The Company reserves the right to provide the Optionee with this method of payment depending on the development of local law.</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Exchange Control Notification</w:t>
      </w:r>
      <w:r>
        <w:rPr>
          <w:rFonts w:ascii="Arial" w:cs="Arial" w:eastAsia="Arial" w:hAnsi="Arial"/>
          <w:sz w:val="18"/>
          <w:szCs w:val="18"/>
          <w:color w:val="auto"/>
        </w:rPr>
        <w:t>. If the Optionee remits funds out of India to purchase Option Shares, it is the Optionee’s responsibility to comply with applicable exchange control laws. Regardless of the method of exercise used to purchase the Option Shares, the Optionee understands that he or she must repatriate any proceeds from the sale of Option Shares acquired under the Plan and any dividends received in relation to the Option Shares to India and convert the funds into local currency within ninety (90) days of receipt. The Optionee must obtain a foreign inward remittance certificate (“FIRC”) from the bank where the Optionee deposits the foreign currency and maintains the FIRC as evidence of the repatriation of funds in the event the Reserve Bank of India or the Employer requests proof of repatriation.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IRELAND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Labor Law Acknowledgment</w:t>
      </w:r>
      <w:r>
        <w:rPr>
          <w:rFonts w:ascii="Arial" w:cs="Arial" w:eastAsia="Arial" w:hAnsi="Arial"/>
          <w:sz w:val="18"/>
          <w:szCs w:val="18"/>
          <w:color w:val="auto"/>
        </w:rPr>
        <w:t>. This provision supplements Section 8 of the Agreement: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accepting the Option, the Optionee acknowledges, understands, and agrees that the benefits received under the Plan will not be taken into account for any redundancy or unfair dismissal claim.</w:t>
      </w:r>
    </w:p>
    <w:p>
      <w:pPr>
        <w:spacing w:after="0" w:line="170"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u w:val="single" w:color="auto"/>
          <w:color w:val="auto"/>
        </w:rPr>
        <w:t>Director Notification</w:t>
      </w:r>
      <w:r>
        <w:rPr>
          <w:rFonts w:ascii="Arial" w:cs="Arial" w:eastAsia="Arial" w:hAnsi="Arial"/>
          <w:sz w:val="18"/>
          <w:szCs w:val="18"/>
          <w:color w:val="auto"/>
        </w:rPr>
        <w:t>. If the Optionee is a director, shadow director</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or secretary of an Irish subsidiary of the Company, the Optionee is subject to certain notification requirements under Section 53 of the Companies Act, 1990.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jc w:val="both"/>
        <w:ind w:right="20"/>
        <w:spacing w:after="0" w:line="255"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A shadow director is an individual who is not on the Board of the Irish subsidiary but who has sufficient control so that the Board of the Irish subsidiary acts in accordance with the “directions</w:t>
      </w:r>
      <w:r>
        <w:rPr>
          <w:rFonts w:ascii="Arial" w:cs="Arial" w:eastAsia="Arial" w:hAnsi="Arial"/>
          <w:sz w:val="9"/>
          <w:szCs w:val="9"/>
          <w:color w:val="auto"/>
        </w:rPr>
        <w:t xml:space="preserve"> </w:t>
      </w:r>
      <w:r>
        <w:rPr>
          <w:rFonts w:ascii="Arial" w:cs="Arial" w:eastAsia="Arial" w:hAnsi="Arial"/>
          <w:sz w:val="14"/>
          <w:szCs w:val="14"/>
          <w:color w:val="auto"/>
        </w:rPr>
        <w:t>or instructions” of the individual.</w:t>
      </w:r>
    </w:p>
    <w:p>
      <w:pPr>
        <w:spacing w:after="0" w:line="20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- 4</w:t>
      </w:r>
    </w:p>
    <w:p>
      <w:pPr>
        <w:sectPr>
          <w:pgSz w:w="11900" w:h="16838" w:orient="portrait"/>
          <w:cols w:equalWidth="0" w:num="1">
            <w:col w:w="11080"/>
          </w:cols>
          <w:pgMar w:left="580" w:top="1395" w:right="239" w:bottom="1440" w:gutter="0" w:footer="0" w:header="0"/>
        </w:sectPr>
      </w:pPr>
    </w:p>
    <w:bookmarkStart w:id="85" w:name="page86"/>
    <w:bookmarkEnd w:id="85"/>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11910" cy="411480"/>
                    </a:xfrm>
                    <a:prstGeom prst="rect">
                      <a:avLst/>
                    </a:prstGeom>
                    <a:noFill/>
                  </pic:spPr>
                </pic:pic>
              </a:graphicData>
            </a:graphic>
          </wp:anchor>
        </w:drawing>
        <w:t>Among these requirements is an obligation to notify the Irish affiliate in writing within five (5) business days when the Optionee receives an interest (e.g., Options, Option Shares) in the Company and the number and class of shares or rights to which the interest relates. In addition, the Optionee must notify the Irish subsidiary within five (5) business days when the Optionee sells Option Shares acquired under the Plan. This notification requirement also applies to any rights or Option Shares acquired by the Optionee’s spouse or children (under the age of 18).</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Restriction on Type of Shares Issued to Directors</w:t>
      </w:r>
      <w:r>
        <w:rPr>
          <w:rFonts w:ascii="Arial" w:cs="Arial" w:eastAsia="Arial" w:hAnsi="Arial"/>
          <w:sz w:val="18"/>
          <w:szCs w:val="18"/>
          <w:color w:val="auto"/>
        </w:rPr>
        <w:t>. If the Optionee is a director of an Irish subsidiary of the Company, the Option will be granted over newly issued shares only. In no event will treasury shares be issued pursuant to the exercise of the Option. This restriction also applies to a shadow director of an Irish subsidiary.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ISRAEL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Trust Arrangement</w:t>
      </w:r>
      <w:r>
        <w:rPr>
          <w:rFonts w:ascii="Arial" w:cs="Arial" w:eastAsia="Arial" w:hAnsi="Arial"/>
          <w:sz w:val="18"/>
          <w:szCs w:val="18"/>
          <w:color w:val="auto"/>
        </w:rPr>
        <w:t>. The Optionee understands and agrees that the Options are offered subject to and in accordance with the terms of the Israeli Sub-Plan (the “Sub-Plan”) under the 102 Capital Gains Track (as defined in the Sub-Plan), the Trust Agreement among the trustee appointed by Analog Devices (Israel) Ltd. and Analog Development (Israel) 1996 Ltd., and the Agreement. This includes the option exercise price per share and any other requirements set out in the Sub-plan. In the event of any inconsistencies among the Sub-Plan, the Agreement and/or the Plan, the Sub-Plan will govern the Options granted to the Optionee in Israel.</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If the Optionee resides in Israel, then the Optionee must print, sign and deliver the signed copy of the Israeli Appendix within 45 days to: Stock Plan Administrator, Treasury Department, Analog Devices, Inc., One Technology Way, Norwood, Massachusetts, 02062 USA. If Analog Devices, (Israel) Ltd. or Analog Devices, Inc. does not receive the signed Israeli Appendix within 45 days, the Options shall terminate and will become null and void.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This provision supplements Section 4 of the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 (i) 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This provision supplements Section 4 of the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 (i) 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This provision replaces Section 10 of the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The Optionee understands that the Employer, the Company and any subsidiary as a data processor of the Company may hold certain personal information about the Optionee, including, but not limited to, the Optionee’s name, home address and telephone number, date of birth, social insurance or other identification number, salary, nationality, job title, any Option Shares or directorships held in the Company or any subsidiary, details of all Options, or any other entitlement to Option Shares awarded, canceled, exercised, vested, unvested or outstanding in the Optionee’s favor, and that the Company and the Employer will process said data and other data lawfully received from third party (“Data”) for the exclusive purpose of</w:t>
      </w:r>
    </w:p>
    <w:p>
      <w:pPr>
        <w:spacing w:after="0" w:line="373"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- 5</w:t>
      </w:r>
    </w:p>
    <w:p>
      <w:pPr>
        <w:sectPr>
          <w:pgSz w:w="11900" w:h="16838" w:orient="portrait"/>
          <w:cols w:equalWidth="0" w:num="1">
            <w:col w:w="11080"/>
          </w:cols>
          <w:pgMar w:left="580" w:top="139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11910" cy="411480"/>
                    </a:xfrm>
                    <a:prstGeom prst="rect">
                      <a:avLst/>
                    </a:prstGeom>
                    <a:noFill/>
                  </pic:spPr>
                </pic:pic>
              </a:graphicData>
            </a:graphic>
          </wp:anchor>
        </w:drawing>
        <w:t>implementing, managing and administering the Plan and complying with applicable laws, regulations and community legislation.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The Optionee also understands that providing the Company with Data is mandatory for compliance with laws and is necessary for the performance of the Plan and that the Optionee’s refusal to provide such Data would make it impossible for the Company to perform its contractual obligations and may affect the Optionee’s ability to participate in the Plan. The Controller of personal data processing is Analog Devices, Inc., with registered offices at Analog Devices, Inc., One Technology Way, Norwood, Massachusetts, 02062 U.S.A. and, pursuant to Legislative Decree no. 196/2003, its Representative in Italy for privacy purposes is Analog Devices SRL with its registered offices at Centro Direzionale Milano 2, Palazzo Bernini 20090 Segrate, Milan, Italy.</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Optionee understands that Data will not be publicized, but it may be accessible by the Employer as the data processor of the Company and within the Employer’s organization by its internal and external personnel in charge of processing. Furthermore, Data may be transferred to banks, other financial institutions, or brokers involved in the management and administration of the Plan. The Optionee understands that Data may also be transferred to the independent registered public accounting firm engaged by the Company, and also to the legitimate addresses under applicable laws. The Optionee further understands that the Company and/or any subsidiary will transfer Data among themselves as necessary for the purpose of implementing, administering and managing the Optionee’s participation in the Plan, and that the Company and/or any subsidiary may each further transfer Data to third parties assisting the Company in the implementation, administration, and management of the Plan, including any requisite transfer of Data to a broker or other third party with whom the Optionee may elect to deposit any Option Shares acquired at exercise of the Option. Such recipients may receive, possess, use, retain, and transfer Data in electronic or other form, for the purposes of implementing, administering, and managing the Optionee’s participation in the Plan. The Optionee understand that these recipients may be acting as controllers, processors, or persons in charge of processing, as the case may be, according to applicable privacy laws, and that they may be located in or outside the European Economic Area, such as in Japan or the United States or elsewhere, in countries that do not provide an adequate level of data protection as intended under Italian privacy law.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Optionee understands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The processing activity, including communication, the transfer of Data abroad, including outside of the European Economic Area, as herein specified and pursuant to applicable laws and regulations, does not require the Optionee’s consent thereto, as the processing is necessary to performance of law and contractual obligations related to implementation, administration, and management of the Plan. The Optionee understands that, pursuant to Section 7 of the Legislative Decree no. 196/2003, the Optionee has the right at any moment to, including but not limited to, obtain confirmation that Data exist or not, access, verify their content, origin and accuracy, delete, update, integrate, correct, block or terminate, for legitimate reason, the Data processing. To exercise privacy rights the Optionee should address the Employer.</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Furthermore, the Optionee is aware that Data will not be used for direct-marketing purposes. In addition, Data provided can be reviewed and questions or complaints can be addressed by contacting the Optionee’s local human resources representative.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Plan Document Acknowledgment</w:t>
      </w:r>
      <w:r>
        <w:rPr>
          <w:rFonts w:ascii="Arial" w:cs="Arial" w:eastAsia="Arial" w:hAnsi="Arial"/>
          <w:sz w:val="18"/>
          <w:szCs w:val="18"/>
          <w:color w:val="auto"/>
        </w:rPr>
        <w:t>. In accepting the Option, the Optionee acknowledges a copy of the Plan was made available to the Optionee, and that the Optionee has reviewed the Plan and the Agreement, including Appendix A, in their entirety and fully understand and accept all provisions of the Plan, the Agreement and Appendix 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Optionee further acknowledges that he or she has read and specifically and expressly approves the following provision in the Agreement: Term of Option; Termination of Employment; Withholding Taxes; Nature of Grant; Imposition of Other Requirement; and the Data Privacy provision in this Appendix A.</w:t>
      </w:r>
    </w:p>
    <w:p>
      <w:pPr>
        <w:spacing w:after="0" w:line="200" w:lineRule="exact"/>
        <w:rPr>
          <w:sz w:val="20"/>
          <w:szCs w:val="20"/>
          <w:color w:val="auto"/>
        </w:rPr>
      </w:pPr>
    </w:p>
    <w:p>
      <w:pPr>
        <w:spacing w:after="0" w:line="21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- 6</w:t>
      </w:r>
    </w:p>
    <w:p>
      <w:pPr>
        <w:sectPr>
          <w:pgSz w:w="11900" w:h="16838" w:orient="portrait"/>
          <w:cols w:equalWidth="0" w:num="1">
            <w:col w:w="11080"/>
          </w:cols>
          <w:pgMar w:left="580" w:top="1179"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11910" cy="411480"/>
                    </a:xfrm>
                    <a:prstGeom prst="rect">
                      <a:avLst/>
                    </a:prstGeom>
                    <a:noFill/>
                  </pic:spPr>
                </pic:pic>
              </a:graphicData>
            </a:graphic>
          </wp:anchor>
        </w:drawing>
        <w:t>JAPAN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MALAYSIA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Tax-Related Items</w:t>
      </w:r>
      <w:r>
        <w:rPr>
          <w:rFonts w:ascii="Arial" w:cs="Arial" w:eastAsia="Arial" w:hAnsi="Arial"/>
          <w:sz w:val="18"/>
          <w:szCs w:val="18"/>
          <w:color w:val="auto"/>
        </w:rPr>
        <w:t>. This provision supplements Section 7 of the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Employer, the Company or one of its subsidiaries may withhold taxes in connection with the Options to satisfy the Optionee’s Tax-Related Items liability in Malaysia. Should withholding not occur, however, the Optionee acknowledges that he or she is ultimately responsible for paying any Tax-Related Items legally due by him or her in connection with the Options to the Inland Revenue Board of Malaysia.</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Director Notification</w:t>
      </w:r>
      <w:r>
        <w:rPr>
          <w:rFonts w:ascii="Arial" w:cs="Arial" w:eastAsia="Arial" w:hAnsi="Arial"/>
          <w:sz w:val="18"/>
          <w:szCs w:val="18"/>
          <w:color w:val="auto"/>
        </w:rPr>
        <w:t>. If the Optionee is a director of a subsidiary or other related company in Malaysia, then the Optionee is subject to certain notification requirements under the Malaysian Companies Act, 1965. Among these requirements is an obligation to notify the Malaysian subsidiary in writing when the Optionee receives an interest (e.g., Options, Option Shares) in the Company or any related companies. In addition, the Optionee must notify the Malaysian subsidiary when he or she sells Shares of the Company or any related company (including when the Optionee sells Option Shares acquired under the Plan). These notifications must be made within fourteen (14) days of acquiring or disposing of any interest in the Company or any related company.</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Malaysian insider-trading rules may impact the acquisition or disposal of Option Shares or rights to Option Shares under the Plan. Under such rules, the Optionee is prohibited from acquiring Option Shares or rights to Option Shares (e.g., Options) or selling Option Shares when he or she possesses information that is not generally available and which the Optionee knows or should know will have a material effect on the price of the Option Shares once such information is generally available. By accepting this grant, the Optionee acknowledges that he or she is not in possession of any material, non-publicly disclosed information regarding the Company at the time of grant and will not acquire or sell Option Shares when in possession of any material, non-publicly disclosed information regarding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This provision supplements Section 8 of the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accepting the Option, the Optionee acknowledges that the Option is intended as an incentive for the Optionee to remain employed with the Employer and is not intended as remuneration for labor performed.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Securities Law Acknowledgment</w:t>
      </w:r>
      <w:r>
        <w:rPr>
          <w:rFonts w:ascii="Arial" w:cs="Arial" w:eastAsia="Arial" w:hAnsi="Arial"/>
          <w:sz w:val="18"/>
          <w:szCs w:val="18"/>
          <w:color w:val="auto"/>
        </w:rPr>
        <w:t>. The Optionee should be aware of the Dutch insider-trading rules, which may impact the sale of Option Shares issued upon exercise of the Option. In particular, the Optionee may be prohibited from effectuating certain transactions if he or she has inside information about the Company.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Article 5:56 of the Dutch Financial Supervision Act, anyone who has “inside information” related to an issuing company is prohibited from effectuating a transaction in securities in or from the Netherlands. “Inside information” is defined as knowledge of specific information concerning the issuing company to which the securities relate or the trade in securities issued by such company, which has not been made public and which, if published, would reasonably be expected to affect the share price, regardless of the development of the price. The insider could be any employee of any subsidiary in the Netherlands who has inside information as described herein.</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Given the broad scope of the definition of inside information, certain employees working at a subsidiary in the Netherlands may have inside information and, thus, would be prohibited from effectuating a transaction in securities in the Netherlands at a time when the employee has such inside information.</w:t>
      </w:r>
    </w:p>
    <w:p>
      <w:pPr>
        <w:spacing w:after="0" w:line="35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- 7</w:t>
      </w:r>
    </w:p>
    <w:p>
      <w:pPr>
        <w:sectPr>
          <w:pgSz w:w="11900" w:h="16838" w:orient="portrait"/>
          <w:cols w:equalWidth="0" w:num="1">
            <w:col w:w="11080"/>
          </w:cols>
          <w:pgMar w:left="580" w:top="1391" w:right="239" w:bottom="1440" w:gutter="0" w:footer="0" w:header="0"/>
        </w:sectPr>
      </w:pPr>
    </w:p>
    <w:bookmarkStart w:id="88" w:name="page89"/>
    <w:bookmarkEnd w:id="88"/>
    <w:p>
      <w:pP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11910" cy="411480"/>
                    </a:xfrm>
                    <a:prstGeom prst="rect">
                      <a:avLst/>
                    </a:prstGeom>
                    <a:noFill/>
                  </pic:spPr>
                </pic:pic>
              </a:graphicData>
            </a:graphic>
          </wp:anchor>
        </w:drawing>
        <w:t>If the Optionee is uncertain whether the insider-trading rules apply to him or her, then the Optionee should consult with his or her personal legal advisor.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PHILIPPINES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securities being offered or sold herein have not been registered with the Philippines Securities and Exchange Commission (“PSEC”) under its Securities Regulation Code (the “SRC”).</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grant of Options is being made pursuant to an exemption from registration under Section 10.2 of the SRC that has been approved by the PSEC.</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Optionee should be aware of the risks of participating in the Plan, which include (without limitation) the risk of fluctuation in the price of the Option Shares on the NASDAQ Global Select Market (“NASDAQ”) and the risk of currency fluctuations between the U.S. Dollar and the Optionee’s local currency. In this regard, the Optionee should note that the value of any Option Shares he or she may acquire under the Plan may decrease, and fluctuations in foreign exchange rates between his or her local currency and the U.S. Dollar may affect the value of the Options or any amounts due to him or her pursuant to the exercise of Options or the subsequent sale of any Option Shares acquired by him or her. The Company is not making any representations, projections or assurances about the value of the Option Shares now or in the future.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further information on risk factors impacting the Company’s business that may affect the value of the Option Shares, the Optionee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Optionee should also note that the sale or disposal of Option Shares acquired under the Plan may be subject to certain restrictions under Philippines securities laws. Those restrictions should not apply if the offer and resale of Option Shares takes place outside of the Philippines through the facilities of a stock exchange on which the Option Shares are listed. The Option Shares are currently listed on NASDAQ. The Company’s designated broker should be able to assist the Optionee in the sale of Option Shares on NASDAQ. </w:t>
      </w:r>
      <w:r>
        <w:rPr>
          <w:rFonts w:ascii="Arial" w:cs="Arial" w:eastAsia="Arial" w:hAnsi="Arial"/>
          <w:sz w:val="16"/>
          <w:szCs w:val="16"/>
          <w:i w:val="1"/>
          <w:iCs w:val="1"/>
          <w:color w:val="auto"/>
        </w:rPr>
        <w:t>If the Optionee has questions with regard to the application of Philippines</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laws to the disposal or sale of Option Shares acquired under the Plan the Optionee should consult with his or her legal advisor.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ROMANIA</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If the Optionee deposits the proceeds from the sale of Option Shares acquired at exercise of the Option in a bank account in Romania, the Optionee may be required to provide the Romanian bank with appropriate documentation explaining the source of the funds. The Optionee should consult his or her personal advisor to determine whether he or she will be required to submit such documentation to the Romanian bank.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SINGAPORE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The Options were granted to the Optionee pursuant to the “Qualifying Person” exemption under section 273(1)(f) of the Singapore Securities and Futures Act (Chapter 289, 2006 Ed.) (“SFA”). The Agreement and the Plan have not been lodged or registered as a prospectus with the Monetary Authority of Singapore. The Optionee should note that the Optionee’s Options are subject to section 257 of the SFA and the Optionee will not be able to make any subsequent sale in Singapore, or any offer of such subsequent sale of the Option Shares unless such sale or offer in Singapore is made pursuant to the exemptions under Part XIII Division (1) Subdivision (4) (other than section 280) of the SFA.</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Director Notification</w:t>
      </w:r>
      <w:r>
        <w:rPr>
          <w:rFonts w:ascii="Arial" w:cs="Arial" w:eastAsia="Arial" w:hAnsi="Arial"/>
          <w:sz w:val="17"/>
          <w:szCs w:val="17"/>
          <w:color w:val="auto"/>
        </w:rPr>
        <w:t>. If the Optionee is a director, associate director or shadow director of a subsidiary or other related company in Singapore, the Optionee is subject to certain notification requirements under the Singapore Companies Act. Among these requirements is an obligation to notify the Singapore subsidiary in writing when the Optionee receives an interest (e.g., Options, Option Shares) in the Company or any related company. In addition, the Optionee must notify the Singapore subsidiary when the Optionee sells Option Shares of the Company or any related company (including when the Optionee sells Option Shares acquired under the Plan). These notifications must be made within two (2) business days of acquiring or disposing of any interest in the Company or any related company. In addition, a notification must be made of the Optionee’s interests in the Company or any related company within two (2) business days of becoming a director.</w:t>
      </w:r>
    </w:p>
    <w:p>
      <w:pPr>
        <w:spacing w:after="0" w:line="196"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- 8</w:t>
      </w:r>
    </w:p>
    <w:p>
      <w:pPr>
        <w:sectPr>
          <w:pgSz w:w="11900" w:h="16838" w:orient="portrait"/>
          <w:cols w:equalWidth="0" w:num="1">
            <w:col w:w="11080"/>
          </w:cols>
          <w:pgMar w:left="580" w:top="1178"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41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11910" cy="411480"/>
                    </a:xfrm>
                    <a:prstGeom prst="rect">
                      <a:avLst/>
                    </a:prstGeom>
                    <a:noFill/>
                  </pic:spPr>
                </pic:pic>
              </a:graphicData>
            </a:graphic>
          </wp:anchor>
        </w:drawing>
        <w:t>SPAIN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No Entitlement for Claims or Compensation</w:t>
      </w:r>
      <w:r>
        <w:rPr>
          <w:rFonts w:ascii="Arial" w:cs="Arial" w:eastAsia="Arial" w:hAnsi="Arial"/>
          <w:sz w:val="17"/>
          <w:szCs w:val="17"/>
          <w:color w:val="auto"/>
        </w:rPr>
        <w:t>. In accepting the Options, the Optionee acknowledges that he or she consents to participation in the Plan and has received a copy of the Plan. The Optionee understands that the Company has unilaterally, gratuitously and in its sole discretion decided to grant Options under the Plan to individuals who may be employees of the Company or its subsidiaries throughout the world. The decision is a limited decision that is entered into upon the express assumption and condition that any Options will not economically or otherwise bind the Company or any of its subsidiaries on an ongoing basis. Consequently, the Optionee understands that the Options are granted on the assumption and condition that the Options and the underlying Option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the Optionee understands that the Option would not have been granted to the Optionee but for the assumptions and conditions referred to above; thus, the Optionee acknowledges and freely accepts that should any or all of the assumptions be mistaken or should any of the conditions not be met for any reason, then any Options shall be null and void.</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 the vesting of the Option is expressly conditioned on the Optionee’s continued rendering of service, such that if the Optionee’s employment terminates for any reason whatsoever, the Options may cease vesting immediately, in whole or in part, effective on the date of the Optionee’s termination of employment (unless otherwise specifically provided in Section 3 of the Agreement). This will be the case, for example, even if (1) the Optionee is considered to be unfairly dismissed without Cause; (2) the Optionee is dismissed for disciplinary or objective reasons or due to a collective dismissal; (3) the Optionee terminates service due to a change of work location, duties or any other employment or contractual condition; (4) the Optionee terminates service due to a unilateral breach of contract by the Company or the Employer; or (5) the Optionee’s employment terminates for any other reason whatsoever. Consequently, upon termination of the Optionee’s employment for any of the above reasons, the Optionee may automatically lose any rights to Options that were not vested on the date of the Optionee’s termination of employment, as described in the Plan and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Optionee acknowledges that he or she has read and specifically accepts the conditions referred to in Section 3 of the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Securities Law Notification</w:t>
      </w:r>
      <w:r>
        <w:rPr>
          <w:rFonts w:ascii="Arial" w:cs="Arial" w:eastAsia="Arial" w:hAnsi="Arial"/>
          <w:sz w:val="18"/>
          <w:szCs w:val="18"/>
          <w:color w:val="auto"/>
        </w:rPr>
        <w:t>. The grant of Options and the Option Shares issued upon exercise of the Option are considered a private placement outside of the scope of Spanish laws on public offerings and issuances of securities.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Exchange Control Notification</w:t>
      </w:r>
      <w:r>
        <w:rPr>
          <w:rFonts w:ascii="Arial" w:cs="Arial" w:eastAsia="Arial" w:hAnsi="Arial"/>
          <w:sz w:val="18"/>
          <w:szCs w:val="18"/>
          <w:color w:val="auto"/>
        </w:rPr>
        <w:t xml:space="preserve">. The Optionee acknowledges that he or she must declare any Shares that are acquired under the Plan to the </w:t>
      </w:r>
      <w:r>
        <w:rPr>
          <w:rFonts w:ascii="Arial" w:cs="Arial" w:eastAsia="Arial" w:hAnsi="Arial"/>
          <w:sz w:val="18"/>
          <w:szCs w:val="18"/>
          <w:i w:val="1"/>
          <w:iCs w:val="1"/>
          <w:color w:val="auto"/>
        </w:rPr>
        <w:t>Dirección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 de Comercio e Inversiones </w:t>
      </w:r>
      <w:r>
        <w:rPr>
          <w:rFonts w:ascii="Arial" w:cs="Arial" w:eastAsia="Arial" w:hAnsi="Arial"/>
          <w:sz w:val="18"/>
          <w:szCs w:val="18"/>
          <w:color w:val="auto"/>
        </w:rPr>
        <w:t>of the Ministry of Economy and Competitiveness (the “DGCI”). After the initial declaration, the declaration must be</w:t>
      </w:r>
      <w:r>
        <w:rPr>
          <w:rFonts w:ascii="Arial" w:cs="Arial" w:eastAsia="Arial" w:hAnsi="Arial"/>
          <w:sz w:val="18"/>
          <w:szCs w:val="18"/>
          <w:i w:val="1"/>
          <w:iCs w:val="1"/>
          <w:color w:val="auto"/>
        </w:rPr>
        <w:t xml:space="preserve"> </w:t>
      </w:r>
      <w:r>
        <w:rPr>
          <w:rFonts w:ascii="Arial" w:cs="Arial" w:eastAsia="Arial" w:hAnsi="Arial"/>
          <w:sz w:val="18"/>
          <w:szCs w:val="18"/>
          <w:color w:val="auto"/>
        </w:rPr>
        <w:t>filed with the DGCI on an annual basis each January while the shares are owned; however, if the value of the Shares or the sale proceeds exceed a certain amount, a declaration must be filed within one month of the acquisition or sale, as applicable.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receiving foreign payments exceeding €50,000 derived from the Optionee’s participation in the Plan (</w:t>
      </w:r>
      <w:r>
        <w:rPr>
          <w:rFonts w:ascii="Arial" w:cs="Arial" w:eastAsia="Arial" w:hAnsi="Arial"/>
          <w:sz w:val="18"/>
          <w:szCs w:val="18"/>
          <w:i w:val="1"/>
          <w:iCs w:val="1"/>
          <w:color w:val="auto"/>
        </w:rPr>
        <w:t>e.g</w:t>
      </w:r>
      <w:r>
        <w:rPr>
          <w:rFonts w:ascii="Arial" w:cs="Arial" w:eastAsia="Arial" w:hAnsi="Arial"/>
          <w:sz w:val="18"/>
          <w:szCs w:val="18"/>
          <w:color w:val="auto"/>
        </w:rPr>
        <w:t>., dividends or sales proceeds), the Optionee understands that he or she must inform the financial institution receiving the payment of the basis upon which such payment is made. The Optionee will need to provide the institution with certain information, including (i) the Optionee’s name, address and tax identification number, (ii) the name and corporate domicile of the Company, (iii) the amount of the payment and the currency used, (iv) the country of origin, (v) the reasons for the payment, and (vi) any further information that may be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SWEDEN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Automatic Cashless Exercise and Sale</w:t>
      </w:r>
      <w:r>
        <w:rPr>
          <w:rFonts w:ascii="Arial" w:cs="Arial" w:eastAsia="Arial" w:hAnsi="Arial"/>
          <w:sz w:val="18"/>
          <w:szCs w:val="18"/>
          <w:color w:val="auto"/>
        </w:rPr>
        <w:t>. This Option grant is conditioned upon the Optionee’s consent to the automatic cashless exercise, which the Company will provide to the Optionee. If the Company does not receive the Optionee’s signed consent, then the Option will terminate and will become null and void.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TAIWAN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43"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- 9</w:t>
      </w:r>
    </w:p>
    <w:p>
      <w:pPr>
        <w:sectPr>
          <w:pgSz w:w="11900" w:h="16838" w:orient="portrait"/>
          <w:cols w:equalWidth="0" w:num="1">
            <w:col w:w="11080"/>
          </w:cols>
          <w:pgMar w:left="580" w:top="1391"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11910" cy="411480"/>
                    </a:xfrm>
                    <a:prstGeom prst="rect">
                      <a:avLst/>
                    </a:prstGeom>
                    <a:noFill/>
                  </pic:spPr>
                </pic:pic>
              </a:graphicData>
            </a:graphic>
          </wp:anchor>
        </w:drawing>
        <w:t>UNITED KINGDOM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Joint Election</w:t>
      </w:r>
      <w:r>
        <w:rPr>
          <w:rFonts w:ascii="Arial" w:cs="Arial" w:eastAsia="Arial" w:hAnsi="Arial"/>
          <w:sz w:val="18"/>
          <w:szCs w:val="18"/>
          <w:color w:val="auto"/>
        </w:rPr>
        <w:t>. As a condition of the Optionee’s participation in the Plan and the exercise of the Option, the Optionee agrees to accept any liability for secondary Class 1 National Insurance contributions which may be payable by the Company and/or the Employer in connection with the Option and any event giving rise to Tax-Related Items (the “Employer’s Liability”). Without prejudice to the foregoing, the Optionee agrees to enter into a joint election with the Company, the form of such joint election being formally approved by HMRC (the “Joint Election”), and any other required consent or elections. The Optionee further agrees to enter into such other Joint Elections as may be required between the Optionee and any successor to the Company and/or the Employer. The Optionee further agrees that the Company and/or the Employer may collect the Employer’s Liability from the Optionee by any of the means set forth in Section 7 of the Agreement.</w:t>
      </w:r>
    </w:p>
    <w:p>
      <w:pPr>
        <w:spacing w:after="0" w:line="1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the Optionee does not enter into the Joint Election prior to the exercise of the Option, the Optionee will forfeit the Option and any Option Shares that have been issued will be returned to the Company at no cost to the Company, without any liability to the Company and/or the Employer.</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the Optionee has signed a Joint Election in the past with respect to Options granted to him or her by the Company and that Joint Election applies to all grants made under the Plan, the Optionee need not sign another Joint Election in connection with this Option grant.</w:t>
      </w:r>
    </w:p>
    <w:p>
      <w:pPr>
        <w:spacing w:after="0" w:line="35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- 10</w:t>
      </w:r>
    </w:p>
    <w:p>
      <w:pPr>
        <w:sectPr>
          <w:pgSz w:w="11900" w:h="16838" w:orient="portrait"/>
          <w:cols w:equalWidth="0" w:num="1">
            <w:col w:w="11080"/>
          </w:cols>
          <w:pgMar w:left="580" w:top="1174" w:right="2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11910" cy="411480"/>
                    </a:xfrm>
                    <a:prstGeom prst="rect">
                      <a:avLst/>
                    </a:prstGeom>
                    <a:noFill/>
                  </pic:spPr>
                </pic:pic>
              </a:graphicData>
            </a:graphic>
          </wp:anchor>
        </w:drawing>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23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AMENDED AND RESTATED 2006 STOCK INCENTIVE PLAN</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NON-QUALIFIED STOCK OPTION AGREEMENT</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{EMPNAME}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pleased to advise you that you have been granted an option to purchase that number of shares of Analog Devices, Inc. Common Stock set forth below subject to the terms and conditions of the Analog Devices, Inc. Amended and Restated 2006 Stock Incentive Plan (the “Plan”) and this Non-Qualified Stock Option Agreement (the “Option”). The grant of this Option reflects Analog's confidence in your commitment and contributions to the success and continued growth of Analog Devices, Inc. (the “Company”).</w:t>
      </w:r>
    </w:p>
    <w:p>
      <w:pPr>
        <w:spacing w:after="0" w:line="187" w:lineRule="exact"/>
        <w:rPr>
          <w:sz w:val="20"/>
          <w:szCs w:val="20"/>
          <w:color w:val="auto"/>
        </w:rPr>
      </w:pPr>
    </w:p>
    <w:p>
      <w:pPr>
        <w:jc w:val="both"/>
        <w:ind w:firstLine="554"/>
        <w:spacing w:after="0" w:line="342" w:lineRule="auto"/>
        <w:rPr>
          <w:sz w:val="20"/>
          <w:szCs w:val="20"/>
          <w:color w:val="auto"/>
        </w:rPr>
      </w:pPr>
      <w:r>
        <w:rPr>
          <w:rFonts w:ascii="Arial" w:cs="Arial" w:eastAsia="Arial" w:hAnsi="Arial"/>
          <w:sz w:val="16"/>
          <w:szCs w:val="16"/>
          <w:color w:val="auto"/>
        </w:rPr>
        <w:t>GRANT OF OPTION: This Agreement confirms that, subject to the terms and conditions of the Plan, the Company has granted to you (the “Optionee”), effective on the Date of Grant set forth below, an option to purchase shares of the Company's Common Stock (the “Option Shares”) as follows:</w:t>
      </w:r>
    </w:p>
    <w:p>
      <w:pPr>
        <w:spacing w:after="0" w:line="124" w:lineRule="exact"/>
        <w:rPr>
          <w:sz w:val="20"/>
          <w:szCs w:val="20"/>
          <w:color w:val="auto"/>
        </w:rPr>
      </w:pPr>
    </w:p>
    <w:p>
      <w:pPr>
        <w:ind w:left="1220"/>
        <w:spacing w:after="0"/>
        <w:tabs>
          <w:tab w:leader="none" w:pos="2420" w:val="left"/>
        </w:tabs>
        <w:rPr>
          <w:sz w:val="20"/>
          <w:szCs w:val="20"/>
          <w:color w:val="auto"/>
        </w:rPr>
      </w:pPr>
      <w:r>
        <w:rPr>
          <w:rFonts w:ascii="Arial" w:cs="Arial" w:eastAsia="Arial" w:hAnsi="Arial"/>
          <w:sz w:val="18"/>
          <w:szCs w:val="18"/>
          <w:color w:val="auto"/>
        </w:rPr>
        <w:t>Date of Grant:</w:t>
        <w:tab/>
        <w:t>{GRANTDATE}</w:t>
      </w:r>
    </w:p>
    <w:p>
      <w:pPr>
        <w:spacing w:after="0" w:line="185" w:lineRule="exact"/>
        <w:rPr>
          <w:sz w:val="20"/>
          <w:szCs w:val="20"/>
          <w:color w:val="auto"/>
        </w:rPr>
      </w:pPr>
    </w:p>
    <w:p>
      <w:pPr>
        <w:ind w:left="1220"/>
        <w:spacing w:after="0"/>
        <w:tabs>
          <w:tab w:leader="none" w:pos="3920" w:val="left"/>
        </w:tabs>
        <w:rPr>
          <w:sz w:val="20"/>
          <w:szCs w:val="20"/>
          <w:color w:val="auto"/>
        </w:rPr>
      </w:pPr>
      <w:r>
        <w:rPr>
          <w:rFonts w:ascii="Arial" w:cs="Arial" w:eastAsia="Arial" w:hAnsi="Arial"/>
          <w:sz w:val="18"/>
          <w:szCs w:val="18"/>
          <w:color w:val="auto"/>
        </w:rPr>
        <w:t>Number of Option Shares Granted:</w:t>
      </w:r>
      <w:r>
        <w:rPr>
          <w:sz w:val="20"/>
          <w:szCs w:val="20"/>
          <w:color w:val="auto"/>
        </w:rPr>
        <w:tab/>
      </w:r>
      <w:r>
        <w:rPr>
          <w:rFonts w:ascii="Arial" w:cs="Arial" w:eastAsia="Arial" w:hAnsi="Arial"/>
          <w:sz w:val="17"/>
          <w:szCs w:val="17"/>
          <w:color w:val="auto"/>
        </w:rPr>
        <w:t>{SOSHARESGRANTED}</w:t>
      </w:r>
    </w:p>
    <w:p>
      <w:pPr>
        <w:spacing w:after="0" w:line="185" w:lineRule="exact"/>
        <w:rPr>
          <w:sz w:val="20"/>
          <w:szCs w:val="20"/>
          <w:color w:val="auto"/>
        </w:rPr>
      </w:pPr>
    </w:p>
    <w:p>
      <w:pPr>
        <w:ind w:left="1220"/>
        <w:spacing w:after="0"/>
        <w:tabs>
          <w:tab w:leader="none" w:pos="3760" w:val="left"/>
        </w:tabs>
        <w:rPr>
          <w:sz w:val="20"/>
          <w:szCs w:val="20"/>
          <w:color w:val="auto"/>
        </w:rPr>
      </w:pPr>
      <w:r>
        <w:rPr>
          <w:rFonts w:ascii="Arial" w:cs="Arial" w:eastAsia="Arial" w:hAnsi="Arial"/>
          <w:sz w:val="18"/>
          <w:szCs w:val="18"/>
          <w:color w:val="auto"/>
        </w:rPr>
        <w:t>Option Exercise Price Per Share:</w:t>
      </w:r>
      <w:r>
        <w:rPr>
          <w:sz w:val="20"/>
          <w:szCs w:val="20"/>
          <w:color w:val="auto"/>
        </w:rPr>
        <w:tab/>
      </w:r>
      <w:r>
        <w:rPr>
          <w:rFonts w:ascii="Arial" w:cs="Arial" w:eastAsia="Arial" w:hAnsi="Arial"/>
          <w:sz w:val="17"/>
          <w:szCs w:val="17"/>
          <w:color w:val="auto"/>
        </w:rPr>
        <w:t>{EXERCISEPRICE}</w:t>
      </w:r>
    </w:p>
    <w:p>
      <w:pPr>
        <w:spacing w:after="0" w:line="200" w:lineRule="exact"/>
        <w:rPr>
          <w:sz w:val="20"/>
          <w:szCs w:val="20"/>
          <w:color w:val="auto"/>
        </w:rPr>
      </w:pP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225" w:lineRule="exact"/>
        <w:rPr>
          <w:sz w:val="20"/>
          <w:szCs w:val="20"/>
          <w:color w:val="auto"/>
        </w:rPr>
      </w:pPr>
    </w:p>
    <w:p>
      <w:pPr>
        <w:ind w:left="100" w:right="20" w:firstLine="459"/>
        <w:spacing w:after="0" w:line="277" w:lineRule="auto"/>
        <w:rPr>
          <w:sz w:val="20"/>
          <w:szCs w:val="20"/>
          <w:color w:val="auto"/>
        </w:rPr>
      </w:pPr>
      <w:r>
        <w:rPr>
          <w:rFonts w:ascii="Arial" w:cs="Arial" w:eastAsia="Arial" w:hAnsi="Arial"/>
          <w:sz w:val="18"/>
          <w:szCs w:val="18"/>
          <w:color w:val="auto"/>
        </w:rPr>
        <w:t>EXERCISE OF OPTION: The Option is exercisable in full on the earlier of {GRANTDATE+1} or the date of the Company’s next annual meeting of shareholders, subject to your continued status as a member of the Board of Directors of the Company (a “Director”).</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TERM OF OPTION; TERMINATION OF SERVICE:</w:t>
      </w:r>
    </w:p>
    <w:p>
      <w:pPr>
        <w:spacing w:after="0" w:line="225" w:lineRule="exact"/>
        <w:rPr>
          <w:sz w:val="20"/>
          <w:szCs w:val="20"/>
          <w:color w:val="auto"/>
        </w:rPr>
      </w:pPr>
    </w:p>
    <w:p>
      <w:pPr>
        <w:jc w:val="both"/>
        <w:ind w:left="580" w:hanging="301"/>
        <w:spacing w:after="0" w:line="264" w:lineRule="auto"/>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Except as otherwise provided below, (a) unless earlier exercised, the Option shall terminate on, and shall not be exercisable after, three (3) months after the Optionee ceases to be a Director of the Company and (b) the Option shall be exercisable by the Optionee (or his or her successor in interest) only to the extent that such Option was exercisable on or prior to the date of such termination.</w:t>
      </w:r>
    </w:p>
    <w:p>
      <w:pPr>
        <w:spacing w:after="0" w:line="181" w:lineRule="exact"/>
        <w:rPr>
          <w:rFonts w:ascii="Arial" w:cs="Arial" w:eastAsia="Arial" w:hAnsi="Arial"/>
          <w:sz w:val="18"/>
          <w:szCs w:val="18"/>
          <w:color w:val="auto"/>
        </w:rPr>
      </w:pPr>
    </w:p>
    <w:p>
      <w:pPr>
        <w:ind w:left="540" w:hanging="261"/>
        <w:spacing w:after="0" w:line="264" w:lineRule="auto"/>
        <w:tabs>
          <w:tab w:leader="none" w:pos="46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If the Optionee </w:t>
      </w:r>
      <w:r>
        <w:rPr>
          <w:rFonts w:ascii="Arial" w:cs="Arial" w:eastAsia="Arial" w:hAnsi="Arial"/>
          <w:sz w:val="18"/>
          <w:szCs w:val="18"/>
          <w:u w:val="single" w:color="auto"/>
          <w:color w:val="auto"/>
        </w:rPr>
        <w:t>dies</w:t>
      </w:r>
      <w:r>
        <w:rPr>
          <w:rFonts w:ascii="Arial" w:cs="Arial" w:eastAsia="Arial" w:hAnsi="Arial"/>
          <w:sz w:val="18"/>
          <w:szCs w:val="18"/>
          <w:color w:val="auto"/>
        </w:rPr>
        <w:t xml:space="preserve"> while a Director of the Company, the Option shall become exercisable in full on the date of death and shall continue to be exercisable (by the Optionee's successor in interest) until the date that is ten (10) years after the Date of Grant, at which time the Option shall terminate.</w:t>
      </w:r>
    </w:p>
    <w:p>
      <w:pPr>
        <w:spacing w:after="0" w:line="181" w:lineRule="exact"/>
        <w:rPr>
          <w:rFonts w:ascii="Arial" w:cs="Arial" w:eastAsia="Arial" w:hAnsi="Arial"/>
          <w:sz w:val="18"/>
          <w:szCs w:val="18"/>
          <w:color w:val="auto"/>
        </w:rPr>
      </w:pPr>
    </w:p>
    <w:p>
      <w:pPr>
        <w:jc w:val="both"/>
        <w:ind w:left="540" w:hanging="261"/>
        <w:spacing w:after="0" w:line="259"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If the Optionee ceases to be a Director by reason of </w:t>
      </w:r>
      <w:r>
        <w:rPr>
          <w:rFonts w:ascii="Arial" w:cs="Arial" w:eastAsia="Arial" w:hAnsi="Arial"/>
          <w:sz w:val="18"/>
          <w:szCs w:val="18"/>
          <w:u w:val="single" w:color="auto"/>
          <w:color w:val="auto"/>
        </w:rPr>
        <w:t>retirement</w:t>
      </w:r>
      <w:r>
        <w:rPr>
          <w:rFonts w:ascii="Arial" w:cs="Arial" w:eastAsia="Arial" w:hAnsi="Arial"/>
          <w:sz w:val="18"/>
          <w:szCs w:val="18"/>
          <w:color w:val="auto"/>
        </w:rPr>
        <w:t xml:space="preserve"> as a Director, this Option shall cease vesting at the time the Optionee ceases to be a Director, and any Option Shares that are vested on the date of such retirement shall continue to be exercisable until the date that is ten (10) years after the Date of Grant. For purposes of this provision, “retirement” shall mean any mutually agreed departure from the Board after a Director has reached the age of 60.</w:t>
      </w:r>
    </w:p>
    <w:p>
      <w:pPr>
        <w:spacing w:after="0" w:line="186" w:lineRule="exact"/>
        <w:rPr>
          <w:rFonts w:ascii="Arial" w:cs="Arial" w:eastAsia="Arial" w:hAnsi="Arial"/>
          <w:sz w:val="18"/>
          <w:szCs w:val="18"/>
          <w:color w:val="auto"/>
        </w:rPr>
      </w:pPr>
    </w:p>
    <w:p>
      <w:pPr>
        <w:ind w:left="540" w:hanging="261"/>
        <w:spacing w:after="0" w:line="308" w:lineRule="auto"/>
        <w:tabs>
          <w:tab w:leader="none" w:pos="5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If the Optionee ceases to be a Director by reason of the Director’s </w:t>
      </w:r>
      <w:r>
        <w:rPr>
          <w:rFonts w:ascii="Arial" w:cs="Arial" w:eastAsia="Arial" w:hAnsi="Arial"/>
          <w:sz w:val="17"/>
          <w:szCs w:val="17"/>
          <w:u w:val="single" w:color="auto"/>
          <w:color w:val="auto"/>
        </w:rPr>
        <w:t>removal under Section 2.7 of the Company’s Bylaws</w:t>
      </w:r>
      <w:r>
        <w:rPr>
          <w:rFonts w:ascii="Arial" w:cs="Arial" w:eastAsia="Arial" w:hAnsi="Arial"/>
          <w:sz w:val="17"/>
          <w:szCs w:val="17"/>
          <w:color w:val="auto"/>
        </w:rPr>
        <w:t>, this Option shall, at the time the Optionee ceases to be a Director, terminate and all Option Shares that are then vested shall forthwith cease to be exercisable.</w:t>
      </w:r>
    </w:p>
    <w:p>
      <w:pPr>
        <w:spacing w:after="0" w:line="146" w:lineRule="exact"/>
        <w:rPr>
          <w:rFonts w:ascii="Arial" w:cs="Arial" w:eastAsia="Arial" w:hAnsi="Arial"/>
          <w:sz w:val="17"/>
          <w:szCs w:val="17"/>
          <w:color w:val="auto"/>
        </w:rPr>
      </w:pPr>
    </w:p>
    <w:p>
      <w:pPr>
        <w:ind w:left="540" w:hanging="261"/>
        <w:spacing w:after="0"/>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If the Optionee ceases to be a Director by reason of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(as determined by the Company), the Option Shares which</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1440" w:right="239" w:bottom="1440" w:gutter="0" w:footer="0" w:header="0"/>
        </w:sectPr>
      </w:pPr>
    </w:p>
    <w:bookmarkStart w:id="92" w:name="page93"/>
    <w:bookmarkEnd w:id="92"/>
    <w:p>
      <w:pPr>
        <w:jc w:val="both"/>
        <w:ind w:left="540"/>
        <w:spacing w:after="0" w:line="31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11910" cy="411480"/>
                    </a:xfrm>
                    <a:prstGeom prst="rect">
                      <a:avLst/>
                    </a:prstGeom>
                    <a:noFill/>
                  </pic:spPr>
                </pic:pic>
              </a:graphicData>
            </a:graphic>
          </wp:anchor>
        </w:drawing>
        <w:t>are not exercisable as of the date of disability shall become exercisable on the date that they otherwise would have become exercisable if the Optionee's service as a Director had not been terminated due to disability. Any Option Shares that are exercisable shall continue to be exercisable until the date that is ten (10) years after the Date of Grant, at which time the Option shall terminate.</w:t>
      </w:r>
    </w:p>
    <w:p>
      <w:pPr>
        <w:spacing w:after="0" w:line="154" w:lineRule="exact"/>
        <w:rPr>
          <w:sz w:val="20"/>
          <w:szCs w:val="20"/>
          <w:color w:val="auto"/>
        </w:rPr>
      </w:pPr>
    </w:p>
    <w:p>
      <w:pPr>
        <w:jc w:val="both"/>
        <w:ind w:left="540" w:hanging="261"/>
        <w:spacing w:after="0" w:line="279" w:lineRule="auto"/>
        <w:tabs>
          <w:tab w:leader="none" w:pos="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If the Optionee becomes an </w:t>
      </w:r>
      <w:r>
        <w:rPr>
          <w:rFonts w:ascii="Arial" w:cs="Arial" w:eastAsia="Arial" w:hAnsi="Arial"/>
          <w:sz w:val="17"/>
          <w:szCs w:val="17"/>
          <w:u w:val="single" w:color="auto"/>
          <w:color w:val="auto"/>
        </w:rPr>
        <w:t>employee</w:t>
      </w:r>
      <w:r>
        <w:rPr>
          <w:rFonts w:ascii="Arial" w:cs="Arial" w:eastAsia="Arial" w:hAnsi="Arial"/>
          <w:sz w:val="17"/>
          <w:szCs w:val="17"/>
          <w:color w:val="auto"/>
        </w:rPr>
        <w:t xml:space="preserve"> of the Company and in connection with such employment ceases to serve as a Director, this Option shall continue to vest in accordance with the terms hereof until the date that the Optionee's employment with the Company is terminated, and any Option Shares that are exercisable on the date of such termination shall continue to be exercisable for a period of three (3) months following such termination date, provided that in no event shall the Option be exercisable later than the date that is ten (10) years after the Date of Grant.</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PAYMENT OF PURCHASE PRICE: The following payment methods may be used to purchase Option Shares in accordance with the terms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900" w:hanging="324"/>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cashless exercise in a manner described in Section 5(f)(2) of the Plan.</w:t>
      </w:r>
    </w:p>
    <w:p>
      <w:pPr>
        <w:spacing w:after="0" w:line="23" w:lineRule="exact"/>
        <w:rPr>
          <w:rFonts w:ascii="Arial" w:cs="Arial" w:eastAsia="Arial" w:hAnsi="Arial"/>
          <w:sz w:val="18"/>
          <w:szCs w:val="18"/>
          <w:color w:val="auto"/>
        </w:rPr>
      </w:pPr>
    </w:p>
    <w:p>
      <w:pPr>
        <w:ind w:left="900" w:hanging="324"/>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9" w:lineRule="exact"/>
        <w:rPr>
          <w:rFonts w:ascii="Arial" w:cs="Arial" w:eastAsia="Arial" w:hAnsi="Arial"/>
          <w:sz w:val="18"/>
          <w:szCs w:val="18"/>
          <w:color w:val="auto"/>
        </w:rPr>
      </w:pPr>
    </w:p>
    <w:p>
      <w:pPr>
        <w:ind w:left="900" w:hanging="324"/>
        <w:spacing w:after="0" w:line="250"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(by actual delivery or attestation) in accordance with Section 5(f)(3) of the Plan.</w:t>
      </w:r>
    </w:p>
    <w:p>
      <w:pPr>
        <w:ind w:left="900" w:hanging="324"/>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211"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181" w:lineRule="exact"/>
        <w:rPr>
          <w:sz w:val="20"/>
          <w:szCs w:val="20"/>
          <w:color w:val="auto"/>
        </w:rPr>
      </w:pPr>
    </w:p>
    <w:p>
      <w:pPr>
        <w:jc w:val="both"/>
        <w:ind w:firstLine="513"/>
        <w:spacing w:after="0" w:line="342" w:lineRule="auto"/>
        <w:rPr>
          <w:sz w:val="20"/>
          <w:szCs w:val="20"/>
          <w:color w:val="auto"/>
        </w:rPr>
      </w:pPr>
      <w:r>
        <w:rPr>
          <w:rFonts w:ascii="Arial" w:cs="Arial" w:eastAsia="Arial" w:hAnsi="Arial"/>
          <w:sz w:val="16"/>
          <w:szCs w:val="16"/>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24"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CHANGE IN CONTROL: Upon the occurrence of a Change in Control Event (as defined in Section 11(b) of the Plan), this Option shall vest and be exercisable in full, whether or not then exercisable in accordance with its terms, and shall continue to be exercisable until the date that is ten (10) years after the Date of Grant.</w:t>
      </w:r>
    </w:p>
    <w:p>
      <w:pPr>
        <w:spacing w:after="0" w:line="181"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WITHHOLDING TAXES: As a condition to the issuance of shares upon exercise of the Option, the Optionee shall pay to the Company, or make provision satisfactory to the Company for payment of, an amount sufficient to satisfy legally applicable federal, state and local withholding tax requirements in accordance with Section 12(e) of the Plan.</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copy of the Plan prospectus is available from the Stock Plan Administrator, Stock_Plan_Admin@Analog.com. If you have any questions regarding your stock option, please contact the Stock Plan Administrator or Fran Sarro, Assistant Treasurer, at (781) 461-3907 or email Fran.Sarro@Analog.com.</w:t>
      </w:r>
    </w:p>
    <w:p>
      <w:pPr>
        <w:sectPr>
          <w:pgSz w:w="11900" w:h="16838" w:orient="portrait"/>
          <w:cols w:equalWidth="0" w:num="1">
            <w:col w:w="11340"/>
          </w:cols>
          <w:pgMar w:left="320" w:top="1422" w:right="239" w:bottom="1440" w:gutter="0" w:footer="0" w:header="0"/>
        </w:sectPr>
      </w:pP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Ray Stata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Vincent Roche</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President &amp; Chief Executive Officer</w:t>
      </w:r>
    </w:p>
    <w:p>
      <w:pPr>
        <w:spacing w:after="0" w:line="200" w:lineRule="exact"/>
        <w:rPr>
          <w:sz w:val="20"/>
          <w:szCs w:val="20"/>
          <w:color w:val="auto"/>
        </w:rPr>
      </w:pPr>
    </w:p>
    <w:p>
      <w:pPr>
        <w:sectPr>
          <w:pgSz w:w="11900" w:h="16838" w:orient="portrait"/>
          <w:cols w:equalWidth="0" w:num="2">
            <w:col w:w="1780" w:space="100"/>
            <w:col w:w="9460"/>
          </w:cols>
          <w:pgMar w:left="320" w:top="1422" w:right="239" w:bottom="1440" w:gutter="0" w:footer="0" w:header="0"/>
          <w:type w:val="continuous"/>
        </w:sectPr>
      </w:pPr>
    </w:p>
    <w:p>
      <w:pPr>
        <w:spacing w:after="0" w:line="27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40"/>
          </w:cols>
          <w:pgMar w:left="320" w:top="1422" w:right="239" w:bottom="1440" w:gutter="0" w:footer="0" w:header="0"/>
          <w:type w:val="continuous"/>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Exhibit 10.4</w:t>
      </w:r>
    </w:p>
    <w:p>
      <w:pPr>
        <w:spacing w:after="0" w:line="171"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AMENDED AND RESTATED 2006 STOCK INCENTIVE PLAN</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GLOBAL RESTRICTED STOCK UNIT AGREEMENT</w:t>
      </w:r>
    </w:p>
    <w:p>
      <w:pPr>
        <w:spacing w:after="0" w:line="207"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{EMPNAME}</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{EMPNUM}</w:t>
      </w:r>
    </w:p>
    <w:p>
      <w:pPr>
        <w:spacing w:after="0" w:line="185" w:lineRule="exact"/>
        <w:rPr>
          <w:sz w:val="20"/>
          <w:szCs w:val="20"/>
          <w:color w:val="auto"/>
        </w:rPr>
      </w:pPr>
    </w:p>
    <w:p>
      <w:pPr>
        <w:jc w:val="both"/>
        <w:ind w:left="8"/>
        <w:spacing w:after="0" w:line="255" w:lineRule="auto"/>
        <w:rPr>
          <w:sz w:val="20"/>
          <w:szCs w:val="20"/>
          <w:color w:val="auto"/>
        </w:rPr>
      </w:pPr>
      <w:r>
        <w:rPr>
          <w:rFonts w:ascii="Arial" w:cs="Arial" w:eastAsia="Arial" w:hAnsi="Arial"/>
          <w:sz w:val="18"/>
          <w:szCs w:val="18"/>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Amended and Restated 2006 Stock Incentive Plan (the “Plan”) and this Global Restricted Stock Unit Agreement, including Appendix A, which includes any applicable country-specific provisions (this agreement, together with Appendix A,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139" w:lineRule="exact"/>
        <w:rPr>
          <w:sz w:val="20"/>
          <w:szCs w:val="20"/>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Restricted Stock Unit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color w:val="auto"/>
        </w:rPr>
        <w:t>Subject to the terms and conditions of the Plan and this Agreement, the Company has granted to the Participant that number of RSUs (the “Award”) effective on the Date of Grant set forth below:</w:t>
      </w:r>
    </w:p>
    <w:p>
      <w:pPr>
        <w:spacing w:after="0" w:line="116"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Date of Grant:   {GRANTDATE}</w:t>
      </w:r>
    </w:p>
    <w:p>
      <w:pPr>
        <w:spacing w:after="0" w:line="23" w:lineRule="exact"/>
        <w:rPr>
          <w:rFonts w:ascii="Arial" w:cs="Arial" w:eastAsia="Arial" w:hAnsi="Arial"/>
          <w:sz w:val="18"/>
          <w:szCs w:val="18"/>
          <w:color w:val="auto"/>
        </w:rPr>
      </w:pPr>
    </w:p>
    <w:p>
      <w:pPr>
        <w:ind w:left="328" w:right="7300"/>
        <w:spacing w:after="0" w:line="261" w:lineRule="auto"/>
        <w:rPr>
          <w:rFonts w:ascii="Arial" w:cs="Arial" w:eastAsia="Arial" w:hAnsi="Arial"/>
          <w:sz w:val="18"/>
          <w:szCs w:val="18"/>
          <w:color w:val="auto"/>
        </w:rPr>
      </w:pPr>
      <w:r>
        <w:rPr>
          <w:rFonts w:ascii="Arial" w:cs="Arial" w:eastAsia="Arial" w:hAnsi="Arial"/>
          <w:sz w:val="18"/>
          <w:szCs w:val="18"/>
          <w:color w:val="auto"/>
        </w:rPr>
        <w:t>Number of RSUs: {RSSHARESGRANTED} {RSVESTDESC} {RSVESTSCHED}</w:t>
      </w:r>
    </w:p>
    <w:p>
      <w:pPr>
        <w:spacing w:after="0" w:line="183" w:lineRule="exact"/>
        <w:rPr>
          <w:rFonts w:ascii="Arial" w:cs="Arial" w:eastAsia="Arial" w:hAnsi="Arial"/>
          <w:sz w:val="18"/>
          <w:szCs w:val="18"/>
          <w:color w:val="auto"/>
        </w:rPr>
      </w:pPr>
    </w:p>
    <w:p>
      <w:pPr>
        <w:jc w:val="both"/>
        <w:ind w:left="328"/>
        <w:spacing w:after="0" w:line="259" w:lineRule="auto"/>
        <w:rPr>
          <w:rFonts w:ascii="Arial" w:cs="Arial" w:eastAsia="Arial" w:hAnsi="Arial"/>
          <w:sz w:val="18"/>
          <w:szCs w:val="18"/>
          <w:color w:val="auto"/>
        </w:rPr>
      </w:pPr>
      <w:r>
        <w:rPr>
          <w:rFonts w:ascii="Arial" w:cs="Arial" w:eastAsia="Arial" w:hAnsi="Arial"/>
          <w:sz w:val="18"/>
          <w:szCs w:val="18"/>
          <w:color w:val="auto"/>
        </w:rPr>
        <w:t>Each one (1) RSU shall, if and when it vests in accordance with this Agreement, automatically convert into one (1) share of common stock, US$0.16 2/3 par value, of the Company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132" w:lineRule="exact"/>
        <w:rPr>
          <w:rFonts w:ascii="Arial" w:cs="Arial" w:eastAsia="Arial" w:hAnsi="Arial"/>
          <w:sz w:val="18"/>
          <w:szCs w:val="18"/>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Vesting and Conversion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48" w:hanging="324"/>
        <w:spacing w:after="0" w:line="270" w:lineRule="auto"/>
        <w:tabs>
          <w:tab w:leader="none" w:pos="648" w:val="left"/>
        </w:tabs>
        <w:numPr>
          <w:ilvl w:val="1"/>
          <w:numId w:val="119"/>
        </w:numPr>
        <w:rPr>
          <w:rFonts w:ascii="Arial" w:cs="Arial" w:eastAsia="Arial" w:hAnsi="Arial"/>
          <w:sz w:val="17"/>
          <w:szCs w:val="17"/>
          <w:color w:val="auto"/>
        </w:rPr>
      </w:pPr>
      <w:r>
        <w:rPr>
          <w:rFonts w:ascii="Arial" w:cs="Arial" w:eastAsia="Arial" w:hAnsi="Arial"/>
          <w:sz w:val="17"/>
          <w:szCs w:val="17"/>
          <w:color w:val="auto"/>
        </w:rPr>
        <w:t>Subject to the terms of the Plan and this Agreement, the RSUs shall vest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23" w:lineRule="exact"/>
        <w:rPr>
          <w:rFonts w:ascii="Arial" w:cs="Arial" w:eastAsia="Arial" w:hAnsi="Arial"/>
          <w:sz w:val="17"/>
          <w:szCs w:val="17"/>
          <w:color w:val="auto"/>
        </w:rPr>
      </w:pPr>
    </w:p>
    <w:p>
      <w:pPr>
        <w:jc w:val="both"/>
        <w:ind w:left="648" w:hanging="324"/>
        <w:spacing w:after="0" w:line="259" w:lineRule="auto"/>
        <w:tabs>
          <w:tab w:leader="none" w:pos="64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 the event the Participant’s employment with the Company or the Employer (as defined in Section 2(e))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32"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In the event the Participant’s employment with the Company or the Employer is terminated by reason of the Participant’s </w:t>
      </w:r>
      <w:r>
        <w:rPr>
          <w:rFonts w:ascii="Arial" w:cs="Arial" w:eastAsia="Arial" w:hAnsi="Arial"/>
          <w:sz w:val="18"/>
          <w:szCs w:val="18"/>
          <w:u w:val="single" w:color="auto"/>
          <w:color w:val="auto"/>
        </w:rPr>
        <w:t>death</w:t>
      </w:r>
      <w:r>
        <w:rPr>
          <w:rFonts w:ascii="Arial" w:cs="Arial" w:eastAsia="Arial" w:hAnsi="Arial"/>
          <w:sz w:val="18"/>
          <w:szCs w:val="18"/>
          <w:color w:val="auto"/>
        </w:rPr>
        <w:t>, all Unvested RSUs shall vest in full as of the date of the Participant’s death.</w:t>
      </w:r>
    </w:p>
    <w:p>
      <w:pPr>
        <w:spacing w:after="0" w:line="116" w:lineRule="exact"/>
        <w:rPr>
          <w:rFonts w:ascii="Arial" w:cs="Arial" w:eastAsia="Arial" w:hAnsi="Arial"/>
          <w:sz w:val="18"/>
          <w:szCs w:val="18"/>
          <w:color w:val="auto"/>
        </w:rPr>
      </w:pPr>
    </w:p>
    <w:p>
      <w:pPr>
        <w:jc w:val="both"/>
        <w:ind w:left="648" w:hanging="324"/>
        <w:spacing w:after="0" w:line="264" w:lineRule="auto"/>
        <w:tabs>
          <w:tab w:leader="none" w:pos="64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 the event the Participant’s employment with the Company or the Employer terminates by reason of Disability (as defined below), the Unvested RSUs as of the date of the Participant’s termination shall vest in full as of the date of the termination. For the purpose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means (i) the Participant’s inability to engage in any</w:t>
      </w:r>
    </w:p>
    <w:p>
      <w:pPr>
        <w:spacing w:after="0" w:line="361" w:lineRule="exact"/>
        <w:rPr>
          <w:sz w:val="20"/>
          <w:szCs w:val="20"/>
          <w:color w:val="auto"/>
        </w:rPr>
      </w:pPr>
    </w:p>
    <w:p>
      <w:pPr>
        <w:ind w:left="4548"/>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88"/>
          </w:cols>
          <w:pgMar w:left="572" w:top="1175" w:right="239" w:bottom="1440" w:gutter="0" w:footer="0" w:header="0"/>
        </w:sectPr>
      </w:pPr>
    </w:p>
    <w:bookmarkStart w:id="94" w:name="page95"/>
    <w:bookmarkEnd w:id="94"/>
    <w:p>
      <w:pPr>
        <w:ind w:left="648" w:right="20"/>
        <w:spacing w:after="0" w:line="32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substantial gainful activity by reason of any medically determinable physical or mental impairment that can be expected to result in death or can be expected to last for a continuous period of not less than 12 months, as determined by the Company.</w:t>
      </w:r>
    </w:p>
    <w:p>
      <w:pPr>
        <w:spacing w:after="0" w:line="89" w:lineRule="exact"/>
        <w:rPr>
          <w:sz w:val="20"/>
          <w:szCs w:val="20"/>
          <w:color w:val="auto"/>
        </w:rPr>
      </w:pPr>
    </w:p>
    <w:p>
      <w:pPr>
        <w:jc w:val="both"/>
        <w:ind w:left="648" w:hanging="324"/>
        <w:spacing w:after="0" w:line="255" w:lineRule="auto"/>
        <w:tabs>
          <w:tab w:leader="none" w:pos="64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39" w:lineRule="exact"/>
        <w:rPr>
          <w:rFonts w:ascii="Arial" w:cs="Arial" w:eastAsia="Arial" w:hAnsi="Arial"/>
          <w:sz w:val="18"/>
          <w:szCs w:val="18"/>
          <w:color w:val="auto"/>
        </w:rPr>
      </w:pPr>
    </w:p>
    <w:p>
      <w:pPr>
        <w:ind w:left="328" w:hanging="328"/>
        <w:spacing w:after="0"/>
        <w:tabs>
          <w:tab w:leader="none" w:pos="32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48" w:hanging="324"/>
        <w:spacing w:after="0"/>
        <w:tabs>
          <w:tab w:leader="none" w:pos="64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Participant shall not sell, assign, transfer, pledge or otherwise encumber any RSUs, either voluntarily or by operation of law.</w:t>
      </w:r>
    </w:p>
    <w:p>
      <w:pPr>
        <w:spacing w:after="0" w:line="171" w:lineRule="exact"/>
        <w:rPr>
          <w:rFonts w:ascii="Arial" w:cs="Arial" w:eastAsia="Arial" w:hAnsi="Arial"/>
          <w:sz w:val="18"/>
          <w:szCs w:val="18"/>
          <w:color w:val="auto"/>
        </w:rPr>
      </w:pPr>
    </w:p>
    <w:p>
      <w:pPr>
        <w:jc w:val="both"/>
        <w:ind w:left="648" w:hanging="324"/>
        <w:spacing w:after="0" w:line="264" w:lineRule="auto"/>
        <w:tabs>
          <w:tab w:leader="none" w:pos="64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27" w:lineRule="exact"/>
        <w:rPr>
          <w:rFonts w:ascii="Arial" w:cs="Arial" w:eastAsia="Arial" w:hAnsi="Arial"/>
          <w:sz w:val="18"/>
          <w:szCs w:val="18"/>
          <w:color w:val="auto"/>
        </w:rPr>
      </w:pPr>
    </w:p>
    <w:p>
      <w:pPr>
        <w:jc w:val="both"/>
        <w:ind w:left="328" w:hanging="328"/>
        <w:spacing w:after="0" w:line="257" w:lineRule="auto"/>
        <w:tabs>
          <w:tab w:leader="none" w:pos="32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Not a Shareholder</w:t>
      </w:r>
      <w:r>
        <w:rPr>
          <w:rFonts w:ascii="Arial" w:cs="Arial" w:eastAsia="Arial" w:hAnsi="Arial"/>
          <w:sz w:val="18"/>
          <w:szCs w:val="18"/>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34"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 The RSUs and Shares, including the grant and issuance thereof, are subject to the provisions of the Plan. A copy of the Plan prospectus is available on the Company’s Intranet at http://signals.corpnt.analog.com/default.aspx. (From Signals home page, click Knowledge Centers, HR, Employee Stock Programs. The related documents can be found in the right-hand column).</w:t>
      </w:r>
    </w:p>
    <w:p>
      <w:pPr>
        <w:spacing w:after="0" w:line="127" w:lineRule="exact"/>
        <w:rPr>
          <w:rFonts w:ascii="Arial" w:cs="Arial" w:eastAsia="Arial" w:hAnsi="Arial"/>
          <w:sz w:val="18"/>
          <w:szCs w:val="18"/>
          <w:color w:val="auto"/>
        </w:rPr>
      </w:pPr>
    </w:p>
    <w:p>
      <w:pPr>
        <w:ind w:left="328" w:hanging="328"/>
        <w:spacing w:after="0"/>
        <w:tabs>
          <w:tab w:leader="none" w:pos="32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48" w:hanging="324"/>
        <w:spacing w:after="0" w:line="269" w:lineRule="auto"/>
        <w:tabs>
          <w:tab w:leader="none" w:pos="648" w:val="left"/>
        </w:tabs>
        <w:numPr>
          <w:ilvl w:val="1"/>
          <w:numId w:val="121"/>
        </w:numPr>
        <w:rPr>
          <w:rFonts w:ascii="Arial" w:cs="Arial" w:eastAsia="Arial" w:hAnsi="Arial"/>
          <w:sz w:val="17"/>
          <w:szCs w:val="17"/>
          <w:color w:val="auto"/>
        </w:rPr>
      </w:pPr>
      <w:r>
        <w:rPr>
          <w:rFonts w:ascii="Arial" w:cs="Arial" w:eastAsia="Arial" w:hAnsi="Arial"/>
          <w:sz w:val="17"/>
          <w:szCs w:val="17"/>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28" w:lineRule="exact"/>
        <w:rPr>
          <w:rFonts w:ascii="Arial" w:cs="Arial" w:eastAsia="Arial" w:hAnsi="Arial"/>
          <w:sz w:val="17"/>
          <w:szCs w:val="17"/>
          <w:color w:val="auto"/>
        </w:rPr>
      </w:pPr>
    </w:p>
    <w:p>
      <w:pPr>
        <w:jc w:val="both"/>
        <w:ind w:left="648" w:right="20" w:hanging="324"/>
        <w:spacing w:after="0" w:line="312" w:lineRule="auto"/>
        <w:tabs>
          <w:tab w:leader="none" w:pos="64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with regard to all Tax-Related Items by one or a combination of the methods set forth below:</w:t>
      </w:r>
    </w:p>
    <w:p>
      <w:pPr>
        <w:spacing w:after="0" w:line="92" w:lineRule="exact"/>
        <w:rPr>
          <w:rFonts w:ascii="Arial" w:cs="Arial" w:eastAsia="Arial" w:hAnsi="Arial"/>
          <w:sz w:val="16"/>
          <w:szCs w:val="16"/>
          <w:color w:val="auto"/>
        </w:rPr>
      </w:pPr>
    </w:p>
    <w:p>
      <w:pPr>
        <w:ind w:left="1288" w:hanging="640"/>
        <w:spacing w:after="0" w:line="257" w:lineRule="auto"/>
        <w:tabs>
          <w:tab w:leader="none" w:pos="964"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Company may withhold a sufficient number of whole Shares otherwise issuable upon the vesting of the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w:t>
      </w:r>
    </w:p>
    <w:p>
      <w:pPr>
        <w:spacing w:after="0" w:line="134" w:lineRule="exact"/>
        <w:rPr>
          <w:rFonts w:ascii="Arial" w:cs="Arial" w:eastAsia="Arial" w:hAnsi="Arial"/>
          <w:sz w:val="18"/>
          <w:szCs w:val="18"/>
          <w:color w:val="auto"/>
        </w:rPr>
      </w:pPr>
    </w:p>
    <w:p>
      <w:pPr>
        <w:ind w:left="1288" w:hanging="640"/>
        <w:spacing w:after="0" w:line="277" w:lineRule="auto"/>
        <w:tabs>
          <w:tab w:leader="none" w:pos="964"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Company may, in its discretion, withhold any amount necessary to pay the Tax-Related Items from the Participant’s salary or other amounts payable to the Participant; or</w:t>
      </w:r>
    </w:p>
    <w:p>
      <w:pPr>
        <w:spacing w:after="0" w:line="351" w:lineRule="exact"/>
        <w:rPr>
          <w:sz w:val="20"/>
          <w:szCs w:val="20"/>
          <w:color w:val="auto"/>
        </w:rPr>
      </w:pPr>
    </w:p>
    <w:p>
      <w:pPr>
        <w:ind w:left="4548"/>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88"/>
          </w:cols>
          <w:pgMar w:left="572" w:top="1206" w:right="239" w:bottom="1440" w:gutter="0" w:footer="0" w:header="0"/>
        </w:sectPr>
      </w:pPr>
    </w:p>
    <w:bookmarkStart w:id="95" w:name="page96"/>
    <w:bookmarkEnd w:id="95"/>
    <w:p>
      <w:pPr>
        <w:ind w:left="1288" w:right="20" w:hanging="640"/>
        <w:spacing w:after="0" w:line="277" w:lineRule="auto"/>
        <w:tabs>
          <w:tab w:leader="none" w:pos="964"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the Company may withhold from proceeds of the sale of Shares either through a voluntary sale or through a mandatory sale arranged by the Company (on the Participant’s behalf pursuant to this authorization).</w:t>
      </w:r>
    </w:p>
    <w:p>
      <w:pPr>
        <w:spacing w:after="0" w:line="116" w:lineRule="exact"/>
        <w:rPr>
          <w:sz w:val="20"/>
          <w:szCs w:val="20"/>
          <w:color w:val="auto"/>
        </w:rPr>
      </w:pPr>
    </w:p>
    <w:p>
      <w:pPr>
        <w:jc w:val="both"/>
        <w:ind w:left="968"/>
        <w:spacing w:after="0" w:line="279" w:lineRule="auto"/>
        <w:rPr>
          <w:sz w:val="20"/>
          <w:szCs w:val="20"/>
          <w:color w:val="auto"/>
        </w:rPr>
      </w:pPr>
      <w:r>
        <w:rPr>
          <w:rFonts w:ascii="Arial" w:cs="Arial" w:eastAsia="Arial" w:hAnsi="Arial"/>
          <w:sz w:val="17"/>
          <w:szCs w:val="17"/>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the Participant is deemed to have been issued the full number of Shares subject to the vested RSU, notwithstanding that a number of the Shares are held back solely for the purpose of paying the Tax-Related Items.</w:t>
      </w:r>
    </w:p>
    <w:p>
      <w:pPr>
        <w:spacing w:after="0" w:line="117" w:lineRule="exact"/>
        <w:rPr>
          <w:sz w:val="20"/>
          <w:szCs w:val="20"/>
          <w:color w:val="auto"/>
        </w:rPr>
      </w:pPr>
    </w:p>
    <w:p>
      <w:pPr>
        <w:jc w:val="both"/>
        <w:ind w:left="968"/>
        <w:spacing w:after="0" w:line="291" w:lineRule="auto"/>
        <w:rPr>
          <w:sz w:val="20"/>
          <w:szCs w:val="20"/>
          <w:color w:val="auto"/>
        </w:rPr>
      </w:pPr>
      <w:r>
        <w:rPr>
          <w:rFonts w:ascii="Arial" w:cs="Arial" w:eastAsia="Arial" w:hAnsi="Arial"/>
          <w:sz w:val="16"/>
          <w:szCs w:val="16"/>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RSUs. No fractional Shares will be withheld or issued pursuant to the grant of the RSUs and the issuance of Shares hereunder.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13" w:lineRule="exact"/>
        <w:rPr>
          <w:sz w:val="20"/>
          <w:szCs w:val="20"/>
          <w:color w:val="auto"/>
        </w:rPr>
      </w:pPr>
    </w:p>
    <w:p>
      <w:pPr>
        <w:jc w:val="both"/>
        <w:ind w:left="328" w:hanging="328"/>
        <w:spacing w:after="0" w:line="218" w:lineRule="exact"/>
        <w:tabs>
          <w:tab w:leader="none" w:pos="328"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Option of Company to Deliver Cash</w:t>
      </w:r>
      <w:r>
        <w:rPr>
          <w:rFonts w:ascii="Arial" w:cs="Arial" w:eastAsia="Arial" w:hAnsi="Arial"/>
          <w:sz w:val="16"/>
          <w:szCs w:val="16"/>
          <w:color w:val="auto"/>
        </w:rPr>
        <w:t>. Notwithstanding any of the other provisions of this Agreement, and except as set forth in Appendix A, where share settlement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w:t>
      </w:r>
      <w:r>
        <w:rPr>
          <w:rFonts w:ascii="MS PGothic" w:cs="MS PGothic" w:eastAsia="MS PGothic" w:hAnsi="MS PGothic"/>
          <w:sz w:val="16"/>
          <w:szCs w:val="16"/>
          <w:color w:val="auto"/>
        </w:rPr>
        <w:t>‑</w:t>
      </w:r>
      <w:r>
        <w:rPr>
          <w:rFonts w:ascii="Arial" w:cs="Arial" w:eastAsia="Arial" w:hAnsi="Arial"/>
          <w:sz w:val="16"/>
          <w:szCs w:val="16"/>
          <w:color w:val="auto"/>
        </w:rPr>
        <w:t>Related Items withholding obligations of the Company pursuant to Section 6 herein.</w:t>
      </w:r>
    </w:p>
    <w:p>
      <w:pPr>
        <w:spacing w:after="0" w:line="152" w:lineRule="exact"/>
        <w:rPr>
          <w:rFonts w:ascii="Arial" w:cs="Arial" w:eastAsia="Arial" w:hAnsi="Arial"/>
          <w:sz w:val="16"/>
          <w:szCs w:val="16"/>
          <w:color w:val="auto"/>
        </w:rPr>
      </w:pPr>
    </w:p>
    <w:p>
      <w:pPr>
        <w:jc w:val="both"/>
        <w:ind w:left="328" w:hanging="328"/>
        <w:spacing w:after="0" w:line="255" w:lineRule="auto"/>
        <w:tabs>
          <w:tab w:leader="none" w:pos="328" w:val="left"/>
        </w:tabs>
        <w:numPr>
          <w:ilvl w:val="0"/>
          <w:numId w:val="123"/>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Privacy</w:t>
      </w:r>
      <w:r>
        <w:rPr>
          <w:rFonts w:ascii="Arial" w:cs="Arial" w:eastAsia="Arial" w:hAnsi="Arial"/>
          <w:sz w:val="18"/>
          <w:szCs w:val="18"/>
          <w:i w:val="1"/>
          <w:iCs w:val="1"/>
          <w:color w:val="auto"/>
        </w:rPr>
        <w:t>. This Section 8 applies if the Participant resides outside the U.S.: The Company hereby notifies the Participant of the following in relation to the Participant’s personal data and the collection, processing and transfer of such data in relation to the grant of the RSUs and the Participant’s participation in the Plan, pursuant to applicable personal data protection laws. The collection, processing and transfer of the Participant’s personal data is necessary for the Company’s administration of the Plan and the Participant’s participation in the Plan, and the Participant’s denial and/or objection to the collection, processing and transfer of personal data may affect the Participant’s ability to participate in the Plan. As such, the Participant voluntarily acknowledges, consents and agrees (where required under applicable law) to the collection, use, processing and transfer of personal data as described herein.</w:t>
      </w:r>
    </w:p>
    <w:p>
      <w:pPr>
        <w:spacing w:after="0" w:line="135" w:lineRule="exact"/>
        <w:rPr>
          <w:rFonts w:ascii="Arial" w:cs="Arial" w:eastAsia="Arial" w:hAnsi="Arial"/>
          <w:sz w:val="18"/>
          <w:szCs w:val="18"/>
          <w:color w:val="auto"/>
        </w:rPr>
      </w:pPr>
    </w:p>
    <w:p>
      <w:pPr>
        <w:jc w:val="both"/>
        <w:ind w:left="328"/>
        <w:spacing w:after="0" w:line="269" w:lineRule="auto"/>
        <w:rPr>
          <w:rFonts w:ascii="Arial" w:cs="Arial" w:eastAsia="Arial" w:hAnsi="Arial"/>
          <w:sz w:val="18"/>
          <w:szCs w:val="18"/>
          <w:color w:val="auto"/>
        </w:rPr>
      </w:pPr>
      <w:r>
        <w:rPr>
          <w:rFonts w:ascii="Arial" w:cs="Arial" w:eastAsia="Arial" w:hAnsi="Arial"/>
          <w:sz w:val="17"/>
          <w:szCs w:val="17"/>
          <w:i w:val="1"/>
          <w:iCs w:val="1"/>
          <w:color w:val="auto"/>
        </w:rPr>
        <w:t>The Company holds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RSUs or any other entitlement to Shares awarded, canceled, purchased, vested, unvested or outstanding in the Participant’s favor, for the purpose of managing and administering the Plan (“Data”).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logistics and procedures strictly correlated to the purposes for which the Data is collected and with confidentiality and security provisions as set forth by applicable laws and regulations in the Participant’s country of residence. Data processing operations will be performed minimizing the use of personal and identification data when such operations are unnecessary for the processing purposes sought. The Data will be accessible within the Company’s organization only by those persons requiring access for purposes of the implementation, administration and operation of the Plan and for the Participant’s participation in the Plan.</w:t>
      </w:r>
    </w:p>
    <w:p>
      <w:pPr>
        <w:spacing w:after="0" w:line="128" w:lineRule="exact"/>
        <w:rPr>
          <w:rFonts w:ascii="Arial" w:cs="Arial" w:eastAsia="Arial" w:hAnsi="Arial"/>
          <w:sz w:val="18"/>
          <w:szCs w:val="18"/>
          <w:color w:val="auto"/>
        </w:rPr>
      </w:pPr>
    </w:p>
    <w:p>
      <w:pPr>
        <w:jc w:val="both"/>
        <w:ind w:left="328"/>
        <w:spacing w:after="0" w:line="291" w:lineRule="auto"/>
        <w:rPr>
          <w:rFonts w:ascii="Arial" w:cs="Arial" w:eastAsia="Arial" w:hAnsi="Arial"/>
          <w:sz w:val="18"/>
          <w:szCs w:val="18"/>
          <w:color w:val="auto"/>
        </w:rPr>
      </w:pPr>
      <w:r>
        <w:rPr>
          <w:rFonts w:ascii="Arial" w:cs="Arial" w:eastAsia="Arial" w:hAnsi="Arial"/>
          <w:sz w:val="16"/>
          <w:szCs w:val="16"/>
          <w:i w:val="1"/>
          <w:iCs w:val="1"/>
          <w:color w:val="auto"/>
        </w:rPr>
        <w:t>The Company will transfer Data as necessary for the purpose of implementation, administration and management of the Participant’s participation in the Plan, and the Company may further transfer Data to any third parties assisting the Company in the implementation, administration and management of the Plan. These recipients may be located in the United States, the European Economic Area, or elsewhere throughout the world. The Participant hereby authorizes (where required under applicable law) the recipients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347" w:lineRule="exact"/>
        <w:rPr>
          <w:sz w:val="20"/>
          <w:szCs w:val="20"/>
          <w:color w:val="auto"/>
        </w:rPr>
      </w:pPr>
    </w:p>
    <w:p>
      <w:pPr>
        <w:ind w:left="4548"/>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88"/>
          </w:cols>
          <w:pgMar w:left="572" w:top="1178" w:right="239" w:bottom="1440" w:gutter="0" w:footer="0" w:header="0"/>
        </w:sectPr>
      </w:pPr>
    </w:p>
    <w:bookmarkStart w:id="96" w:name="page97"/>
    <w:bookmarkEnd w:id="96"/>
    <w:p>
      <w:pPr>
        <w:jc w:val="both"/>
        <w:ind w:left="328"/>
        <w:spacing w:after="0" w:line="29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The Participant may, at any time, exercise the Participant’s rights provided under applicable personal data protection laws, which may include the right to (a) obtain confirmation as to the existence of the Data, (b) verify the content, origin and accuracy of the Data, (c) request the integration, update, amendment, deletion, or blockage (for breach of applicable laws) of the Data, and (d) to oppose, for legal reasons, the collection, processing or transfer of the Data which is not necessary or required for the implementation, administration and/or operation of the Plan and the Participant’s participation in the Plan. The Participant may seek to exercise these rights by contacting the Participant’s local HR manager.</w:t>
      </w:r>
    </w:p>
    <w:p>
      <w:pPr>
        <w:spacing w:after="0" w:line="104" w:lineRule="exact"/>
        <w:rPr>
          <w:sz w:val="20"/>
          <w:szCs w:val="20"/>
          <w:color w:val="auto"/>
        </w:rPr>
      </w:pPr>
    </w:p>
    <w:p>
      <w:pPr>
        <w:jc w:val="both"/>
        <w:ind w:left="328" w:hanging="328"/>
        <w:spacing w:after="0" w:line="255" w:lineRule="auto"/>
        <w:tabs>
          <w:tab w:leader="none" w:pos="32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Repatriation and Other Legal Requirements</w:t>
      </w:r>
      <w:r>
        <w:rPr>
          <w:rFonts w:ascii="Arial" w:cs="Arial" w:eastAsia="Arial" w:hAnsi="Arial"/>
          <w:sz w:val="18"/>
          <w:szCs w:val="18"/>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35" w:lineRule="exact"/>
        <w:rPr>
          <w:rFonts w:ascii="Arial" w:cs="Arial" w:eastAsia="Arial" w:hAnsi="Arial"/>
          <w:sz w:val="18"/>
          <w:szCs w:val="18"/>
          <w:color w:val="auto"/>
        </w:rPr>
      </w:pPr>
    </w:p>
    <w:p>
      <w:pPr>
        <w:ind w:left="328" w:hanging="328"/>
        <w:spacing w:after="0"/>
        <w:tabs>
          <w:tab w:leader="none" w:pos="32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48" w:hanging="324"/>
        <w:spacing w:after="0" w:line="257" w:lineRule="auto"/>
        <w:tabs>
          <w:tab w:leader="none" w:pos="648"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No Rights to Employment</w:t>
      </w:r>
      <w:r>
        <w:rPr>
          <w:rFonts w:ascii="Arial" w:cs="Arial" w:eastAsia="Arial" w:hAnsi="Arial"/>
          <w:sz w:val="18"/>
          <w:szCs w:val="18"/>
          <w:color w:val="auto"/>
        </w:rPr>
        <w:t>. The grant of the RSUs shall not confer upon the Participant any right to continue in the employ of the Company or the Employer, nor limit in any way the right of the Company or the Employer to terminate the Participant’s employment at any time. Except in the event of a termination of employment due to death or Disability,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34" w:lineRule="exact"/>
        <w:rPr>
          <w:rFonts w:ascii="Arial" w:cs="Arial" w:eastAsia="Arial" w:hAnsi="Arial"/>
          <w:sz w:val="18"/>
          <w:szCs w:val="18"/>
          <w:color w:val="auto"/>
        </w:rPr>
      </w:pPr>
    </w:p>
    <w:p>
      <w:pPr>
        <w:jc w:val="both"/>
        <w:ind w:left="648" w:hanging="324"/>
        <w:spacing w:after="0" w:line="290" w:lineRule="auto"/>
        <w:tabs>
          <w:tab w:leader="none" w:pos="648"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Discretionary Nature</w:t>
      </w:r>
      <w:r>
        <w:rPr>
          <w:rFonts w:ascii="Arial" w:cs="Arial" w:eastAsia="Arial" w:hAnsi="Arial"/>
          <w:sz w:val="16"/>
          <w:szCs w:val="16"/>
          <w:color w:val="auto"/>
        </w:rPr>
        <w:t>. The Participant acknowledges and agrees that the Plan is discretionary in nature and may be amended, cancelled, or terminated by the Company at any time, to the extend permitted under the Plan.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RSUs and income from such RSUs shall not be included in any calculation of severance, resignation, redundancy, end of service payments, bonuses, long-service awards, pension, or retirement benefits or similar payments.</w:t>
      </w:r>
    </w:p>
    <w:p>
      <w:pPr>
        <w:spacing w:after="0" w:line="112" w:lineRule="exact"/>
        <w:rPr>
          <w:rFonts w:ascii="Arial" w:cs="Arial" w:eastAsia="Arial" w:hAnsi="Arial"/>
          <w:sz w:val="16"/>
          <w:szCs w:val="16"/>
          <w:color w:val="auto"/>
        </w:rPr>
      </w:pPr>
    </w:p>
    <w:p>
      <w:pPr>
        <w:jc w:val="both"/>
        <w:ind w:left="648" w:hanging="324"/>
        <w:spacing w:after="0" w:line="257" w:lineRule="auto"/>
        <w:tabs>
          <w:tab w:leader="none" w:pos="648"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Exclusion from Termination Indemnities and Other Benefits</w:t>
      </w:r>
      <w:r>
        <w:rPr>
          <w:rFonts w:ascii="Arial" w:cs="Arial" w:eastAsia="Arial" w:hAnsi="Arial"/>
          <w:sz w:val="18"/>
          <w:szCs w:val="18"/>
          <w:color w:val="auto"/>
        </w:rPr>
        <w:t>. This Section 10(c)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and the income and value of same, is not part of normal or expected compensation. Further, the RSUs and the Shares are not intended to replace any pension rights or compensation.</w:t>
      </w:r>
    </w:p>
    <w:p>
      <w:pPr>
        <w:spacing w:after="0" w:line="134" w:lineRule="exact"/>
        <w:rPr>
          <w:rFonts w:ascii="Arial" w:cs="Arial" w:eastAsia="Arial" w:hAnsi="Arial"/>
          <w:sz w:val="18"/>
          <w:szCs w:val="18"/>
          <w:color w:val="auto"/>
        </w:rPr>
      </w:pPr>
    </w:p>
    <w:p>
      <w:pPr>
        <w:jc w:val="both"/>
        <w:ind w:left="648" w:hanging="324"/>
        <w:spacing w:after="0" w:line="255" w:lineRule="auto"/>
        <w:tabs>
          <w:tab w:leader="none" w:pos="648"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No Entitlement</w:t>
      </w:r>
      <w:r>
        <w:rPr>
          <w:rFonts w:ascii="Arial" w:cs="Arial" w:eastAsia="Arial" w:hAnsi="Arial"/>
          <w:sz w:val="18"/>
          <w:szCs w:val="18"/>
          <w:color w:val="auto"/>
        </w:rPr>
        <w:t>. This Section 10(d) applies if the Participant resides outside the U.S.: In consideration of the grant of RSUs, no claim or entitlement to compensation or damages shall arise from forfeiture of the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35" w:lineRule="exact"/>
        <w:rPr>
          <w:rFonts w:ascii="Arial" w:cs="Arial" w:eastAsia="Arial" w:hAnsi="Arial"/>
          <w:sz w:val="18"/>
          <w:szCs w:val="18"/>
          <w:color w:val="auto"/>
        </w:rPr>
      </w:pPr>
    </w:p>
    <w:p>
      <w:pPr>
        <w:jc w:val="both"/>
        <w:ind w:left="648" w:hanging="324"/>
        <w:spacing w:after="0" w:line="259" w:lineRule="auto"/>
        <w:tabs>
          <w:tab w:leader="none" w:pos="648"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Exchange Rates</w:t>
      </w:r>
      <w:r>
        <w:rPr>
          <w:rFonts w:ascii="Arial" w:cs="Arial" w:eastAsia="Arial" w:hAnsi="Arial"/>
          <w:sz w:val="18"/>
          <w:szCs w:val="18"/>
          <w:color w:val="auto"/>
        </w:rPr>
        <w:t>. This Section 10(e)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32" w:lineRule="exact"/>
        <w:rPr>
          <w:rFonts w:ascii="Arial" w:cs="Arial" w:eastAsia="Arial" w:hAnsi="Arial"/>
          <w:sz w:val="18"/>
          <w:szCs w:val="18"/>
          <w:color w:val="auto"/>
        </w:rPr>
      </w:pPr>
    </w:p>
    <w:p>
      <w:pPr>
        <w:ind w:left="648" w:hanging="324"/>
        <w:spacing w:after="0"/>
        <w:tabs>
          <w:tab w:leader="none" w:pos="648"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Future Value of Shares</w:t>
      </w:r>
      <w:r>
        <w:rPr>
          <w:rFonts w:ascii="Arial" w:cs="Arial" w:eastAsia="Arial" w:hAnsi="Arial"/>
          <w:sz w:val="17"/>
          <w:szCs w:val="17"/>
          <w:color w:val="auto"/>
        </w:rPr>
        <w:t>. The future value of the underlying Shares is unknown, indeterminable, and cannot be predicted with certainty.</w:t>
      </w:r>
    </w:p>
    <w:p>
      <w:pPr>
        <w:spacing w:after="0" w:line="200" w:lineRule="exact"/>
        <w:rPr>
          <w:sz w:val="20"/>
          <w:szCs w:val="20"/>
          <w:color w:val="auto"/>
        </w:rPr>
      </w:pPr>
    </w:p>
    <w:p>
      <w:pPr>
        <w:spacing w:after="0" w:line="217" w:lineRule="exact"/>
        <w:rPr>
          <w:sz w:val="20"/>
          <w:szCs w:val="20"/>
          <w:color w:val="auto"/>
        </w:rPr>
      </w:pPr>
    </w:p>
    <w:p>
      <w:pPr>
        <w:ind w:left="4548"/>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88"/>
          </w:cols>
          <w:pgMar w:left="572" w:top="1179" w:right="239" w:bottom="1440" w:gutter="0" w:footer="0" w:header="0"/>
        </w:sectPr>
      </w:pPr>
    </w:p>
    <w:bookmarkStart w:id="97" w:name="page98"/>
    <w:bookmarkEnd w:id="97"/>
    <w:p>
      <w:pPr>
        <w:ind w:left="324" w:hanging="324"/>
        <w:spacing w:after="0" w:line="308" w:lineRule="auto"/>
        <w:tabs>
          <w:tab w:leader="none" w:pos="324"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92" w:lineRule="exact"/>
        <w:rPr>
          <w:rFonts w:ascii="Arial" w:cs="Arial" w:eastAsia="Arial" w:hAnsi="Arial"/>
          <w:sz w:val="17"/>
          <w:szCs w:val="17"/>
          <w:color w:val="auto"/>
        </w:rPr>
      </w:pPr>
    </w:p>
    <w:p>
      <w:pPr>
        <w:jc w:val="both"/>
        <w:ind w:left="324" w:hanging="324"/>
        <w:spacing w:after="0" w:line="264" w:lineRule="auto"/>
        <w:tabs>
          <w:tab w:leader="none" w:pos="32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27" w:lineRule="exact"/>
        <w:rPr>
          <w:rFonts w:ascii="Arial" w:cs="Arial" w:eastAsia="Arial" w:hAnsi="Arial"/>
          <w:sz w:val="18"/>
          <w:szCs w:val="18"/>
          <w:color w:val="auto"/>
        </w:rPr>
      </w:pPr>
    </w:p>
    <w:p>
      <w:pPr>
        <w:jc w:val="both"/>
        <w:ind w:left="324" w:hanging="324"/>
        <w:spacing w:after="0" w:line="276" w:lineRule="auto"/>
        <w:tabs>
          <w:tab w:leader="none" w:pos="324"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Three Technology Way, Norwood, Massachusetts, 02062, Attention: Chief Financial Officer. Each notice to the Participant shall be addressed to the Participant at the Participant’s last known mailing or email address, as applicable, on the records of the Company.</w:t>
      </w:r>
    </w:p>
    <w:p>
      <w:pPr>
        <w:spacing w:after="0" w:line="118" w:lineRule="exact"/>
        <w:rPr>
          <w:rFonts w:ascii="Arial" w:cs="Arial" w:eastAsia="Arial" w:hAnsi="Arial"/>
          <w:sz w:val="17"/>
          <w:szCs w:val="17"/>
          <w:color w:val="auto"/>
        </w:rPr>
      </w:pPr>
    </w:p>
    <w:p>
      <w:pPr>
        <w:ind w:left="324" w:hanging="324"/>
        <w:spacing w:after="0" w:line="277" w:lineRule="auto"/>
        <w:tabs>
          <w:tab w:leader="none" w:pos="32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Pronouns</w:t>
      </w:r>
      <w:r>
        <w:rPr>
          <w:rFonts w:ascii="Arial" w:cs="Arial" w:eastAsia="Arial" w:hAnsi="Arial"/>
          <w:sz w:val="18"/>
          <w:szCs w:val="18"/>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6"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constitute the entire understanding between the parties, and supersede all prior agreements and understandings, relating to the subject matter of these documents.</w:t>
      </w:r>
    </w:p>
    <w:p>
      <w:pPr>
        <w:spacing w:after="0" w:line="116"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Commonwealth of Massachusetts without regard to any applicable conflicts of laws.</w:t>
      </w:r>
    </w:p>
    <w:p>
      <w:pPr>
        <w:spacing w:after="0" w:line="116" w:lineRule="exact"/>
        <w:rPr>
          <w:rFonts w:ascii="Arial" w:cs="Arial" w:eastAsia="Arial" w:hAnsi="Arial"/>
          <w:sz w:val="18"/>
          <w:szCs w:val="18"/>
          <w:color w:val="auto"/>
        </w:rPr>
      </w:pPr>
    </w:p>
    <w:p>
      <w:pPr>
        <w:jc w:val="both"/>
        <w:ind w:left="324" w:hanging="324"/>
        <w:spacing w:after="0" w:line="270" w:lineRule="auto"/>
        <w:tabs>
          <w:tab w:leader="none" w:pos="324"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with the SEC or any state or foreign securities commission or to seek approval or clearance from any governmental authority for the issuance or sale of the Shares.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23" w:lineRule="exact"/>
        <w:rPr>
          <w:rFonts w:ascii="Arial" w:cs="Arial" w:eastAsia="Arial" w:hAnsi="Arial"/>
          <w:sz w:val="17"/>
          <w:szCs w:val="17"/>
          <w:color w:val="auto"/>
        </w:rPr>
      </w:pPr>
    </w:p>
    <w:p>
      <w:pPr>
        <w:ind w:left="324" w:hanging="324"/>
        <w:spacing w:after="0" w:line="277" w:lineRule="auto"/>
        <w:tabs>
          <w:tab w:leader="none" w:pos="32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16"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Participant’s Acceptance</w:t>
      </w:r>
      <w:r>
        <w:rPr>
          <w:rFonts w:ascii="Arial" w:cs="Arial" w:eastAsia="Arial" w:hAnsi="Arial"/>
          <w:sz w:val="18"/>
          <w:szCs w:val="18"/>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32"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32" w:lineRule="exact"/>
        <w:rPr>
          <w:rFonts w:ascii="Arial" w:cs="Arial" w:eastAsia="Arial" w:hAnsi="Arial"/>
          <w:sz w:val="18"/>
          <w:szCs w:val="18"/>
          <w:color w:val="auto"/>
        </w:rPr>
      </w:pPr>
    </w:p>
    <w:p>
      <w:pPr>
        <w:jc w:val="both"/>
        <w:ind w:left="324" w:hanging="324"/>
        <w:spacing w:after="0" w:line="279" w:lineRule="auto"/>
        <w:tabs>
          <w:tab w:leader="none" w:pos="324"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English Language</w:t>
      </w:r>
      <w:r>
        <w:rPr>
          <w:rFonts w:ascii="Arial" w:cs="Arial" w:eastAsia="Arial" w:hAnsi="Arial"/>
          <w:sz w:val="17"/>
          <w:szCs w:val="17"/>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117" w:lineRule="exact"/>
        <w:rPr>
          <w:rFonts w:ascii="Arial" w:cs="Arial" w:eastAsia="Arial" w:hAnsi="Arial"/>
          <w:sz w:val="17"/>
          <w:szCs w:val="17"/>
          <w:color w:val="auto"/>
        </w:rPr>
      </w:pPr>
    </w:p>
    <w:p>
      <w:pPr>
        <w:jc w:val="both"/>
        <w:ind w:left="324" w:hanging="324"/>
        <w:spacing w:after="0" w:line="259" w:lineRule="auto"/>
        <w:tabs>
          <w:tab w:leader="none" w:pos="32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Appendix A</w:t>
      </w:r>
      <w:r>
        <w:rPr>
          <w:rFonts w:ascii="Arial" w:cs="Arial" w:eastAsia="Arial" w:hAnsi="Arial"/>
          <w:sz w:val="18"/>
          <w:szCs w:val="18"/>
          <w:color w:val="auto"/>
        </w:rPr>
        <w:t>. Notwithstanding any provisions herein to the contrary, if the Participant transfers the Participant’s residence and/or employment to a country other than the United States, the RSUs shall be subject to any special terms and conditions for such country as may be set forth in Appendix A to this Agreement. Moreover, if the Participant relocates to one of the countries included in Appendix A, the special terms and conditions for such country will apply to the</w:t>
      </w:r>
    </w:p>
    <w:p>
      <w:pPr>
        <w:spacing w:after="0" w:line="367" w:lineRule="exact"/>
        <w:rPr>
          <w:sz w:val="20"/>
          <w:szCs w:val="20"/>
          <w:color w:val="auto"/>
        </w:rPr>
      </w:pPr>
    </w:p>
    <w:p>
      <w:pPr>
        <w:ind w:left="4224"/>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764"/>
          </w:cols>
          <w:pgMar w:left="896" w:top="1179" w:right="239" w:bottom="1440" w:gutter="0" w:footer="0" w:header="0"/>
        </w:sectPr>
      </w:pPr>
    </w:p>
    <w:bookmarkStart w:id="98" w:name="page99"/>
    <w:bookmarkEnd w:id="98"/>
    <w:p>
      <w:pPr>
        <w:ind w:left="760"/>
        <w:spacing w:after="0" w:line="32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89" w:lineRule="exact"/>
        <w:rPr>
          <w:sz w:val="20"/>
          <w:szCs w:val="20"/>
          <w:color w:val="auto"/>
        </w:rPr>
      </w:pPr>
    </w:p>
    <w:p>
      <w:pPr>
        <w:jc w:val="both"/>
        <w:ind w:left="760" w:hanging="324"/>
        <w:spacing w:after="0" w:line="279" w:lineRule="auto"/>
        <w:tabs>
          <w:tab w:leader="none" w:pos="76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Additional Requirements</w:t>
      </w:r>
      <w:r>
        <w:rPr>
          <w:rFonts w:ascii="Arial" w:cs="Arial" w:eastAsia="Arial" w:hAnsi="Arial"/>
          <w:sz w:val="17"/>
          <w:szCs w:val="17"/>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7" w:lineRule="exact"/>
        <w:rPr>
          <w:rFonts w:ascii="Arial" w:cs="Arial" w:eastAsia="Arial" w:hAnsi="Arial"/>
          <w:sz w:val="17"/>
          <w:szCs w:val="17"/>
          <w:color w:val="auto"/>
        </w:rPr>
      </w:pPr>
    </w:p>
    <w:p>
      <w:pPr>
        <w:jc w:val="both"/>
        <w:ind w:left="760" w:hanging="324"/>
        <w:spacing w:after="0" w:line="259" w:lineRule="auto"/>
        <w:tabs>
          <w:tab w:leader="none" w:pos="76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The Company has submitted filings in the United States in connection with the stock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32" w:lineRule="exact"/>
        <w:rPr>
          <w:rFonts w:ascii="Arial" w:cs="Arial" w:eastAsia="Arial" w:hAnsi="Arial"/>
          <w:sz w:val="18"/>
          <w:szCs w:val="18"/>
          <w:color w:val="auto"/>
        </w:rPr>
      </w:pPr>
    </w:p>
    <w:p>
      <w:pPr>
        <w:jc w:val="both"/>
        <w:ind w:left="760" w:hanging="324"/>
        <w:spacing w:after="0" w:line="259" w:lineRule="auto"/>
        <w:tabs>
          <w:tab w:leader="none" w:pos="76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the Company.</w:t>
      </w:r>
    </w:p>
    <w:p>
      <w:pPr>
        <w:spacing w:after="0" w:line="132" w:lineRule="exact"/>
        <w:rPr>
          <w:rFonts w:ascii="Arial" w:cs="Arial" w:eastAsia="Arial" w:hAnsi="Arial"/>
          <w:sz w:val="18"/>
          <w:szCs w:val="18"/>
          <w:color w:val="auto"/>
        </w:rPr>
      </w:pPr>
    </w:p>
    <w:p>
      <w:pPr>
        <w:jc w:val="both"/>
        <w:ind w:left="760" w:hanging="324"/>
        <w:spacing w:after="0" w:line="259" w:lineRule="auto"/>
        <w:tabs>
          <w:tab w:leader="none" w:pos="76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the Participant’s participation in the Plan, or the Participant’s acquisition or sale of Shares. The Participant is hereby advised to consult with his or her own personal tax, legal and financial advisors regarding his or her participation in the Plan before taking any action related to the Plan.</w:t>
      </w:r>
    </w:p>
    <w:p>
      <w:pPr>
        <w:spacing w:after="0" w:line="132" w:lineRule="exact"/>
        <w:rPr>
          <w:rFonts w:ascii="Arial" w:cs="Arial" w:eastAsia="Arial" w:hAnsi="Arial"/>
          <w:sz w:val="18"/>
          <w:szCs w:val="18"/>
          <w:color w:val="auto"/>
        </w:rPr>
      </w:pPr>
    </w:p>
    <w:p>
      <w:pPr>
        <w:ind w:left="760" w:hanging="324"/>
        <w:spacing w:after="0" w:line="308" w:lineRule="auto"/>
        <w:tabs>
          <w:tab w:leader="none" w:pos="76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25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Ray Stata</w:t>
      </w:r>
      <w:r>
        <w:rPr>
          <w:sz w:val="20"/>
          <w:szCs w:val="20"/>
          <w:color w:val="auto"/>
        </w:rPr>
        <w:tab/>
      </w:r>
      <w:r>
        <w:rPr>
          <w:rFonts w:ascii="Arial" w:cs="Arial" w:eastAsia="Arial" w:hAnsi="Arial"/>
          <w:sz w:val="16"/>
          <w:szCs w:val="16"/>
          <w:color w:val="auto"/>
        </w:rPr>
        <w:t>Vincent Roche</w:t>
      </w:r>
    </w:p>
    <w:p>
      <w:pPr>
        <w:spacing w:after="0"/>
        <w:tabs>
          <w:tab w:leader="none" w:pos="2000" w:val="left"/>
        </w:tabs>
        <w:rPr>
          <w:sz w:val="20"/>
          <w:szCs w:val="20"/>
          <w:color w:val="auto"/>
        </w:rPr>
      </w:pPr>
      <w:r>
        <w:rPr>
          <w:rFonts w:ascii="Arial" w:cs="Arial" w:eastAsia="Arial" w:hAnsi="Arial"/>
          <w:sz w:val="18"/>
          <w:szCs w:val="18"/>
          <w:color w:val="auto"/>
        </w:rPr>
        <w:t>Chairman of the Board</w:t>
      </w:r>
      <w:r>
        <w:rPr>
          <w:sz w:val="20"/>
          <w:szCs w:val="20"/>
          <w:color w:val="auto"/>
        </w:rPr>
        <w:tab/>
      </w:r>
      <w:r>
        <w:rPr>
          <w:rFonts w:ascii="Arial" w:cs="Arial" w:eastAsia="Arial" w:hAnsi="Arial"/>
          <w:sz w:val="16"/>
          <w:szCs w:val="16"/>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00"/>
          </w:cols>
          <w:pgMar w:left="460" w:top="1205" w:right="239" w:bottom="1440" w:gutter="0" w:footer="0" w:header="0"/>
        </w:sectPr>
      </w:pPr>
    </w:p>
    <w:bookmarkStart w:id="99" w:name="page100"/>
    <w:bookmarkEnd w:id="99"/>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APPENDIX A TO</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Appendix A includes additional terms and conditions that govern the RSUs granted to the Participant if the Participant resides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December 2013.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is general in nature and may not apply to the Participant’s particular situation, and the Company is not in a position to assure the Participant of any particular result. Therefore, the Participant is advised to seek appropriate professional advice as to how the relevant laws in the Participant’s country may apply to his or her situation.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Finally, the Participant understands that if he or she is a citizen or resident of a country other than the one in which the Participant is currently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If the Participant acquires Shares pursuant to the Plan and the Participant offers his or her Shares for sale to a person or entity resident in Australia, the Participant’s offer may be subject to disclosure requirements under Australian law. The Participant should obtain legal advice on his or her disclosure obligations prior to making any such offer.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AUSTRIA</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u w:val="single" w:color="auto"/>
          <w:color w:val="auto"/>
        </w:rPr>
        <w:t>Consumer Protection Information</w:t>
      </w:r>
      <w:r>
        <w:rPr>
          <w:rFonts w:ascii="Arial" w:cs="Arial" w:eastAsia="Arial" w:hAnsi="Arial"/>
          <w:sz w:val="17"/>
          <w:szCs w:val="17"/>
          <w:color w:val="auto"/>
        </w:rPr>
        <w:t>. The Participant may be entitled to revoke acceptance of the Agreement on the basis of the Austrian Consumer Protection Act (the “Act”) under the conditions listed below, if the Act is considered to be applicable to the Agreement and the Plan:</w:t>
      </w:r>
    </w:p>
    <w:p>
      <w:pPr>
        <w:spacing w:after="0" w:line="147" w:lineRule="exact"/>
        <w:rPr>
          <w:sz w:val="20"/>
          <w:szCs w:val="20"/>
          <w:color w:val="auto"/>
        </w:rPr>
      </w:pPr>
    </w:p>
    <w:p>
      <w:pPr>
        <w:ind w:left="860" w:hanging="220"/>
        <w:spacing w:after="0"/>
        <w:tabs>
          <w:tab w:leader="none" w:pos="8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revocation must be made within one (1) week after acceptance of the Agreement.</w:t>
      </w:r>
    </w:p>
    <w:p>
      <w:pPr>
        <w:spacing w:after="0" w:line="225" w:lineRule="exact"/>
        <w:rPr>
          <w:rFonts w:ascii="Arial" w:cs="Arial" w:eastAsia="Arial" w:hAnsi="Arial"/>
          <w:sz w:val="18"/>
          <w:szCs w:val="18"/>
          <w:color w:val="auto"/>
        </w:rPr>
      </w:pPr>
    </w:p>
    <w:p>
      <w:pPr>
        <w:jc w:val="both"/>
        <w:ind w:left="640" w:firstLine="1297"/>
        <w:spacing w:after="0" w:line="264" w:lineRule="auto"/>
        <w:tabs>
          <w:tab w:leader="none" w:pos="220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revocation must be in written form to be valid. It is sufficient if the Participant returns the Agreement to the Company or the Company’s representative with language which can be understood as a refusal to conclude or honor the Agreement, provided the revocation is sent within the period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BELGIUM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In the event of the Participant’s termination of employment (whether or not in breach of local labor laws), the Participant’s right to receive the RSUs under the Plan, if any, will terminate as of the earlier of: (a) the termination of employment date; (b) the date upon which the Participant receives written notice of termination of employment, regardless of any notice period or period of pay in lieu of such notice mandated under the employment laws in the jurisdiction where he</w:t>
      </w:r>
    </w:p>
    <w:p>
      <w:pPr>
        <w:spacing w:after="0" w:line="218"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080"/>
          </w:cols>
          <w:pgMar w:left="580" w:top="936" w:right="239" w:bottom="1440" w:gutter="0" w:footer="0" w:header="0"/>
        </w:sectPr>
      </w:pPr>
    </w:p>
    <w:bookmarkStart w:id="100" w:name="page101"/>
    <w:bookmarkEnd w:id="100"/>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APPENDIX A TO</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3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 she is employed or the terms of his or her employment agreement, if any; or (c) the date of which the Participant is no longer actively employed or actively providing services to the Company or the Employer.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terms and conditions apply if the Participant is in Quebec: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This provision supplements Section 8 of the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subsidiary or affiliate of the Company to record such information and to keep such information in the Participant’s employee file.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French Language Acknowledgment</w:t>
      </w:r>
      <w:r>
        <w:rPr>
          <w:rFonts w:ascii="Arial" w:cs="Arial" w:eastAsia="Arial" w:hAnsi="Arial"/>
          <w:sz w:val="18"/>
          <w:szCs w:val="18"/>
          <w:color w:val="auto"/>
        </w:rPr>
        <w:t>. This provision supplements Section 10(q) of the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CHINA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following provision applies if the Participant is a People’s Republic of China (“PRC”) national residing in the PRC:</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Exchange Control Requirements</w:t>
      </w:r>
      <w:r>
        <w:rPr>
          <w:rFonts w:ascii="Arial" w:cs="Arial" w:eastAsia="Arial" w:hAnsi="Arial"/>
          <w:sz w:val="17"/>
          <w:szCs w:val="17"/>
          <w:color w:val="auto"/>
        </w:rPr>
        <w:t>. Due to exchange control laws in the PRC, Shares acquired through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90 calendar days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Participant further is required to repatriate to the PRC any dividends or dividend equivalents paid to the Participant in relation to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Tax Liability</w:t>
      </w:r>
      <w:r>
        <w:rPr>
          <w:rFonts w:ascii="Arial" w:cs="Arial" w:eastAsia="Arial" w:hAnsi="Arial"/>
          <w:sz w:val="18"/>
          <w:szCs w:val="18"/>
          <w:color w:val="auto"/>
        </w:rPr>
        <w:t>. Taxes are due at the time of vesting of the RSUs. The Participant understands and agrees that Tax-Related Items may be taken by the Employer from the Participant’s salary or other cash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DENMARK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Danish Stock Option Act</w:t>
      </w:r>
      <w:r>
        <w:rPr>
          <w:rFonts w:ascii="Arial" w:cs="Arial" w:eastAsia="Arial" w:hAnsi="Arial"/>
          <w:sz w:val="18"/>
          <w:szCs w:val="18"/>
          <w:color w:val="auto"/>
        </w:rPr>
        <w:t>. By participating in the Plan, the Participant acknowledges that he or she received an Employer Statement translated into Danish, which is being provided to comply with the Danish Stock Option Act. To the extent more favorable to the Participant, the terms set forth in the Employer Statement will apply to the Participant’s participation in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Exclusion from Termination Indemnities and Other Benefits</w:t>
      </w:r>
      <w:r>
        <w:rPr>
          <w:rFonts w:ascii="Arial" w:cs="Arial" w:eastAsia="Arial" w:hAnsi="Arial"/>
          <w:sz w:val="18"/>
          <w:szCs w:val="18"/>
          <w:color w:val="auto"/>
        </w:rPr>
        <w:t>. This provision supplements Section 10(c) in the Agreement:</w:t>
      </w:r>
    </w:p>
    <w:p>
      <w:pPr>
        <w:sectPr>
          <w:pgSz w:w="11900" w:h="16838" w:orient="portrait"/>
          <w:cols w:equalWidth="0" w:num="1">
            <w:col w:w="11080"/>
          </w:cols>
          <w:pgMar w:left="580" w:top="936" w:right="239" w:bottom="1440" w:gutter="0" w:footer="0" w:header="0"/>
        </w:sect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APPENDIX A - 2</w:t>
      </w:r>
    </w:p>
    <w:p>
      <w:pPr>
        <w:sectPr>
          <w:pgSz w:w="11900" w:h="16838" w:orient="portrait"/>
          <w:cols w:equalWidth="0" w:num="1">
            <w:col w:w="11080"/>
          </w:cols>
          <w:pgMar w:left="580" w:top="936" w:right="239" w:bottom="1440" w:gutter="0" w:footer="0" w:header="0"/>
          <w:type w:val="continuous"/>
        </w:sectPr>
      </w:pPr>
    </w:p>
    <w:bookmarkStart w:id="101" w:name="page102"/>
    <w:bookmarkEnd w:id="101"/>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APPENDIX A TO</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accepting the RSUs, the Participant acknowledges that he/she understands and agrees that this grant relates to future services to be performed and is not a bonus or compensation for past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French-Qualified RSUs</w:t>
      </w:r>
      <w:r>
        <w:rPr>
          <w:rFonts w:ascii="Arial" w:cs="Arial" w:eastAsia="Arial" w:hAnsi="Arial"/>
          <w:sz w:val="17"/>
          <w:szCs w:val="17"/>
          <w:color w:val="auto"/>
        </w:rPr>
        <w:t>. The RSUs are intended to qualify for the favorable tax and social security regime in France under Section L. 225-197-1 to L. 225-197-6-1 of the French Commercial Code, as amended. Certain events may affect the status of the RSUs as French-qualified RSUs, and the French-qualified RSUs may be disqualified in the future. The Company does not make any undertaking or representation to maintain the qualified status of the RSUs. If the RSUs no longer qualify as French-qualified RSUs, the favorable tax and social security treatment will not apply, and the Participant will be required to pay his or her portion of social security contributions resulting from the RSUs (as well as any income tax that is due).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Plan Terms</w:t>
      </w:r>
      <w:r>
        <w:rPr>
          <w:rFonts w:ascii="Arial" w:cs="Arial" w:eastAsia="Arial" w:hAnsi="Arial"/>
          <w:sz w:val="17"/>
          <w:szCs w:val="17"/>
          <w:color w:val="auto"/>
        </w:rPr>
        <w:t>. The RSUs are subject to the terms and conditions of the Plan and the Rules of the Analog Devices, Inc. Amended and Restated 2006 Stock Incentive Plan for Grants to Participant in France (the “French Sub-plan”). To the extent that any term is defined in both the Plan and the French Sub-plan, for purposes of this grant of a French-qualified RSUs, the definitions in the French Sub-plan shall prevail.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This provision supplements Section 2 in the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in the event of the Participant’s death or Disability (as defined in the French Sub-plan and Section 2(d) of the Agreement) to benefit from the favorable tax and social security regime, no vesting shall occur prior to the second anniversary of the Date of Grant, or such other minimum period as required for the vesting period applicable to French-qualified RSUs under Section L.225-197-1 of the French Commercial Code, as amended, or relevant Sections of the French Tax Code or the French Social Security Code,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This provision supplements Section 2(d) in the Agreement: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event the Participant’s employment with the Company or the Employer terminates by reason of Disability (as defined in the French Sub-plan and Section 2(d) of the Agreement), the Unvested RSUs as of the date of the Participant’s termination shall vest in full as of the date of the termination.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 on Transfer and Sale of Shares</w:t>
      </w:r>
      <w:r>
        <w:rPr>
          <w:rFonts w:ascii="Arial" w:cs="Arial" w:eastAsia="Arial" w:hAnsi="Arial"/>
          <w:sz w:val="18"/>
          <w:szCs w:val="18"/>
          <w:color w:val="auto"/>
        </w:rPr>
        <w:t>. This provision supplements Section 3 in the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Participant may not sell or transfer the Shares issued at vesting of the RSUs prior to the second anniversary of each of the respective vesting date, or such other period as is required to comply with the minimum mandatory holding period applicable to French-qualified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 as long as the RSUs and the Shares acquired at vesting of the RSUs maintain their French-qualified status, the Shares cannot be sold during certain “Closed Periods” as provided for by Section L. 225-197-1 of the French Commercial Code, as amended, and as interpreted by the French administrative guidelines, so long as these Closed Periods are applicable to Shares issued pursuant to French-qualified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191"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- 3</w:t>
      </w:r>
    </w:p>
    <w:p>
      <w:pPr>
        <w:sectPr>
          <w:pgSz w:w="11900" w:h="16838" w:orient="portrait"/>
          <w:cols w:equalWidth="0" w:num="1">
            <w:col w:w="11080"/>
          </w:cols>
          <w:pgMar w:left="580" w:top="936" w:right="239" w:bottom="1440" w:gutter="0" w:footer="0" w:header="0"/>
        </w:sectPr>
      </w:pPr>
    </w:p>
    <w:bookmarkStart w:id="102" w:name="page103"/>
    <w:bookmarkEnd w:id="102"/>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APPENDIX A TO</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This provision supplements Section 10(u) in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Certain adjustments may disqualify the RSUs, in which case they may no longer benefit from favorable tax and social security treatment in France.</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u w:val="single" w:color="auto"/>
          <w:color w:val="auto"/>
        </w:rPr>
        <w:t>Consentement a la Langue</w:t>
      </w:r>
      <w:r>
        <w:rPr>
          <w:rFonts w:ascii="Arial" w:cs="Arial" w:eastAsia="Arial" w:hAnsi="Arial"/>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HONG KONG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Warning: The RSUs and Shares do not constitute a public offering of securities under Hong Kong law and are available only to employees of the Company. The Agreement, including Appendix A,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RSUs are intended only for the personal use of each eligible employee of the Company and may not be distributed to any other person. If the Participant is in any doubt about any of the contents of the Agreement, including Appendix A or the Plan, the Participant should obtain independent professional advice.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Manner of Payment</w:t>
      </w:r>
      <w:r>
        <w:rPr>
          <w:rFonts w:ascii="Arial" w:cs="Arial" w:eastAsia="Arial" w:hAnsi="Arial"/>
          <w:sz w:val="18"/>
          <w:szCs w:val="18"/>
          <w:color w:val="auto"/>
        </w:rPr>
        <w:t>. This provision replaces Section 7 of the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 discretion in the Plan or the Agreement to the contrary, upon vesting of the RSUs, Shares will be issued to the Participant. In no event will the Award be paid to Participant in the form of cash.</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To facilitate compliance with securities laws in Hong Kong, in the event the Participant’s RSUs vest and Shares are issued to the Participant within six (6) months of the Date of Grant, the Participant agrees that he or she will not dispose of any Shares acquired prior to the six-month anniversary of the Date of Grant.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Exchange Control Notification</w:t>
      </w:r>
      <w:r>
        <w:rPr>
          <w:rFonts w:ascii="Arial" w:cs="Arial" w:eastAsia="Arial" w:hAnsi="Arial"/>
          <w:sz w:val="17"/>
          <w:szCs w:val="17"/>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IRELAND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Manner of Payment</w:t>
      </w:r>
      <w:r>
        <w:rPr>
          <w:rFonts w:ascii="Arial" w:cs="Arial" w:eastAsia="Arial" w:hAnsi="Arial"/>
          <w:sz w:val="18"/>
          <w:szCs w:val="18"/>
          <w:color w:val="auto"/>
        </w:rPr>
        <w:t>. This provision replaces Section 7 of the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 discretion in the Plan or the Agreement to the contrary, upon vesting of the RSUs, Shares will be issued to the Participant. In no event will the Award be paid to Participant in the form of cash.</w:t>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- 4</w:t>
      </w:r>
    </w:p>
    <w:p>
      <w:pPr>
        <w:sectPr>
          <w:pgSz w:w="11900" w:h="16838" w:orient="portrait"/>
          <w:cols w:equalWidth="0" w:num="1">
            <w:col w:w="11080"/>
          </w:cols>
          <w:pgMar w:left="580" w:top="936" w:right="239" w:bottom="1440" w:gutter="0" w:footer="0" w:header="0"/>
        </w:sectPr>
      </w:pPr>
    </w:p>
    <w:bookmarkStart w:id="103" w:name="page104"/>
    <w:bookmarkEnd w:id="103"/>
    <w:p>
      <w:pPr>
        <w:ind w:left="50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APPENDIX A TO</w:t>
      </w:r>
    </w:p>
    <w:p>
      <w:pPr>
        <w:spacing w:after="0" w:line="167"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Exclusion from Termination Indemnities and Other Benefits</w:t>
      </w:r>
      <w:r>
        <w:rPr>
          <w:rFonts w:ascii="Arial" w:cs="Arial" w:eastAsia="Arial" w:hAnsi="Arial"/>
          <w:sz w:val="18"/>
          <w:szCs w:val="18"/>
          <w:color w:val="auto"/>
        </w:rPr>
        <w:t>. This provision supplements Section 10(c) of the Agreement:</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By accepting the RSUs, the Participant acknowledges, understands, and agrees that the benefits received under the Plan will not be taken into account for any redundancy or unfair dismissal claim.</w:t>
      </w:r>
    </w:p>
    <w:p>
      <w:pPr>
        <w:spacing w:after="0" w:line="170"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u w:val="single" w:color="auto"/>
          <w:color w:val="auto"/>
        </w:rPr>
        <w:t>Director Notification</w:t>
      </w:r>
      <w:r>
        <w:rPr>
          <w:rFonts w:ascii="Arial" w:cs="Arial" w:eastAsia="Arial" w:hAnsi="Arial"/>
          <w:sz w:val="18"/>
          <w:szCs w:val="18"/>
          <w:color w:val="auto"/>
        </w:rPr>
        <w:t>. If the Participant is a director, shadow director</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or secretary of an Irish subsidiary of the Company, the Participant is subject to certain notification requirements under Section 53 of the Companies Act, 1990. Among these requirements is an obligation to notify the Irish affiliate in writing within five (5) business days when the Participant receives an interest (e.g., RSUs, Shares) in the Company and the number and class of shares or rights to which the interest relates. In addition, the Participant must notify the Irish subsidiary within five (5) business days when the Participant sells Shares acquired under the Plan. This notification requirement also applies to any rights or Shares acquired by the Participant's spouse or children (under the age of 18).</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ISRAEL</w:t>
      </w:r>
    </w:p>
    <w:p>
      <w:pPr>
        <w:spacing w:after="0" w:line="229"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u w:val="single" w:color="auto"/>
          <w:color w:val="auto"/>
        </w:rPr>
        <w:t>Trust Arrangement</w:t>
      </w:r>
      <w:r>
        <w:rPr>
          <w:rFonts w:ascii="Arial" w:cs="Arial" w:eastAsia="Arial" w:hAnsi="Arial"/>
          <w:sz w:val="17"/>
          <w:szCs w:val="17"/>
          <w:color w:val="auto"/>
        </w:rPr>
        <w:t>. The Participant hereby understands and agrees that the RSUs are offered subject to and in accordance with the terms of the Israeli Sub-Plan (the “Sub-Plan”) under the 102 Capital Gains Track (as defined in the Sub-Plan), the Trust Agreement between the trustee appointed by Analog Devices, (Israel) Ltd. (the “Trustee”), the Agreement, and the Plan. In the event of any inconsistencies among the Sub-Plan, the Agreement and/or the Plan, the Participant agrees that the Sub-Plan will govern the RSUs granted to the Participant in Israel.</w:t>
      </w:r>
    </w:p>
    <w:p>
      <w:pPr>
        <w:spacing w:after="0" w:line="171"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If the Participant resides in Israel, then the Participant must print, sign and deliver the signed copy of the Israeli Appendix within 45 days to: Stock Plan Administrator, Treasury Department, Analog Devices, Inc., One Technology Way, Norwood, Massachusetts, 02062 USA. If Analog Devices, (Israel) Ltd. or Analog Devices, Inc. does not receive the signed Israeli Appendix within 45 days, the RSUs shall terminate and will become null and void.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This provision supplements Section 2(a) in the Agreement:</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Shares issued upon vesting of the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This provision supplements Section 3(a) in the Agreement:</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Trustee shall not alienate, sale, exchange, transfer, assign, pledge, or otherwise encumber the RSUs or the Shares for the Participant, except as permitted under the Sub-Plan and the terms of Section 102 (as defined in the Sub-Plan), or in the case of death, the Participant’s heirs, except by will or by the laws of descent and distribution.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Manner of Payment</w:t>
      </w:r>
      <w:r>
        <w:rPr>
          <w:rFonts w:ascii="Arial" w:cs="Arial" w:eastAsia="Arial" w:hAnsi="Arial"/>
          <w:sz w:val="18"/>
          <w:szCs w:val="18"/>
          <w:color w:val="auto"/>
        </w:rPr>
        <w:t>. This provision replaces Section 7 of the Agreement:</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Notwithstanding any discretion in the Plan or the Agreement to the contrary, upon vesting of the RSUs, Shares will be issued to the Participant. In no event will the Award be paid to Participant in the form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left="340" w:right="660" w:hanging="8"/>
        <w:spacing w:after="0" w:line="255" w:lineRule="auto"/>
        <w:tabs>
          <w:tab w:leader="none" w:pos="421" w:val="left"/>
        </w:tabs>
        <w:numPr>
          <w:ilvl w:val="0"/>
          <w:numId w:val="128"/>
        </w:numPr>
        <w:rPr>
          <w:rFonts w:ascii="Arial" w:cs="Arial" w:eastAsia="Arial" w:hAnsi="Arial"/>
          <w:sz w:val="9"/>
          <w:szCs w:val="9"/>
          <w:color w:val="auto"/>
        </w:rPr>
      </w:pPr>
      <w:r>
        <w:rPr>
          <w:rFonts w:ascii="Arial" w:cs="Arial" w:eastAsia="Arial" w:hAnsi="Arial"/>
          <w:sz w:val="14"/>
          <w:szCs w:val="14"/>
          <w:color w:val="auto"/>
        </w:rPr>
        <w:t>A shadow director is an individual who is not on the Board of the Irish subsidiary but who has sufficient control so that the Board of the Irish subsidiary acts in accordance with the “directions or instructions” of the individual.</w:t>
      </w:r>
    </w:p>
    <w:p>
      <w:pPr>
        <w:sectPr>
          <w:pgSz w:w="11900" w:h="16838" w:orient="portrait"/>
          <w:cols w:equalWidth="0" w:num="1">
            <w:col w:w="11420"/>
          </w:cols>
          <w:pgMar w:left="240" w:top="936"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APPENDIX A - 5</w:t>
      </w:r>
    </w:p>
    <w:p>
      <w:pPr>
        <w:sectPr>
          <w:pgSz w:w="11900" w:h="16838" w:orient="portrait"/>
          <w:cols w:equalWidth="0" w:num="1">
            <w:col w:w="11420"/>
          </w:cols>
          <w:pgMar w:left="240" w:top="936" w:right="239" w:bottom="1440" w:gutter="0" w:footer="0" w:header="0"/>
          <w:type w:val="continuous"/>
        </w:sectPr>
      </w:pPr>
    </w:p>
    <w:bookmarkStart w:id="104" w:name="page105"/>
    <w:bookmarkEnd w:id="104"/>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APPENDIX A TO</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This provision replaces in its entirety Section 8 of the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The Participant understands that the Employer, the Company and any subsidiary as a data processor of the Company may hold certain personal information about the Participant, including, but not limited to, the Participant's name, home address and telephone number, date of birth, social insurance or other identification number, salary, nationality, job title, any Shares or directorships held in the Company or any subsidiary, details of all RSUs, or any other entitlement to Shares awarded, canceled, exercised, vested, unvested or outstanding in the Participant's favor, and that the Company and the Employer will process said data and other data lawfully received from third party (“Data”) for the exclusive purpose of implementing, managing and administering the Plan and complying with applicable laws, regulations and community legislation.</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The Participant also understands that providing the Company with Data is mandatory for compliance with laws and is necessary for the performance of the Plan and that the Participant's refusal to provide such Data would make it impossible for the Company to perform its contractual obligations and may affect the Participant's ability to participate in the Plan. The Controller of personal data processing is Analog Devices, Inc., with registered offices at Analog Devices, Inc., One Technology Way, Norwood, Massachusetts, 02062 U.S.A. and, pursuant to Legislative Decree no. 196/2003, its Representative in Italy for privacy purposes is Analog Devices SRL with its registered offices at Centro Direzionale Milano 2, Palazzo Bernini 20090 Segrate, Milan, Italy.</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Participant understands that Data will not be publicized, but it may be accessible by the Employer as the data processor of the Company and within the Employer’s organization by its internal and external personnel in charge of processing. Furthermore, Data may be transferred to banks, other financial institutions, or brokers involved in the management and administration of the Plan. The Participant understands that Data may also be transferred to the independent registered public accounting firm engaged by the Company, and also to the legitimate addresses under applicable laws. The Participant further understands that the Company and/or any subsidiary will transfer Data among themselves as necessary for the purpose of implementing, administering and managing the Participant's participation in the Plan, and that the Company and/or any subsidiary may each further transfer Data to third parties assisting the Company in the implementation, administration, and management of the Plan, including any requisite transfer of Data to a broker or other third party with whom the Participant may elect to deposit any Shares acquired at vesting of the RSU. Such recipients may receive, possess, use, retain, and transfer Data in electronic or other form, for the purposes of implementing, administering, and managing the Participant's participation in the Plan. The Participant understands that these recipients may be acting as controllers, processors, or persons in charge of processing, as the case may be, according to applicable privacy laws, and that they may be located in or outside the European Economic Area, such as in the United States or elsewhere, in countries that do not provide an adequate level of data protection as intended under Italian privacy law.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Participant understands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The processing activity, including communication, the transfer of Data abroad, including outside of the European Economic Area, as herein specified and pursuant to applicable laws and regulations, does not require the Participant's consent thereto, as the processing is necessary to performance of law and contractual obligations related to implementation, administration, and management of the Plan. The Participant understands that, pursuant to Section 7 of the Legislative Decree no. 196/2003, the Participant has the right at any moment to, including but not limited to, obtain confirmation that Data exist or not, access, verify their content, origin and accuracy, delete, update, integrate, correct, block or terminate, for legitimate reason, the Data processing. To exercise privacy rights the Participant should address the Employer.</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Furthermore, the Participant is aware that Data will not be used for direct-marketing purposes. In addition, Data provided can be reviewed and questions or complaints can be addressed by contacting the Participant's local human resources representative.</w:t>
      </w:r>
    </w:p>
    <w:p>
      <w:pPr>
        <w:spacing w:after="0" w:line="351"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- 6</w:t>
      </w:r>
    </w:p>
    <w:p>
      <w:pPr>
        <w:sectPr>
          <w:pgSz w:w="11900" w:h="16838" w:orient="portrait"/>
          <w:cols w:equalWidth="0" w:num="1">
            <w:col w:w="11080"/>
          </w:cols>
          <w:pgMar w:left="580" w:top="936" w:right="239" w:bottom="1440" w:gutter="0" w:footer="0" w:header="0"/>
        </w:sectPr>
      </w:pPr>
    </w:p>
    <w:bookmarkStart w:id="105" w:name="page106"/>
    <w:bookmarkEnd w:id="105"/>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APPENDIX A TO</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3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Plan Document Acknowledgment</w:t>
      </w:r>
      <w:r>
        <w:rPr>
          <w:rFonts w:ascii="Arial" w:cs="Arial" w:eastAsia="Arial" w:hAnsi="Arial"/>
          <w:sz w:val="18"/>
          <w:szCs w:val="18"/>
          <w:color w:val="auto"/>
        </w:rPr>
        <w:t>. In accepting the RSU, the Participant acknowledges that a copy of the Plan was made available to the Participant, and that the Participant has reviewed the Plan and the Agreement, including Appendix A, in their entirety and fully understand and accept all provisions of the Plan, the Agreement and Appendix 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Participant further acknowledges that he or she has read and specifically and expressly approves the following provision in the Agreement: Vesting and Conversion, Withholding Taxes, Miscellaneous, and the Data Privacy provision set forth in this Appendix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MALAYSIA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Tax-Related Items</w:t>
      </w:r>
      <w:r>
        <w:rPr>
          <w:rFonts w:ascii="Arial" w:cs="Arial" w:eastAsia="Arial" w:hAnsi="Arial"/>
          <w:sz w:val="18"/>
          <w:szCs w:val="18"/>
          <w:color w:val="auto"/>
        </w:rPr>
        <w:t>. This provision supplements Section 6 of the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Employer, the Company or one of its subsidiaries may withhold taxes in connection with the RSUs to satisfy the Participant’s Tax-Related Items liability in Malaysia. Should withholding not occur, however, the Participant acknowledges that he or she is ultimately responsible for paying any Tax-Related Items legally due by him or her in connection with the RSUs to the Inland Revenue Board of Malaysia.</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u w:val="single" w:color="auto"/>
          <w:color w:val="auto"/>
        </w:rPr>
        <w:t>Director Notification</w:t>
      </w:r>
      <w:r>
        <w:rPr>
          <w:rFonts w:ascii="Arial" w:cs="Arial" w:eastAsia="Arial" w:hAnsi="Arial"/>
          <w:sz w:val="16"/>
          <w:szCs w:val="16"/>
          <w:color w:val="auto"/>
        </w:rPr>
        <w:t>. If the Participant is a director of a subsidiary or other related company in Malaysia, then the Participant is subject to certain notification requirements under the Malaysian Companies Act, 1965.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Malaysian insider-trading rules may impact the acquisition or disposal of Shares or rights to Shares under the Plan. Under such rules, the Participant is prohibited from acquiring Shares or rights to Shares (e.g., RSUs) or selling Shares when he or she possesses information that is not generally available and which the Participant knows or should know will have a material effect on the price of the Shares once such information is generally available. By accepting this grant, the Participant acknowledges that he or she is not in possession of any material, non-publicly disclosed information regarding the Company at the time of grant and will not acquire or sell Shares when in possession of any material, non-publicly disclosed information regarding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 Entitlement</w:t>
      </w:r>
      <w:r>
        <w:rPr>
          <w:rFonts w:ascii="Arial" w:cs="Arial" w:eastAsia="Arial" w:hAnsi="Arial"/>
          <w:sz w:val="18"/>
          <w:szCs w:val="18"/>
          <w:color w:val="auto"/>
        </w:rPr>
        <w:t>. This provision supplements Section 10(d) of the Agreement: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accepting the RSU, the Participant acknowledges that the RSU is intended as an incentive for the Participant to remain employed with the Employer and is not intended as remuneration for labor performed.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Securities Law Acknowledgment</w:t>
      </w:r>
      <w:r>
        <w:rPr>
          <w:rFonts w:ascii="Arial" w:cs="Arial" w:eastAsia="Arial" w:hAnsi="Arial"/>
          <w:sz w:val="18"/>
          <w:szCs w:val="18"/>
          <w:color w:val="auto"/>
        </w:rPr>
        <w:t>. The Participant should be aware of the Dutch insider-trading rules, which may impact the sale of Shares issued upon vesting of the RSU. In particular, the Participant may be prohibited from effectuating certain transactions if he or she has inside information about the Company.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Article 5:56 of the Dutch Financial Supervision Act, anyone who has “inside information” related to an issuing company is prohibited from effectuating a transaction in securities in or from the Netherlands. “Inside information” is defined as knowledge of specific information concerning the issuing company to which the securities relate or the trade in securities issued by such company, which has not been made public and which, if published, would reasonably be expected to affect the share price,</w:t>
      </w:r>
    </w:p>
    <w:p>
      <w:pPr>
        <w:sectPr>
          <w:pgSz w:w="11900" w:h="16838" w:orient="portrait"/>
          <w:cols w:equalWidth="0" w:num="1">
            <w:col w:w="11080"/>
          </w:cols>
          <w:pgMar w:left="580" w:top="936"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APPENDIX A - 7</w:t>
      </w:r>
    </w:p>
    <w:p>
      <w:pPr>
        <w:sectPr>
          <w:pgSz w:w="11900" w:h="16838" w:orient="portrait"/>
          <w:cols w:equalWidth="0" w:num="1">
            <w:col w:w="11080"/>
          </w:cols>
          <w:pgMar w:left="580" w:top="936" w:right="239" w:bottom="1440" w:gutter="0" w:footer="0" w:header="0"/>
          <w:type w:val="continuous"/>
        </w:sectPr>
      </w:pPr>
    </w:p>
    <w:bookmarkStart w:id="106" w:name="page107"/>
    <w:bookmarkEnd w:id="106"/>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APPENDIX A TO</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3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regardless of the development of the price. The insider could be any employee of any subsidiary in the Netherlands who has inside information as described herein.</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Given the broad scope of the definition of inside information, certain employees working at a subsidiary in the Netherlands may have inside information and, thus, would be prohibited from effectuating a transaction in securities in the Netherlands at a time when the employee has such inside information.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the Participant is uncertain whether the insider-trading rules apply to him or her, then the Participant should consult with his or her personal legal advisor.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PHILIPPINES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securities being offered or sold herein have not been registered with the Philippines Securities and Exchange Commission (“PSEC”) under its Securities Regulation Code (the “SRC”).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grant of RSUs is being made pursuant to an exemption from registration under Section 10.2 of the SRC that has been approved by the PSEC.</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RSUs or the subsequent sale of any Shares acquired by the Participant. The Company is not making any representations, projections or assurances about the value of the Shares now or in the future.</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Arial" w:cs="Arial" w:eastAsia="Arial" w:hAnsi="Arial"/>
          <w:sz w:val="17"/>
          <w:szCs w:val="17"/>
          <w:i w:val="1"/>
          <w:iCs w:val="1"/>
          <w:color w:val="auto"/>
        </w:rPr>
        <w:t>If the Participant has questions with regard to the application of Philippines securities laws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disposal or sale of Shares acquired under the Plan the Participant should consult with his or her legal advisor.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ROMANIA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the Participant deposits the proceeds from the sale of Shares issued at vesting and settlement of the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SINGAPORE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The RSUs were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w:t>
      </w: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- 8</w:t>
      </w:r>
    </w:p>
    <w:p>
      <w:pPr>
        <w:sectPr>
          <w:pgSz w:w="11900" w:h="16838" w:orient="portrait"/>
          <w:cols w:equalWidth="0" w:num="1">
            <w:col w:w="11080"/>
          </w:cols>
          <w:pgMar w:left="580" w:top="936" w:right="239" w:bottom="1440" w:gutter="0" w:footer="0" w:header="0"/>
        </w:sectPr>
      </w:pPr>
    </w:p>
    <w:bookmarkStart w:id="107" w:name="page108"/>
    <w:bookmarkEnd w:id="107"/>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APPENDIX A TO</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3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Director Notification</w:t>
      </w:r>
      <w:r>
        <w:rPr>
          <w:rFonts w:ascii="Arial" w:cs="Arial" w:eastAsia="Arial" w:hAnsi="Arial"/>
          <w:sz w:val="18"/>
          <w:szCs w:val="18"/>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acquiring or disposing of any interest in the Company or any related company. In addition, a notification must be made of the Participant’s interests in the Company or any related company within two (2) business days of becoming a director.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SPAIN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 Entitlement</w:t>
      </w:r>
      <w:r>
        <w:rPr>
          <w:rFonts w:ascii="Arial" w:cs="Arial" w:eastAsia="Arial" w:hAnsi="Arial"/>
          <w:sz w:val="18"/>
          <w:szCs w:val="18"/>
          <w:color w:val="auto"/>
        </w:rPr>
        <w:t>. This provision supplements Section 10(d) of the Agreement: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throughout the world. The decision is a limited decision that is entered into upon the express assumption and condition that any RSUs will not economically or otherwise bind the Company or any of its subsidiaries on an ongoing basis. Consequently, the Participant understands that the RSUs are granted on the assumption and condition that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the vesting of the RSUs is expressly conditioned on the Participant’s continued rendering of service, such that if the Participant’s employment terminates for any reason whatsoever, the RSUs may cease vesting immediately, in whole or in part, effective on the date of the Participant’s termination of employment (unless otherwise specifically provided in Section 2 of the Agreement in the event of death or Disability). This will be the case, for example, even if (1) the Participant is considered to be unfairly dismissed without good cause;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may automatically lose any rights to RSUs that were not vested on the date of the Participant’s termination of employment, as described in the Plan and the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Participant acknowledges that he or she has read and specifically accepts the conditions referred to in Section 2 of the Agreement.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Securities Law Notification</w:t>
      </w:r>
      <w:r>
        <w:rPr>
          <w:rFonts w:ascii="Arial" w:cs="Arial" w:eastAsia="Arial" w:hAnsi="Arial"/>
          <w:sz w:val="18"/>
          <w:szCs w:val="18"/>
          <w:color w:val="auto"/>
        </w:rPr>
        <w:t>. The grant of RSUs and the Shares issued upon vesting of the RSUs are considered a private placement outside the scope of Spanish laws on public offerings and issuances of securities.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Exchange Control Notification</w:t>
      </w:r>
      <w:r>
        <w:rPr>
          <w:rFonts w:ascii="Arial" w:cs="Arial" w:eastAsia="Arial" w:hAnsi="Arial"/>
          <w:sz w:val="17"/>
          <w:szCs w:val="17"/>
          <w:color w:val="auto"/>
        </w:rPr>
        <w:t xml:space="preserve">. The Participant acknowledges that he or she must declare any Shares that are acquired under the Plan to the </w:t>
      </w:r>
      <w:r>
        <w:rPr>
          <w:rFonts w:ascii="Arial" w:cs="Arial" w:eastAsia="Arial" w:hAnsi="Arial"/>
          <w:sz w:val="17"/>
          <w:szCs w:val="17"/>
          <w:i w:val="1"/>
          <w:iCs w:val="1"/>
          <w:color w:val="auto"/>
        </w:rPr>
        <w:t>Dirección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General de Comercio e Inversiones </w:t>
      </w:r>
      <w:r>
        <w:rPr>
          <w:rFonts w:ascii="Arial" w:cs="Arial" w:eastAsia="Arial" w:hAnsi="Arial"/>
          <w:sz w:val="17"/>
          <w:szCs w:val="17"/>
          <w:color w:val="auto"/>
        </w:rPr>
        <w:t>of the Ministry of Economy and Competitiveness (the “DGCI”). After the initial declaration, the declaration must be</w:t>
      </w:r>
      <w:r>
        <w:rPr>
          <w:rFonts w:ascii="Arial" w:cs="Arial" w:eastAsia="Arial" w:hAnsi="Arial"/>
          <w:sz w:val="17"/>
          <w:szCs w:val="17"/>
          <w:i w:val="1"/>
          <w:iCs w:val="1"/>
          <w:color w:val="auto"/>
        </w:rPr>
        <w:t xml:space="preserve"> </w:t>
      </w:r>
      <w:r>
        <w:rPr>
          <w:rFonts w:ascii="Arial" w:cs="Arial" w:eastAsia="Arial" w:hAnsi="Arial"/>
          <w:sz w:val="17"/>
          <w:szCs w:val="17"/>
          <w:color w:val="auto"/>
        </w:rPr>
        <w:t>filed with the DGCI on an annual basis each January while the shares are owned; however, if the value of the Shares or the sale proceeds exceed a certain amount, a declaration must be filed within one month of the acquisition or sale, as applicable.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receiving foreign payments exceeding €50,000 derived from the Participant’s participation in the Plan (</w:t>
      </w:r>
      <w:r>
        <w:rPr>
          <w:rFonts w:ascii="Arial" w:cs="Arial" w:eastAsia="Arial" w:hAnsi="Arial"/>
          <w:sz w:val="18"/>
          <w:szCs w:val="18"/>
          <w:i w:val="1"/>
          <w:iCs w:val="1"/>
          <w:color w:val="auto"/>
        </w:rPr>
        <w:t>e.g</w:t>
      </w:r>
      <w:r>
        <w:rPr>
          <w:rFonts w:ascii="Arial" w:cs="Arial" w:eastAsia="Arial" w:hAnsi="Arial"/>
          <w:sz w:val="18"/>
          <w:szCs w:val="18"/>
          <w:color w:val="auto"/>
        </w:rPr>
        <w:t>., dividends or sales proceeds), the Participant understands that he or she must inform the financial institution receiving the payment of the basis upon which such payment is made. The Participant will need to provide the institution with certain information, including (i) the Participant’s name, address and tax identification number, (ii) the name and corporate domicile of the Company, (iii) the amount of the payment and the currency used, (iv) the country of origin, (v) the reasons for the payment, and (vi) any further information that may be required.</w:t>
      </w:r>
    </w:p>
    <w:p>
      <w:pPr>
        <w:spacing w:after="0" w:line="200" w:lineRule="exact"/>
        <w:rPr>
          <w:sz w:val="20"/>
          <w:szCs w:val="20"/>
          <w:color w:val="auto"/>
        </w:rPr>
      </w:pPr>
    </w:p>
    <w:p>
      <w:pPr>
        <w:spacing w:after="0" w:line="222"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- 9</w:t>
      </w:r>
    </w:p>
    <w:p>
      <w:pPr>
        <w:sectPr>
          <w:pgSz w:w="11900" w:h="16838" w:orient="portrait"/>
          <w:cols w:equalWidth="0" w:num="1">
            <w:col w:w="11080"/>
          </w:cols>
          <w:pgMar w:left="580" w:top="936" w:right="239" w:bottom="1440" w:gutter="0" w:footer="0" w:header="0"/>
        </w:sectPr>
      </w:pPr>
    </w:p>
    <w:bookmarkStart w:id="108" w:name="page109"/>
    <w:bookmarkEnd w:id="108"/>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APPENDIX A TO</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SWEDEN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TAIWAN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Manner of Payment</w:t>
      </w:r>
      <w:r>
        <w:rPr>
          <w:rFonts w:ascii="Arial" w:cs="Arial" w:eastAsia="Arial" w:hAnsi="Arial"/>
          <w:sz w:val="18"/>
          <w:szCs w:val="18"/>
          <w:color w:val="auto"/>
        </w:rPr>
        <w:t>. This provision replaces Section 7 of the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 discretion in the Plan or the Agreement to the contrary, upon vesting of the RSUs, Shares will be issued to the Participant. In no event will the Award be paid to Participant in the form of cash.</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Joint Election</w:t>
      </w:r>
      <w:r>
        <w:rPr>
          <w:rFonts w:ascii="Arial" w:cs="Arial" w:eastAsia="Arial" w:hAnsi="Arial"/>
          <w:sz w:val="18"/>
          <w:szCs w:val="18"/>
          <w:color w:val="auto"/>
        </w:rPr>
        <w:t>. As a condition of the grant of RSUs, the Participant agrees to accept any liability for secondary Class 1 National Insurance contributions (the “Employer NICs”) which may be payable by the Company or the Employer with respect to the vesting of the RSUs or otherwise payable with respect to a benefit derived in connection with the RSUs.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ectPr>
          <w:pgSz w:w="11900" w:h="16838" w:orient="portrait"/>
          <w:cols w:equalWidth="0" w:num="1">
            <w:col w:w="11080"/>
          </w:cols>
          <w:pgMar w:left="580" w:top="9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APPENDIX A - 10</w:t>
      </w:r>
    </w:p>
    <w:p>
      <w:pPr>
        <w:sectPr>
          <w:pgSz w:w="11900" w:h="16838" w:orient="portrait"/>
          <w:cols w:equalWidth="0" w:num="1">
            <w:col w:w="11080"/>
          </w:cols>
          <w:pgMar w:left="580" w:top="936" w:right="23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Exhibit 10.5</w:t>
      </w:r>
    </w:p>
    <w:p>
      <w:pPr>
        <w:spacing w:after="0" w:line="163" w:lineRule="exact"/>
        <w:rPr>
          <w:sz w:val="20"/>
          <w:szCs w:val="20"/>
          <w:color w:val="auto"/>
        </w:rPr>
      </w:pPr>
    </w:p>
    <w:p>
      <w:pPr>
        <w:ind w:left="2868"/>
        <w:spacing w:after="0"/>
        <w:rPr>
          <w:sz w:val="20"/>
          <w:szCs w:val="20"/>
          <w:color w:val="auto"/>
        </w:rPr>
      </w:pPr>
      <w:r>
        <w:rPr>
          <w:rFonts w:ascii="Arial" w:cs="Arial" w:eastAsia="Arial" w:hAnsi="Arial"/>
          <w:sz w:val="18"/>
          <w:szCs w:val="18"/>
          <w:b w:val="1"/>
          <w:bCs w:val="1"/>
          <w:color w:val="auto"/>
        </w:rPr>
        <w:t>AMENDED AND RESTATED 2006 STOCK INCENTIVE PLAN</w:t>
      </w:r>
    </w:p>
    <w:p>
      <w:pPr>
        <w:spacing w:after="0" w:line="27" w:lineRule="exact"/>
        <w:rPr>
          <w:sz w:val="20"/>
          <w:szCs w:val="20"/>
          <w:color w:val="auto"/>
        </w:rPr>
      </w:pPr>
    </w:p>
    <w:p>
      <w:pPr>
        <w:ind w:left="2868"/>
        <w:spacing w:after="0"/>
        <w:rPr>
          <w:sz w:val="20"/>
          <w:szCs w:val="20"/>
          <w:color w:val="auto"/>
        </w:rPr>
      </w:pPr>
      <w:r>
        <w:rPr>
          <w:rFonts w:ascii="Arial" w:cs="Arial" w:eastAsia="Arial" w:hAnsi="Arial"/>
          <w:sz w:val="18"/>
          <w:szCs w:val="18"/>
          <w:b w:val="1"/>
          <w:bCs w:val="1"/>
          <w:color w:val="auto"/>
        </w:rPr>
        <w:t>PERFORMANCE RESTRICTED STOCK UNIT AGREEMENT</w:t>
      </w:r>
    </w:p>
    <w:p>
      <w:pPr>
        <w:spacing w:after="0" w:line="207"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{EMPNAME}</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{EMPNUM}</w:t>
      </w:r>
    </w:p>
    <w:p>
      <w:pPr>
        <w:spacing w:after="0" w:line="185" w:lineRule="exact"/>
        <w:rPr>
          <w:sz w:val="20"/>
          <w:szCs w:val="20"/>
          <w:color w:val="auto"/>
        </w:rPr>
      </w:pPr>
    </w:p>
    <w:p>
      <w:pPr>
        <w:jc w:val="both"/>
        <w:ind w:left="8"/>
        <w:spacing w:after="0" w:line="255" w:lineRule="auto"/>
        <w:rPr>
          <w:sz w:val="20"/>
          <w:szCs w:val="20"/>
          <w:color w:val="auto"/>
        </w:rPr>
      </w:pPr>
      <w:r>
        <w:rPr>
          <w:rFonts w:ascii="Arial" w:cs="Arial" w:eastAsia="Arial" w:hAnsi="Arial"/>
          <w:sz w:val="18"/>
          <w:szCs w:val="18"/>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Amended and Restated 2006 Stock Incentive Plan (the “Plan”) and this Performance Restricted Stock Unit Agreement, including Appendix A, which includes additional performance-based vesting conditions, and Appendix B, which includes any applicable country-specific provisions (this agreement, together with Appendix A and Appendix B,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35" w:lineRule="exact"/>
        <w:rPr>
          <w:sz w:val="20"/>
          <w:szCs w:val="20"/>
          <w:color w:val="auto"/>
        </w:rPr>
      </w:pPr>
    </w:p>
    <w:p>
      <w:pPr>
        <w:ind w:left="328" w:hanging="328"/>
        <w:spacing w:after="0"/>
        <w:tabs>
          <w:tab w:leader="none" w:pos="328"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Performance Restricted Stock Unit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color w:val="auto"/>
        </w:rPr>
        <w:t>Subject to the terms and conditions of the Plan and this Agreement, the Company has granted to the Participant that number of Performance RSUs (the “Award”) effective on the Date of Grant set forth below:</w:t>
      </w:r>
    </w:p>
    <w:p>
      <w:pPr>
        <w:spacing w:after="0" w:line="116"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Date of Grant:   {GRANTDATE}</w:t>
      </w:r>
    </w:p>
    <w:p>
      <w:pPr>
        <w:spacing w:after="0" w:line="23" w:lineRule="exact"/>
        <w:rPr>
          <w:rFonts w:ascii="Arial" w:cs="Arial" w:eastAsia="Arial" w:hAnsi="Arial"/>
          <w:sz w:val="18"/>
          <w:szCs w:val="18"/>
          <w:color w:val="auto"/>
        </w:rPr>
      </w:pPr>
    </w:p>
    <w:p>
      <w:pPr>
        <w:ind w:left="328" w:right="4540"/>
        <w:spacing w:after="0" w:line="261" w:lineRule="auto"/>
        <w:rPr>
          <w:rFonts w:ascii="Arial" w:cs="Arial" w:eastAsia="Arial" w:hAnsi="Arial"/>
          <w:sz w:val="18"/>
          <w:szCs w:val="18"/>
          <w:color w:val="auto"/>
        </w:rPr>
      </w:pPr>
      <w:r>
        <w:rPr>
          <w:rFonts w:ascii="Arial" w:cs="Arial" w:eastAsia="Arial" w:hAnsi="Arial"/>
          <w:sz w:val="18"/>
          <w:szCs w:val="18"/>
          <w:color w:val="auto"/>
        </w:rPr>
        <w:t>Number of Performance RSUs (“Initial Grant Number”): {RSSHARESGRANTED} {RSVESTDESC} {RSVESTSCHED}</w:t>
      </w:r>
    </w:p>
    <w:p>
      <w:pPr>
        <w:spacing w:after="0" w:line="183" w:lineRule="exact"/>
        <w:rPr>
          <w:rFonts w:ascii="Arial" w:cs="Arial" w:eastAsia="Arial" w:hAnsi="Arial"/>
          <w:sz w:val="18"/>
          <w:szCs w:val="18"/>
          <w:color w:val="auto"/>
        </w:rPr>
      </w:pPr>
    </w:p>
    <w:p>
      <w:pPr>
        <w:jc w:val="both"/>
        <w:ind w:left="328"/>
        <w:spacing w:after="0" w:line="279" w:lineRule="auto"/>
        <w:rPr>
          <w:rFonts w:ascii="Arial" w:cs="Arial" w:eastAsia="Arial" w:hAnsi="Arial"/>
          <w:sz w:val="18"/>
          <w:szCs w:val="18"/>
          <w:color w:val="auto"/>
        </w:rPr>
      </w:pPr>
      <w:r>
        <w:rPr>
          <w:rFonts w:ascii="Arial" w:cs="Arial" w:eastAsia="Arial" w:hAnsi="Arial"/>
          <w:sz w:val="17"/>
          <w:szCs w:val="17"/>
          <w:color w:val="auto"/>
        </w:rPr>
        <w:t>Each one (1) Performance RSU shall, if and when it vests in accordance with this Agreement, automatically convert into one (1) share of common stock, US$0.16 2/3 par value, of the Company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Vesting and Conversion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48" w:hanging="324"/>
        <w:spacing w:after="0" w:line="269" w:lineRule="auto"/>
        <w:tabs>
          <w:tab w:leader="none" w:pos="648" w:val="left"/>
        </w:tabs>
        <w:numPr>
          <w:ilvl w:val="1"/>
          <w:numId w:val="129"/>
        </w:numPr>
        <w:rPr>
          <w:rFonts w:ascii="Arial" w:cs="Arial" w:eastAsia="Arial" w:hAnsi="Arial"/>
          <w:sz w:val="17"/>
          <w:szCs w:val="17"/>
          <w:color w:val="auto"/>
        </w:rPr>
      </w:pPr>
      <w:r>
        <w:rPr>
          <w:rFonts w:ascii="Arial" w:cs="Arial" w:eastAsia="Arial" w:hAnsi="Arial"/>
          <w:sz w:val="17"/>
          <w:szCs w:val="17"/>
          <w:color w:val="auto"/>
        </w:rPr>
        <w:t>Subject to the terms of the Plan and this Agreement, the Performance RSUs shall vest in accordance with the vesting conditions set forth in Section 1 and the performance-based vesting conditions set forth in Appendix A. For purposes of this Agreement, Performance RSUs that have not vested as of the Vesting Date in accordance with this Section 2(a) and Appendix A are referred to as “Unvested Performance RSUs.” The shares of Common Stock that are issuable upon the vesting and conversion of the Performance RSUs are referred to in this Agreement as “Shares.” As soon as administratively practicable after the issuance of any Shares upon the vesting and conversion of Performance RSUs,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25" w:lineRule="exact"/>
        <w:rPr>
          <w:rFonts w:ascii="Arial" w:cs="Arial" w:eastAsia="Arial" w:hAnsi="Arial"/>
          <w:sz w:val="17"/>
          <w:szCs w:val="17"/>
          <w:color w:val="auto"/>
        </w:rPr>
      </w:pPr>
    </w:p>
    <w:p>
      <w:pPr>
        <w:jc w:val="both"/>
        <w:ind w:left="648" w:hanging="324"/>
        <w:spacing w:after="0" w:line="259" w:lineRule="auto"/>
        <w:tabs>
          <w:tab w:leader="none" w:pos="64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32" w:lineRule="exact"/>
        <w:rPr>
          <w:rFonts w:ascii="Arial" w:cs="Arial" w:eastAsia="Arial" w:hAnsi="Arial"/>
          <w:sz w:val="18"/>
          <w:szCs w:val="18"/>
          <w:color w:val="auto"/>
        </w:rPr>
      </w:pPr>
    </w:p>
    <w:p>
      <w:pPr>
        <w:jc w:val="both"/>
        <w:ind w:left="648" w:hanging="324"/>
        <w:spacing w:after="0" w:line="264" w:lineRule="auto"/>
        <w:tabs>
          <w:tab w:leader="none" w:pos="64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As set forth in Appendix A, in the event of the Participant’s death prior to the end of the Performance Period, the Unvested Performance RSUs shall vest immediately upon death with respect to the Initial Grant Number of Shares underlying the Performance RSUs, notwithstanding that the Participant was not employed as of the Vesting Date. In</w:t>
      </w:r>
    </w:p>
    <w:p>
      <w:pPr>
        <w:spacing w:after="0" w:line="375"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88"/>
          </w:cols>
          <w:pgMar w:left="572" w:top="1179" w:right="239" w:bottom="1440" w:gutter="0" w:footer="0" w:header="0"/>
        </w:sectPr>
      </w:pPr>
    </w:p>
    <w:bookmarkStart w:id="110" w:name="page111"/>
    <w:bookmarkEnd w:id="110"/>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r>
    </w:p>
    <w:p>
      <w:pPr>
        <w:jc w:val="both"/>
        <w:ind w:left="648"/>
        <w:spacing w:after="0" w:line="311" w:lineRule="auto"/>
        <w:rPr>
          <w:sz w:val="20"/>
          <w:szCs w:val="20"/>
          <w:color w:val="auto"/>
        </w:rPr>
      </w:pPr>
      <w:r>
        <w:rPr>
          <w:rFonts w:ascii="Arial" w:cs="Arial" w:eastAsia="Arial" w:hAnsi="Arial"/>
          <w:sz w:val="18"/>
          <w:szCs w:val="18"/>
          <w:color w:val="auto"/>
        </w:rPr>
        <w:t>the event of the Participant’s death after the end of the Performance Period, the Unvested Performance RSUs shall vest with respect to the number of Shares underlying the Performance RSUs that would have vested in accordance with Appendix A had the Participant continued employment through the Vesting Date had he or she not died.</w:t>
      </w:r>
    </w:p>
    <w:p>
      <w:pPr>
        <w:spacing w:after="0" w:line="100" w:lineRule="exact"/>
        <w:rPr>
          <w:sz w:val="20"/>
          <w:szCs w:val="20"/>
          <w:color w:val="auto"/>
        </w:rPr>
      </w:pPr>
    </w:p>
    <w:p>
      <w:pPr>
        <w:jc w:val="both"/>
        <w:ind w:left="648" w:hanging="324"/>
        <w:spacing w:after="0" w:line="270" w:lineRule="auto"/>
        <w:tabs>
          <w:tab w:leader="none" w:pos="648"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As set forth in Appendix A, in the event the Participant’s employment with the Company or the Employer is terminated by reason of his or her Disability (as defined below) prior to the end of the Performance Period, the Unvested Performance RSUs shall vest immediately upon termination with respect to the Initial Grant Number of Shares underlying the Performance RSUs, notwithstanding that the Participant terminated employment prior to the Vesting Date. In the event the Participant’s employment with the Company or the Employer is terminated by reason of his or her Disability after the end of the Performance Period, the Unvested Performance RSUs shall vest with respect to the number of Shares underlying the Performance RSUs that would have vested in accordance with Appendix had the Participant continued employment through the Vesting Date. For the purpose of this Agreement, “</w:t>
      </w:r>
      <w:r>
        <w:rPr>
          <w:rFonts w:ascii="Arial" w:cs="Arial" w:eastAsia="Arial" w:hAnsi="Arial"/>
          <w:sz w:val="17"/>
          <w:szCs w:val="17"/>
          <w:u w:val="single" w:color="auto"/>
          <w:color w:val="auto"/>
        </w:rPr>
        <w:t>Disability</w:t>
      </w:r>
      <w:r>
        <w:rPr>
          <w:rFonts w:ascii="Arial" w:cs="Arial" w:eastAsia="Arial" w:hAnsi="Arial"/>
          <w:sz w:val="17"/>
          <w:szCs w:val="17"/>
          <w:color w:val="auto"/>
        </w:rPr>
        <w:t>” means (i) the Participant’s inability to engage in any substantial gainful activity by reason of any medically determinable physical or mental impairment that can be expected to result in death or can be expected to last for a continuous period of not less than 12 months, as determined by the Company.</w:t>
      </w:r>
    </w:p>
    <w:p>
      <w:pPr>
        <w:spacing w:after="0" w:line="127" w:lineRule="exact"/>
        <w:rPr>
          <w:rFonts w:ascii="Arial" w:cs="Arial" w:eastAsia="Arial" w:hAnsi="Arial"/>
          <w:sz w:val="17"/>
          <w:szCs w:val="17"/>
          <w:color w:val="auto"/>
        </w:rPr>
      </w:pPr>
    </w:p>
    <w:p>
      <w:pPr>
        <w:jc w:val="both"/>
        <w:ind w:left="648" w:hanging="324"/>
        <w:spacing w:after="0" w:line="255" w:lineRule="auto"/>
        <w:tabs>
          <w:tab w:leader="none" w:pos="64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39" w:lineRule="exact"/>
        <w:rPr>
          <w:rFonts w:ascii="Arial" w:cs="Arial" w:eastAsia="Arial" w:hAnsi="Arial"/>
          <w:sz w:val="18"/>
          <w:szCs w:val="18"/>
          <w:color w:val="auto"/>
        </w:rPr>
      </w:pPr>
    </w:p>
    <w:p>
      <w:pPr>
        <w:ind w:left="328" w:hanging="328"/>
        <w:spacing w:after="0"/>
        <w:tabs>
          <w:tab w:leader="none" w:pos="32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48" w:hanging="324"/>
        <w:spacing w:after="0"/>
        <w:tabs>
          <w:tab w:leader="none" w:pos="64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Participant shall not sell, assign, transfer, pledge or otherwise encumber any Performance RSUs, either voluntarily or by operation of law.</w:t>
      </w:r>
    </w:p>
    <w:p>
      <w:pPr>
        <w:spacing w:after="0" w:line="194" w:lineRule="exact"/>
        <w:rPr>
          <w:rFonts w:ascii="Arial" w:cs="Arial" w:eastAsia="Arial" w:hAnsi="Arial"/>
          <w:sz w:val="16"/>
          <w:szCs w:val="16"/>
          <w:color w:val="auto"/>
        </w:rPr>
      </w:pPr>
    </w:p>
    <w:p>
      <w:pPr>
        <w:jc w:val="both"/>
        <w:ind w:left="648" w:right="20" w:hanging="324"/>
        <w:spacing w:after="0" w:line="264" w:lineRule="auto"/>
        <w:tabs>
          <w:tab w:leader="none" w:pos="64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27" w:lineRule="exact"/>
        <w:rPr>
          <w:rFonts w:ascii="Arial" w:cs="Arial" w:eastAsia="Arial" w:hAnsi="Arial"/>
          <w:sz w:val="18"/>
          <w:szCs w:val="18"/>
          <w:color w:val="auto"/>
        </w:rPr>
      </w:pPr>
    </w:p>
    <w:p>
      <w:pPr>
        <w:jc w:val="both"/>
        <w:ind w:left="328" w:hanging="328"/>
        <w:spacing w:after="0" w:line="276" w:lineRule="auto"/>
        <w:tabs>
          <w:tab w:leader="none" w:pos="328"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Not a Shareholder</w:t>
      </w:r>
      <w:r>
        <w:rPr>
          <w:rFonts w:ascii="Arial" w:cs="Arial" w:eastAsia="Arial" w:hAnsi="Arial"/>
          <w:sz w:val="17"/>
          <w:szCs w:val="17"/>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8" w:lineRule="exact"/>
        <w:rPr>
          <w:rFonts w:ascii="Arial" w:cs="Arial" w:eastAsia="Arial" w:hAnsi="Arial"/>
          <w:sz w:val="17"/>
          <w:szCs w:val="17"/>
          <w:color w:val="auto"/>
        </w:rPr>
      </w:pPr>
    </w:p>
    <w:p>
      <w:pPr>
        <w:jc w:val="both"/>
        <w:ind w:left="328" w:hanging="328"/>
        <w:spacing w:after="0" w:line="286" w:lineRule="auto"/>
        <w:tabs>
          <w:tab w:leader="none" w:pos="328"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Provisions of the Plan</w:t>
      </w:r>
      <w:r>
        <w:rPr>
          <w:rFonts w:ascii="Arial" w:cs="Arial" w:eastAsia="Arial" w:hAnsi="Arial"/>
          <w:sz w:val="17"/>
          <w:szCs w:val="17"/>
          <w:color w:val="auto"/>
        </w:rPr>
        <w:t>. The Performance RSUs and Shares, including the grant and issuance thereof, are subject to the provisions of the Plan. A copy of the Plan prospectus is available on the Company’s Intranet at http://signals.corpnt.analog.com/default.aspx. (From Signals home page, click Knowledge Centers, HR, Employee Stock Programs. The related documents can be found in the right-hand column.)</w:t>
      </w:r>
    </w:p>
    <w:p>
      <w:pPr>
        <w:spacing w:after="0" w:line="111" w:lineRule="exact"/>
        <w:rPr>
          <w:rFonts w:ascii="Arial" w:cs="Arial" w:eastAsia="Arial" w:hAnsi="Arial"/>
          <w:sz w:val="17"/>
          <w:szCs w:val="17"/>
          <w:color w:val="auto"/>
        </w:rPr>
      </w:pPr>
    </w:p>
    <w:p>
      <w:pPr>
        <w:ind w:left="328" w:hanging="328"/>
        <w:spacing w:after="0"/>
        <w:tabs>
          <w:tab w:leader="none" w:pos="32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48" w:hanging="324"/>
        <w:spacing w:after="0" w:line="287" w:lineRule="auto"/>
        <w:tabs>
          <w:tab w:leader="none" w:pos="64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366"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88"/>
          </w:cols>
          <w:pgMar w:left="572" w:top="1440" w:right="239" w:bottom="1440" w:gutter="0" w:footer="0" w:header="0"/>
        </w:sectPr>
      </w:pPr>
    </w:p>
    <w:bookmarkStart w:id="111" w:name="page112"/>
    <w:bookmarkEnd w:id="111"/>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r>
    </w:p>
    <w:p>
      <w:pPr>
        <w:jc w:val="both"/>
        <w:ind w:left="648" w:right="20" w:hanging="324"/>
        <w:spacing w:after="0" w:line="312" w:lineRule="auto"/>
        <w:tabs>
          <w:tab w:leader="none" w:pos="64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with regard to all Tax-Related Items by one or a combination of the methods set forth below:</w:t>
      </w:r>
    </w:p>
    <w:p>
      <w:pPr>
        <w:spacing w:after="0" w:line="92" w:lineRule="exact"/>
        <w:rPr>
          <w:rFonts w:ascii="Arial" w:cs="Arial" w:eastAsia="Arial" w:hAnsi="Arial"/>
          <w:sz w:val="16"/>
          <w:szCs w:val="16"/>
          <w:color w:val="auto"/>
        </w:rPr>
      </w:pPr>
    </w:p>
    <w:p>
      <w:pPr>
        <w:ind w:left="1288" w:hanging="640"/>
        <w:spacing w:after="0" w:line="257" w:lineRule="auto"/>
        <w:tabs>
          <w:tab w:leader="none" w:pos="96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Company may withhold a sufficient number of whole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w:t>
      </w:r>
    </w:p>
    <w:p>
      <w:pPr>
        <w:spacing w:after="0" w:line="134" w:lineRule="exact"/>
        <w:rPr>
          <w:rFonts w:ascii="Arial" w:cs="Arial" w:eastAsia="Arial" w:hAnsi="Arial"/>
          <w:sz w:val="18"/>
          <w:szCs w:val="18"/>
          <w:color w:val="auto"/>
        </w:rPr>
      </w:pPr>
    </w:p>
    <w:p>
      <w:pPr>
        <w:ind w:left="1288" w:hanging="640"/>
        <w:spacing w:after="0" w:line="277" w:lineRule="auto"/>
        <w:tabs>
          <w:tab w:leader="none" w:pos="96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Company may, in its discretion, withhold any amount necessary to pay the Tax-Related Items from the Participant’s salary or other amounts payable to the Participant; or</w:t>
      </w:r>
    </w:p>
    <w:p>
      <w:pPr>
        <w:spacing w:after="0" w:line="116" w:lineRule="exact"/>
        <w:rPr>
          <w:rFonts w:ascii="Arial" w:cs="Arial" w:eastAsia="Arial" w:hAnsi="Arial"/>
          <w:sz w:val="18"/>
          <w:szCs w:val="18"/>
          <w:color w:val="auto"/>
        </w:rPr>
      </w:pPr>
    </w:p>
    <w:p>
      <w:pPr>
        <w:ind w:left="1288" w:right="20" w:hanging="640"/>
        <w:spacing w:after="0" w:line="277" w:lineRule="auto"/>
        <w:tabs>
          <w:tab w:leader="none" w:pos="96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Company may withhold from proceeds of the sale of Shares either through a voluntary sale or through a mandatory sale arranged by the Company (on the Participant’s behalf pursuant to this authorization).</w:t>
      </w:r>
    </w:p>
    <w:p>
      <w:pPr>
        <w:spacing w:after="0" w:line="116" w:lineRule="exact"/>
        <w:rPr>
          <w:sz w:val="20"/>
          <w:szCs w:val="20"/>
          <w:color w:val="auto"/>
        </w:rPr>
      </w:pPr>
    </w:p>
    <w:p>
      <w:pPr>
        <w:jc w:val="both"/>
        <w:ind w:left="968"/>
        <w:spacing w:after="0" w:line="279" w:lineRule="auto"/>
        <w:rPr>
          <w:sz w:val="20"/>
          <w:szCs w:val="20"/>
          <w:color w:val="auto"/>
        </w:rPr>
      </w:pPr>
      <w:r>
        <w:rPr>
          <w:rFonts w:ascii="Arial" w:cs="Arial" w:eastAsia="Arial" w:hAnsi="Arial"/>
          <w:sz w:val="17"/>
          <w:szCs w:val="17"/>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the Participant is deemed to have been issued the full number of Shares subject to the vested Performance RSU, notwithstanding that a number of the Shares are held back solely for the purpose of paying the Tax-Related Items.</w:t>
      </w:r>
    </w:p>
    <w:p>
      <w:pPr>
        <w:spacing w:after="0" w:line="117" w:lineRule="exact"/>
        <w:rPr>
          <w:sz w:val="20"/>
          <w:szCs w:val="20"/>
          <w:color w:val="auto"/>
        </w:rPr>
      </w:pPr>
    </w:p>
    <w:p>
      <w:pPr>
        <w:jc w:val="both"/>
        <w:ind w:left="968"/>
        <w:spacing w:after="0" w:line="271" w:lineRule="auto"/>
        <w:rPr>
          <w:sz w:val="20"/>
          <w:szCs w:val="20"/>
          <w:color w:val="auto"/>
        </w:rPr>
      </w:pPr>
      <w:r>
        <w:rPr>
          <w:rFonts w:ascii="Arial" w:cs="Arial" w:eastAsia="Arial" w:hAnsi="Arial"/>
          <w:sz w:val="17"/>
          <w:szCs w:val="17"/>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25" w:lineRule="exact"/>
        <w:rPr>
          <w:sz w:val="20"/>
          <w:szCs w:val="20"/>
          <w:color w:val="auto"/>
        </w:rPr>
      </w:pPr>
    </w:p>
    <w:p>
      <w:pPr>
        <w:jc w:val="both"/>
        <w:ind w:left="328" w:hanging="328"/>
        <w:spacing w:after="0" w:line="293" w:lineRule="auto"/>
        <w:tabs>
          <w:tab w:leader="none" w:pos="328"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Option of Company to Deliver Cash</w:t>
      </w:r>
      <w:r>
        <w:rPr>
          <w:rFonts w:ascii="Arial" w:cs="Arial" w:eastAsia="Arial" w:hAnsi="Arial"/>
          <w:sz w:val="16"/>
          <w:szCs w:val="16"/>
          <w:color w:val="auto"/>
        </w:rPr>
        <w:t>. Notwithstanding any of the other provisions of this Agreement, and except as set forth in Appendix B, where share settlement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pursuant to Section 6 herein.</w:t>
      </w:r>
    </w:p>
    <w:p>
      <w:pPr>
        <w:spacing w:after="0" w:line="110" w:lineRule="exact"/>
        <w:rPr>
          <w:rFonts w:ascii="Arial" w:cs="Arial" w:eastAsia="Arial" w:hAnsi="Arial"/>
          <w:sz w:val="16"/>
          <w:szCs w:val="16"/>
          <w:color w:val="auto"/>
        </w:rPr>
      </w:pPr>
    </w:p>
    <w:p>
      <w:pPr>
        <w:jc w:val="both"/>
        <w:ind w:left="328" w:hanging="328"/>
        <w:spacing w:after="0" w:line="255" w:lineRule="auto"/>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Privacy</w:t>
      </w:r>
      <w:r>
        <w:rPr>
          <w:rFonts w:ascii="Arial" w:cs="Arial" w:eastAsia="Arial" w:hAnsi="Arial"/>
          <w:sz w:val="18"/>
          <w:szCs w:val="18"/>
          <w:i w:val="1"/>
          <w:iCs w:val="1"/>
          <w:color w:val="auto"/>
        </w:rPr>
        <w:t>. This Section 8 applies if the Participant resides outside the U.S.: The Company hereby notifies the Participant of the following in relation to the Participant’s personal data and the collection, processing and transfer of such data in relation to the grant of the Performance RSUs and the Participant’s participation in the Plan, pursuant to applicable personal data protection laws. The collection, processing and transfer of the Participant’s personal data is necessary for the Company’s administration of the Plan and the Participant’s participation in the Plan, and the Participant’s denial and/or objection to the collection, processing and transfer of personal data may affect the Participant’s ability to participate in the Plan. As such, the Participant voluntarily acknowledges, consents and agrees (where required under applicable law) to the collection, use, processing and transfer of personal data as described herein.</w:t>
      </w:r>
    </w:p>
    <w:p>
      <w:pPr>
        <w:spacing w:after="0" w:line="135" w:lineRule="exact"/>
        <w:rPr>
          <w:sz w:val="20"/>
          <w:szCs w:val="20"/>
          <w:color w:val="auto"/>
        </w:rPr>
      </w:pPr>
    </w:p>
    <w:p>
      <w:pPr>
        <w:jc w:val="both"/>
        <w:ind w:left="648"/>
        <w:spacing w:after="0" w:line="270" w:lineRule="auto"/>
        <w:rPr>
          <w:sz w:val="20"/>
          <w:szCs w:val="20"/>
          <w:color w:val="auto"/>
        </w:rPr>
      </w:pPr>
      <w:r>
        <w:rPr>
          <w:rFonts w:ascii="Arial" w:cs="Arial" w:eastAsia="Arial" w:hAnsi="Arial"/>
          <w:sz w:val="17"/>
          <w:szCs w:val="17"/>
          <w:i w:val="1"/>
          <w:iCs w:val="1"/>
          <w:color w:val="auto"/>
        </w:rPr>
        <w:t>The Company holds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Performance RSUs or any other entitlement to Shares awarded, canceled, purchased, vested, unvested or outstanding in the Participant’s favor, for the purpose of managing and administering the Plan (“Data”).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logistics and procedures strictly correlated to the purposes for which the Data is collected and with confidentiality and security provisions as set forth by applicable laws and regulations in the Participant’s country of residence. Data processing operations will be performed minimizing the use of personal</w:t>
      </w:r>
    </w:p>
    <w:p>
      <w:pPr>
        <w:spacing w:after="0" w:line="375"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88"/>
          </w:cols>
          <w:pgMar w:left="572" w:top="1440" w:right="239" w:bottom="1440" w:gutter="0" w:footer="0" w:header="0"/>
        </w:sectPr>
      </w:pPr>
    </w:p>
    <w:bookmarkStart w:id="112" w:name="page113"/>
    <w:bookmarkEnd w:id="112"/>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r>
    </w:p>
    <w:p>
      <w:pPr>
        <w:jc w:val="both"/>
        <w:ind w:left="648"/>
        <w:spacing w:after="0" w:line="264" w:lineRule="auto"/>
        <w:rPr>
          <w:sz w:val="20"/>
          <w:szCs w:val="20"/>
          <w:color w:val="auto"/>
        </w:rPr>
      </w:pPr>
      <w:r>
        <w:rPr>
          <w:rFonts w:ascii="Arial" w:cs="Arial" w:eastAsia="Arial" w:hAnsi="Arial"/>
          <w:sz w:val="18"/>
          <w:szCs w:val="18"/>
          <w:i w:val="1"/>
          <w:iCs w:val="1"/>
          <w:color w:val="auto"/>
        </w:rPr>
        <w:t>and identification data when such operations are unnecessary for the processing purposes sought. The Data will be accessible within the Company’s organization only by those persons requiring access for purposes of the implementation, administration and operation of the Plan and for the Participant’s participation in the Plan.</w:t>
      </w:r>
    </w:p>
    <w:p>
      <w:pPr>
        <w:spacing w:after="0" w:line="127" w:lineRule="exact"/>
        <w:rPr>
          <w:sz w:val="20"/>
          <w:szCs w:val="20"/>
          <w:color w:val="auto"/>
        </w:rPr>
      </w:pPr>
    </w:p>
    <w:p>
      <w:pPr>
        <w:jc w:val="both"/>
        <w:ind w:left="648"/>
        <w:spacing w:after="0" w:line="254" w:lineRule="auto"/>
        <w:rPr>
          <w:sz w:val="20"/>
          <w:szCs w:val="20"/>
          <w:color w:val="auto"/>
        </w:rPr>
      </w:pPr>
      <w:r>
        <w:rPr>
          <w:rFonts w:ascii="Arial" w:cs="Arial" w:eastAsia="Arial" w:hAnsi="Arial"/>
          <w:sz w:val="18"/>
          <w:szCs w:val="18"/>
          <w:i w:val="1"/>
          <w:iCs w:val="1"/>
          <w:color w:val="auto"/>
        </w:rPr>
        <w:t>The Company will transfer Data as necessary for the purpose of implementation, administration and management of the Participant’s participation in the Plan, and the Company may further transfer Data to any third parties assisting the Company in the implementation, administration and management of the Plan. These recipients may be located in the United States, the European Economic Area, or elsewhere throughout the world. The Participant hereby authorizes (where required under applicable law) the recipients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138" w:lineRule="exact"/>
        <w:rPr>
          <w:sz w:val="20"/>
          <w:szCs w:val="20"/>
          <w:color w:val="auto"/>
        </w:rPr>
      </w:pPr>
    </w:p>
    <w:p>
      <w:pPr>
        <w:jc w:val="both"/>
        <w:ind w:left="648"/>
        <w:spacing w:after="0" w:line="255" w:lineRule="auto"/>
        <w:rPr>
          <w:sz w:val="20"/>
          <w:szCs w:val="20"/>
          <w:color w:val="auto"/>
        </w:rPr>
      </w:pPr>
      <w:r>
        <w:rPr>
          <w:rFonts w:ascii="Arial" w:cs="Arial" w:eastAsia="Arial" w:hAnsi="Arial"/>
          <w:sz w:val="18"/>
          <w:szCs w:val="18"/>
          <w:i w:val="1"/>
          <w:iCs w:val="1"/>
          <w:color w:val="auto"/>
        </w:rPr>
        <w:t>The Participant may, at any time, exercise the Participant’s rights provided under applicable personal data protection laws, which may include the right to (a) obtain confirmation as to the existence of the Data, (b) verify the content, origin and accuracy of the Data, (c) request the integration, update, amendment, deletion, or blockage (for breach of applicable laws) of the Data, and (d) to oppose, for legal reasons, the collection, processing or transfer of the Data which is not necessary or required for the implementation, administration and/or operation of the Plan and the Participant’s participation in the Plan. The Participant may seek to exercise these rights by contacting the Participant’s local HR manager.</w:t>
      </w:r>
    </w:p>
    <w:p>
      <w:pPr>
        <w:spacing w:after="0" w:line="139" w:lineRule="exact"/>
        <w:rPr>
          <w:sz w:val="20"/>
          <w:szCs w:val="20"/>
          <w:color w:val="auto"/>
        </w:rPr>
      </w:pPr>
    </w:p>
    <w:p>
      <w:pPr>
        <w:jc w:val="both"/>
        <w:ind w:left="328" w:hanging="328"/>
        <w:spacing w:after="0" w:line="272" w:lineRule="auto"/>
        <w:tabs>
          <w:tab w:leader="none" w:pos="328"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Repatriation and Other Legal Requirements</w:t>
      </w:r>
      <w:r>
        <w:rPr>
          <w:rFonts w:ascii="Arial" w:cs="Arial" w:eastAsia="Arial" w:hAnsi="Arial"/>
          <w:sz w:val="17"/>
          <w:szCs w:val="17"/>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23" w:lineRule="exact"/>
        <w:rPr>
          <w:rFonts w:ascii="Arial" w:cs="Arial" w:eastAsia="Arial" w:hAnsi="Arial"/>
          <w:sz w:val="17"/>
          <w:szCs w:val="17"/>
          <w:color w:val="auto"/>
        </w:rPr>
      </w:pPr>
    </w:p>
    <w:p>
      <w:pPr>
        <w:ind w:left="328" w:hanging="328"/>
        <w:spacing w:after="0"/>
        <w:tabs>
          <w:tab w:leader="none" w:pos="32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48" w:hanging="324"/>
        <w:spacing w:after="0" w:line="255" w:lineRule="auto"/>
        <w:tabs>
          <w:tab w:leader="none" w:pos="648"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No Rights to Employment</w:t>
      </w:r>
      <w:r>
        <w:rPr>
          <w:rFonts w:ascii="Arial" w:cs="Arial" w:eastAsia="Arial" w:hAnsi="Arial"/>
          <w:sz w:val="18"/>
          <w:szCs w:val="18"/>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termination of employment due to death or Disability,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39" w:lineRule="exact"/>
        <w:rPr>
          <w:rFonts w:ascii="Arial" w:cs="Arial" w:eastAsia="Arial" w:hAnsi="Arial"/>
          <w:sz w:val="18"/>
          <w:szCs w:val="18"/>
          <w:color w:val="auto"/>
        </w:rPr>
      </w:pPr>
    </w:p>
    <w:p>
      <w:pPr>
        <w:jc w:val="both"/>
        <w:ind w:left="648" w:hanging="324"/>
        <w:spacing w:after="0" w:line="270" w:lineRule="auto"/>
        <w:tabs>
          <w:tab w:leader="none" w:pos="648" w:val="left"/>
        </w:tabs>
        <w:numPr>
          <w:ilvl w:val="1"/>
          <w:numId w:val="134"/>
        </w:numPr>
        <w:rPr>
          <w:rFonts w:ascii="Arial" w:cs="Arial" w:eastAsia="Arial" w:hAnsi="Arial"/>
          <w:sz w:val="17"/>
          <w:szCs w:val="17"/>
          <w:color w:val="auto"/>
        </w:rPr>
      </w:pPr>
      <w:r>
        <w:rPr>
          <w:rFonts w:ascii="Arial" w:cs="Arial" w:eastAsia="Arial" w:hAnsi="Arial"/>
          <w:sz w:val="17"/>
          <w:szCs w:val="17"/>
          <w:u w:val="single" w:color="auto"/>
          <w:color w:val="auto"/>
        </w:rPr>
        <w:t>Discretionary Nature</w:t>
      </w:r>
      <w:r>
        <w:rPr>
          <w:rFonts w:ascii="Arial" w:cs="Arial" w:eastAsia="Arial" w:hAnsi="Arial"/>
          <w:sz w:val="17"/>
          <w:szCs w:val="17"/>
          <w:color w:val="auto"/>
        </w:rPr>
        <w:t>. The Participant acknowledges and agrees that the Plan is discretionary in nature and may be amended, cancelled, or terminated by the Company at any time, to the extend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pension, or retirement benefits or similar payments.</w:t>
      </w:r>
    </w:p>
    <w:p>
      <w:pPr>
        <w:spacing w:after="0" w:line="127" w:lineRule="exact"/>
        <w:rPr>
          <w:rFonts w:ascii="Arial" w:cs="Arial" w:eastAsia="Arial" w:hAnsi="Arial"/>
          <w:sz w:val="17"/>
          <w:szCs w:val="17"/>
          <w:color w:val="auto"/>
        </w:rPr>
      </w:pPr>
    </w:p>
    <w:p>
      <w:pPr>
        <w:jc w:val="both"/>
        <w:ind w:left="648" w:hanging="324"/>
        <w:spacing w:after="0" w:line="276" w:lineRule="auto"/>
        <w:tabs>
          <w:tab w:leader="none" w:pos="648" w:val="left"/>
        </w:tabs>
        <w:numPr>
          <w:ilvl w:val="1"/>
          <w:numId w:val="134"/>
        </w:numPr>
        <w:rPr>
          <w:rFonts w:ascii="Arial" w:cs="Arial" w:eastAsia="Arial" w:hAnsi="Arial"/>
          <w:sz w:val="17"/>
          <w:szCs w:val="17"/>
          <w:color w:val="auto"/>
        </w:rPr>
      </w:pPr>
      <w:r>
        <w:rPr>
          <w:rFonts w:ascii="Arial" w:cs="Arial" w:eastAsia="Arial" w:hAnsi="Arial"/>
          <w:sz w:val="17"/>
          <w:szCs w:val="17"/>
          <w:u w:val="single" w:color="auto"/>
          <w:color w:val="auto"/>
        </w:rPr>
        <w:t>Exclusion from Termination Indemnities and Other Benefits</w:t>
      </w:r>
      <w:r>
        <w:rPr>
          <w:rFonts w:ascii="Arial" w:cs="Arial" w:eastAsia="Arial" w:hAnsi="Arial"/>
          <w:sz w:val="17"/>
          <w:szCs w:val="17"/>
          <w:color w:val="auto"/>
        </w:rPr>
        <w:t>. This Section 10(c)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Further, the Performance RSUs and the Shares are not intended to replace any pension rights or compensation.</w:t>
      </w:r>
    </w:p>
    <w:p>
      <w:pPr>
        <w:spacing w:after="0" w:line="118" w:lineRule="exact"/>
        <w:rPr>
          <w:rFonts w:ascii="Arial" w:cs="Arial" w:eastAsia="Arial" w:hAnsi="Arial"/>
          <w:sz w:val="17"/>
          <w:szCs w:val="17"/>
          <w:color w:val="auto"/>
        </w:rPr>
      </w:pPr>
    </w:p>
    <w:p>
      <w:pPr>
        <w:ind w:left="648" w:right="20" w:hanging="324"/>
        <w:spacing w:after="0" w:line="277" w:lineRule="auto"/>
        <w:tabs>
          <w:tab w:leader="none" w:pos="648"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No Entitlement</w:t>
      </w:r>
      <w:r>
        <w:rPr>
          <w:rFonts w:ascii="Arial" w:cs="Arial" w:eastAsia="Arial" w:hAnsi="Arial"/>
          <w:sz w:val="18"/>
          <w:szCs w:val="18"/>
          <w:color w:val="auto"/>
        </w:rPr>
        <w:t>. This Section 10(d) applies if the Participant resides outside the U.S.: In consideration of the grant of Performance RSUs, no claim or entitlement to compensation or damages shall arise from forfeiture of the Performance</w:t>
      </w:r>
    </w:p>
    <w:p>
      <w:pPr>
        <w:sectPr>
          <w:pgSz w:w="11900" w:h="16838" w:orient="portrait"/>
          <w:cols w:equalWidth="0" w:num="1">
            <w:col w:w="11088"/>
          </w:cols>
          <w:pgMar w:left="572" w:top="1440" w:right="239" w:bottom="1440" w:gutter="0" w:footer="0" w:header="0"/>
        </w:sectPr>
      </w:pPr>
    </w:p>
    <w:p>
      <w:pPr>
        <w:spacing w:after="0" w:line="364"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088"/>
          </w:cols>
          <w:pgMar w:left="572" w:top="1440" w:right="239" w:bottom="1440" w:gutter="0" w:footer="0" w:header="0"/>
          <w:type w:val="continuous"/>
        </w:sectPr>
      </w:pPr>
    </w:p>
    <w:bookmarkStart w:id="113" w:name="page114"/>
    <w:bookmarkEnd w:id="113"/>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r>
    </w:p>
    <w:p>
      <w:pPr>
        <w:jc w:val="both"/>
        <w:ind w:left="324"/>
        <w:spacing w:after="0" w:line="325" w:lineRule="auto"/>
        <w:rPr>
          <w:sz w:val="20"/>
          <w:szCs w:val="20"/>
          <w:color w:val="auto"/>
        </w:rPr>
      </w:pPr>
      <w:r>
        <w:rPr>
          <w:rFonts w:ascii="Arial" w:cs="Arial" w:eastAsia="Arial" w:hAnsi="Arial"/>
          <w:sz w:val="17"/>
          <w:szCs w:val="17"/>
          <w:color w:val="auto"/>
        </w:rPr>
        <w:t>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95" w:lineRule="exact"/>
        <w:rPr>
          <w:sz w:val="20"/>
          <w:szCs w:val="20"/>
          <w:color w:val="auto"/>
        </w:rPr>
      </w:pPr>
    </w:p>
    <w:p>
      <w:pPr>
        <w:jc w:val="both"/>
        <w:ind w:left="324" w:hanging="324"/>
        <w:spacing w:after="0" w:line="259" w:lineRule="auto"/>
        <w:tabs>
          <w:tab w:leader="none" w:pos="324"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Exchange Rates</w:t>
      </w:r>
      <w:r>
        <w:rPr>
          <w:rFonts w:ascii="Arial" w:cs="Arial" w:eastAsia="Arial" w:hAnsi="Arial"/>
          <w:sz w:val="18"/>
          <w:szCs w:val="18"/>
          <w:color w:val="auto"/>
        </w:rPr>
        <w:t>. This Section 10(e)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32" w:lineRule="exact"/>
        <w:rPr>
          <w:rFonts w:ascii="Arial" w:cs="Arial" w:eastAsia="Arial" w:hAnsi="Arial"/>
          <w:sz w:val="18"/>
          <w:szCs w:val="18"/>
          <w:color w:val="auto"/>
        </w:rPr>
      </w:pPr>
    </w:p>
    <w:p>
      <w:pPr>
        <w:ind w:left="324" w:hanging="324"/>
        <w:spacing w:after="0"/>
        <w:tabs>
          <w:tab w:leader="none" w:pos="324"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Future Value of Shares</w:t>
      </w:r>
      <w:r>
        <w:rPr>
          <w:rFonts w:ascii="Arial" w:cs="Arial" w:eastAsia="Arial" w:hAnsi="Arial"/>
          <w:sz w:val="17"/>
          <w:szCs w:val="17"/>
          <w:color w:val="auto"/>
        </w:rPr>
        <w:t>. The future value of the underlying Shares is unknown, indeterminable, and cannot be predicted with certainty.</w:t>
      </w:r>
    </w:p>
    <w:p>
      <w:pPr>
        <w:spacing w:after="0" w:line="182" w:lineRule="exact"/>
        <w:rPr>
          <w:rFonts w:ascii="Arial" w:cs="Arial" w:eastAsia="Arial" w:hAnsi="Arial"/>
          <w:sz w:val="17"/>
          <w:szCs w:val="17"/>
          <w:color w:val="auto"/>
        </w:rPr>
      </w:pPr>
    </w:p>
    <w:p>
      <w:pPr>
        <w:ind w:left="324" w:hanging="324"/>
        <w:spacing w:after="0" w:line="308" w:lineRule="auto"/>
        <w:tabs>
          <w:tab w:leader="none" w:pos="324"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92" w:lineRule="exact"/>
        <w:rPr>
          <w:rFonts w:ascii="Arial" w:cs="Arial" w:eastAsia="Arial" w:hAnsi="Arial"/>
          <w:sz w:val="17"/>
          <w:szCs w:val="17"/>
          <w:color w:val="auto"/>
        </w:rPr>
      </w:pPr>
    </w:p>
    <w:p>
      <w:pPr>
        <w:jc w:val="both"/>
        <w:ind w:left="324" w:hanging="324"/>
        <w:spacing w:after="0" w:line="264" w:lineRule="auto"/>
        <w:tabs>
          <w:tab w:leader="none" w:pos="324"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27" w:lineRule="exact"/>
        <w:rPr>
          <w:rFonts w:ascii="Arial" w:cs="Arial" w:eastAsia="Arial" w:hAnsi="Arial"/>
          <w:sz w:val="18"/>
          <w:szCs w:val="18"/>
          <w:color w:val="auto"/>
        </w:rPr>
      </w:pPr>
    </w:p>
    <w:p>
      <w:pPr>
        <w:jc w:val="both"/>
        <w:ind w:left="324" w:hanging="324"/>
        <w:spacing w:after="0" w:line="276" w:lineRule="auto"/>
        <w:tabs>
          <w:tab w:leader="none" w:pos="324"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Three Technology Way, Norwood, Massachusetts, 02062, Attention: Chief Financial Officer. Each notice to the Participant shall be addressed to the Participant at the Participant’s last known mailing or email address, as applicable, on the records of the Company.</w:t>
      </w:r>
    </w:p>
    <w:p>
      <w:pPr>
        <w:spacing w:after="0" w:line="118" w:lineRule="exact"/>
        <w:rPr>
          <w:rFonts w:ascii="Arial" w:cs="Arial" w:eastAsia="Arial" w:hAnsi="Arial"/>
          <w:sz w:val="17"/>
          <w:szCs w:val="17"/>
          <w:color w:val="auto"/>
        </w:rPr>
      </w:pPr>
    </w:p>
    <w:p>
      <w:pPr>
        <w:ind w:left="324" w:hanging="324"/>
        <w:spacing w:after="0" w:line="277" w:lineRule="auto"/>
        <w:tabs>
          <w:tab w:leader="none" w:pos="324"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Pronouns</w:t>
      </w:r>
      <w:r>
        <w:rPr>
          <w:rFonts w:ascii="Arial" w:cs="Arial" w:eastAsia="Arial" w:hAnsi="Arial"/>
          <w:sz w:val="18"/>
          <w:szCs w:val="18"/>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6"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constitute the entire understanding between the parties, and supersede all prior agreements and understandings, relating to the subject matter of these documents.</w:t>
      </w:r>
    </w:p>
    <w:p>
      <w:pPr>
        <w:spacing w:after="0" w:line="116"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Commonwealth of Massachusetts without regard to any applicable conflicts of laws.</w:t>
      </w:r>
    </w:p>
    <w:p>
      <w:pPr>
        <w:spacing w:after="0" w:line="116" w:lineRule="exact"/>
        <w:rPr>
          <w:rFonts w:ascii="Arial" w:cs="Arial" w:eastAsia="Arial" w:hAnsi="Arial"/>
          <w:sz w:val="18"/>
          <w:szCs w:val="18"/>
          <w:color w:val="auto"/>
        </w:rPr>
      </w:pPr>
    </w:p>
    <w:p>
      <w:pPr>
        <w:jc w:val="both"/>
        <w:ind w:left="324" w:hanging="324"/>
        <w:spacing w:after="0" w:line="270" w:lineRule="auto"/>
        <w:tabs>
          <w:tab w:leader="none" w:pos="324"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with the SEC or any state or foreign securities commission or to seek approval or clearance from any governmental authority for the issuance or sale of the Shares.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23" w:lineRule="exact"/>
        <w:rPr>
          <w:rFonts w:ascii="Arial" w:cs="Arial" w:eastAsia="Arial" w:hAnsi="Arial"/>
          <w:sz w:val="17"/>
          <w:szCs w:val="17"/>
          <w:color w:val="auto"/>
        </w:rPr>
      </w:pPr>
    </w:p>
    <w:p>
      <w:pPr>
        <w:ind w:left="324" w:hanging="324"/>
        <w:spacing w:after="0" w:line="277" w:lineRule="auto"/>
        <w:tabs>
          <w:tab w:leader="none" w:pos="324"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interpretation and construction of any terms or conditions of this Agreement or the Plan, or other matters related to the Plan, by the Compensation Committee of the Board shall be final and conclusive.</w:t>
      </w:r>
    </w:p>
    <w:p>
      <w:pPr>
        <w:spacing w:after="0" w:line="116"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Participant’s Acceptance</w:t>
      </w:r>
      <w:r>
        <w:rPr>
          <w:rFonts w:ascii="Arial" w:cs="Arial" w:eastAsia="Arial" w:hAnsi="Arial"/>
          <w:sz w:val="18"/>
          <w:szCs w:val="18"/>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381" w:lineRule="exact"/>
        <w:rPr>
          <w:sz w:val="20"/>
          <w:szCs w:val="20"/>
          <w:color w:val="auto"/>
        </w:rPr>
      </w:pPr>
    </w:p>
    <w:p>
      <w:pPr>
        <w:ind w:left="5024"/>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764"/>
          </w:cols>
          <w:pgMar w:left="896" w:top="1440" w:right="239" w:bottom="1440" w:gutter="0" w:footer="0" w:header="0"/>
        </w:sectPr>
      </w:pPr>
    </w:p>
    <w:bookmarkStart w:id="114" w:name="page115"/>
    <w:bookmarkEnd w:id="114"/>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r>
    </w:p>
    <w:p>
      <w:pPr>
        <w:jc w:val="both"/>
        <w:ind w:left="760" w:hanging="324"/>
        <w:spacing w:after="0" w:line="259" w:lineRule="auto"/>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32" w:lineRule="exact"/>
        <w:rPr>
          <w:rFonts w:ascii="Arial" w:cs="Arial" w:eastAsia="Arial" w:hAnsi="Arial"/>
          <w:sz w:val="18"/>
          <w:szCs w:val="18"/>
          <w:color w:val="auto"/>
        </w:rPr>
      </w:pPr>
    </w:p>
    <w:p>
      <w:pPr>
        <w:jc w:val="both"/>
        <w:ind w:left="760" w:hanging="324"/>
        <w:spacing w:after="0" w:line="302" w:lineRule="auto"/>
        <w:tabs>
          <w:tab w:leader="none" w:pos="76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00" w:lineRule="exact"/>
        <w:rPr>
          <w:rFonts w:ascii="Arial" w:cs="Arial" w:eastAsia="Arial" w:hAnsi="Arial"/>
          <w:sz w:val="16"/>
          <w:szCs w:val="16"/>
          <w:color w:val="auto"/>
        </w:rPr>
      </w:pPr>
    </w:p>
    <w:p>
      <w:pPr>
        <w:jc w:val="both"/>
        <w:ind w:left="760" w:hanging="324"/>
        <w:spacing w:after="0" w:line="255" w:lineRule="auto"/>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Appendix B</w:t>
      </w:r>
      <w:r>
        <w:rPr>
          <w:rFonts w:ascii="Arial" w:cs="Arial" w:eastAsia="Arial" w:hAnsi="Arial"/>
          <w:sz w:val="18"/>
          <w:szCs w:val="18"/>
          <w:color w:val="auto"/>
        </w:rPr>
        <w:t>. Notwithstanding any provisions herein to the contrary, if the Participant transfers the Participant’s residence and/or employment to a country other than the United States, the Performance RSUs shall be subject to any special terms and conditions for such country as may be set forth in Appendix B to this Agreement. Moreover, if the Participant relocates to one of the countries included in Appendix B, the special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39" w:lineRule="exact"/>
        <w:rPr>
          <w:rFonts w:ascii="Arial" w:cs="Arial" w:eastAsia="Arial" w:hAnsi="Arial"/>
          <w:sz w:val="18"/>
          <w:szCs w:val="18"/>
          <w:color w:val="auto"/>
        </w:rPr>
      </w:pPr>
    </w:p>
    <w:p>
      <w:pPr>
        <w:jc w:val="both"/>
        <w:ind w:left="760" w:hanging="324"/>
        <w:spacing w:after="0" w:line="302" w:lineRule="auto"/>
        <w:tabs>
          <w:tab w:leader="none" w:pos="76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00" w:lineRule="exact"/>
        <w:rPr>
          <w:rFonts w:ascii="Arial" w:cs="Arial" w:eastAsia="Arial" w:hAnsi="Arial"/>
          <w:sz w:val="16"/>
          <w:szCs w:val="16"/>
          <w:color w:val="auto"/>
        </w:rPr>
      </w:pPr>
    </w:p>
    <w:p>
      <w:pPr>
        <w:jc w:val="both"/>
        <w:ind w:left="760" w:hanging="324"/>
        <w:spacing w:after="0" w:line="259" w:lineRule="auto"/>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The Company has submitted filings in the United States in connection with the stock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32" w:lineRule="exact"/>
        <w:rPr>
          <w:rFonts w:ascii="Arial" w:cs="Arial" w:eastAsia="Arial" w:hAnsi="Arial"/>
          <w:sz w:val="18"/>
          <w:szCs w:val="18"/>
          <w:color w:val="auto"/>
        </w:rPr>
      </w:pPr>
    </w:p>
    <w:p>
      <w:pPr>
        <w:jc w:val="both"/>
        <w:ind w:left="760" w:hanging="324"/>
        <w:spacing w:after="0" w:line="259" w:lineRule="auto"/>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 of the Board.</w:t>
      </w:r>
    </w:p>
    <w:p>
      <w:pPr>
        <w:spacing w:after="0" w:line="132" w:lineRule="exact"/>
        <w:rPr>
          <w:rFonts w:ascii="Arial" w:cs="Arial" w:eastAsia="Arial" w:hAnsi="Arial"/>
          <w:sz w:val="18"/>
          <w:szCs w:val="18"/>
          <w:color w:val="auto"/>
        </w:rPr>
      </w:pPr>
    </w:p>
    <w:p>
      <w:pPr>
        <w:jc w:val="both"/>
        <w:ind w:left="760" w:hanging="324"/>
        <w:spacing w:after="0" w:line="259" w:lineRule="auto"/>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the Participant’s participation in the Plan, or the Participant’s acquisition or sale of Shares. The Participant is hereby advised to consult with his or her own personal tax, legal and financial advisors regarding his or her participation in the Plan before taking any action related to the Plan.</w:t>
      </w:r>
    </w:p>
    <w:p>
      <w:pPr>
        <w:spacing w:after="0" w:line="132" w:lineRule="exact"/>
        <w:rPr>
          <w:rFonts w:ascii="Arial" w:cs="Arial" w:eastAsia="Arial" w:hAnsi="Arial"/>
          <w:sz w:val="18"/>
          <w:szCs w:val="18"/>
          <w:color w:val="auto"/>
        </w:rPr>
      </w:pPr>
    </w:p>
    <w:p>
      <w:pPr>
        <w:ind w:left="760" w:hanging="324"/>
        <w:spacing w:after="0" w:line="308" w:lineRule="auto"/>
        <w:tabs>
          <w:tab w:leader="none" w:pos="760"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25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Ray Stata</w:t>
      </w:r>
      <w:r>
        <w:rPr>
          <w:sz w:val="20"/>
          <w:szCs w:val="20"/>
          <w:color w:val="auto"/>
        </w:rPr>
        <w:tab/>
      </w:r>
      <w:r>
        <w:rPr>
          <w:rFonts w:ascii="Arial" w:cs="Arial" w:eastAsia="Arial" w:hAnsi="Arial"/>
          <w:sz w:val="16"/>
          <w:szCs w:val="16"/>
          <w:color w:val="auto"/>
        </w:rPr>
        <w:t>Vincent Roche</w:t>
      </w:r>
    </w:p>
    <w:p>
      <w:pPr>
        <w:spacing w:after="0"/>
        <w:tabs>
          <w:tab w:leader="none" w:pos="2000" w:val="left"/>
        </w:tabs>
        <w:rPr>
          <w:sz w:val="20"/>
          <w:szCs w:val="20"/>
          <w:color w:val="auto"/>
        </w:rPr>
      </w:pPr>
      <w:r>
        <w:rPr>
          <w:rFonts w:ascii="Arial" w:cs="Arial" w:eastAsia="Arial" w:hAnsi="Arial"/>
          <w:sz w:val="18"/>
          <w:szCs w:val="18"/>
          <w:color w:val="auto"/>
        </w:rPr>
        <w:t>Chairman of the Board</w:t>
      </w:r>
      <w:r>
        <w:rPr>
          <w:sz w:val="20"/>
          <w:szCs w:val="20"/>
          <w:color w:val="auto"/>
        </w:rPr>
        <w:tab/>
      </w:r>
      <w:r>
        <w:rPr>
          <w:rFonts w:ascii="Arial" w:cs="Arial" w:eastAsia="Arial" w:hAnsi="Arial"/>
          <w:sz w:val="16"/>
          <w:szCs w:val="16"/>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00"/>
          </w:cols>
          <w:pgMar w:left="460" w:top="1440" w:right="239" w:bottom="1440" w:gutter="0" w:footer="0" w:header="0"/>
        </w:sectPr>
      </w:pPr>
    </w:p>
    <w:bookmarkStart w:id="115" w:name="page116"/>
    <w:bookmarkEnd w:id="115"/>
    <w:p>
      <w:pPr>
        <w:ind w:left="474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APPENDIX A TO</w:t>
      </w:r>
    </w:p>
    <w:p>
      <w:pPr>
        <w:spacing w:after="0" w:line="167" w:lineRule="exact"/>
        <w:rPr>
          <w:sz w:val="20"/>
          <w:szCs w:val="20"/>
          <w:color w:val="auto"/>
        </w:rPr>
      </w:pPr>
    </w:p>
    <w:p>
      <w:pPr>
        <w:ind w:left="3108"/>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19" w:lineRule="exact"/>
        <w:rPr>
          <w:sz w:val="20"/>
          <w:szCs w:val="20"/>
          <w:color w:val="auto"/>
        </w:rPr>
      </w:pPr>
    </w:p>
    <w:p>
      <w:pPr>
        <w:ind w:left="328" w:hanging="328"/>
        <w:spacing w:after="0"/>
        <w:tabs>
          <w:tab w:leader="none" w:pos="328"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Performance Period</w:t>
      </w:r>
      <w:r>
        <w:rPr>
          <w:rFonts w:ascii="Arial" w:cs="Arial" w:eastAsia="Arial" w:hAnsi="Arial"/>
          <w:sz w:val="17"/>
          <w:szCs w:val="17"/>
          <w:color w:val="auto"/>
        </w:rPr>
        <w:t>. The three-year period beginning on {GRANTDATE} and ending on {GRANTDATE+3YRS} (the “Performance Period”).</w:t>
      </w:r>
    </w:p>
    <w:p>
      <w:pPr>
        <w:spacing w:after="0" w:line="182" w:lineRule="exact"/>
        <w:rPr>
          <w:rFonts w:ascii="Arial" w:cs="Arial" w:eastAsia="Arial" w:hAnsi="Arial"/>
          <w:sz w:val="17"/>
          <w:szCs w:val="17"/>
          <w:color w:val="auto"/>
        </w:rPr>
      </w:pPr>
    </w:p>
    <w:p>
      <w:pPr>
        <w:ind w:left="328" w:hanging="328"/>
        <w:spacing w:after="0"/>
        <w:tabs>
          <w:tab w:leader="none" w:pos="32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Vesting Date</w:t>
      </w:r>
      <w:r>
        <w:rPr>
          <w:rFonts w:ascii="Arial" w:cs="Arial" w:eastAsia="Arial" w:hAnsi="Arial"/>
          <w:sz w:val="18"/>
          <w:szCs w:val="18"/>
          <w:color w:val="auto"/>
        </w:rPr>
        <w:t>. {GRANTDATE+3YRS+14DAYS}.</w:t>
      </w:r>
    </w:p>
    <w:p>
      <w:pPr>
        <w:spacing w:after="0" w:line="171"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Certification Date</w:t>
      </w:r>
      <w:r>
        <w:rPr>
          <w:rFonts w:ascii="Arial" w:cs="Arial" w:eastAsia="Arial" w:hAnsi="Arial"/>
          <w:sz w:val="18"/>
          <w:szCs w:val="18"/>
          <w:color w:val="auto"/>
        </w:rPr>
        <w:t>: The date the Compensation Committee of the Board certifies in writing, in accordance with the requirements of Section 162(m) of the Code, the level of attainment of the Performance Parameters. The Certification Date shall be a date as soon as possible following the end of the Performance Period but prior to the Vesting Date.</w:t>
      </w:r>
    </w:p>
    <w:p>
      <w:pPr>
        <w:spacing w:after="0" w:line="127" w:lineRule="exact"/>
        <w:rPr>
          <w:rFonts w:ascii="Arial" w:cs="Arial" w:eastAsia="Arial" w:hAnsi="Arial"/>
          <w:sz w:val="18"/>
          <w:szCs w:val="18"/>
          <w:color w:val="auto"/>
        </w:rPr>
      </w:pPr>
    </w:p>
    <w:p>
      <w:pPr>
        <w:jc w:val="both"/>
        <w:ind w:left="328" w:hanging="328"/>
        <w:spacing w:after="0" w:line="253" w:lineRule="auto"/>
        <w:tabs>
          <w:tab w:leader="none" w:pos="32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Performance-Based Vesting Terms</w:t>
      </w:r>
      <w:r>
        <w:rPr>
          <w:rFonts w:ascii="Arial" w:cs="Arial" w:eastAsia="Arial" w:hAnsi="Arial"/>
          <w:sz w:val="18"/>
          <w:szCs w:val="18"/>
          <w:color w:val="auto"/>
        </w:rPr>
        <w:t>. Except as provided in the following sentence, the Participant shall vest on the Vesting Date in the number of Performance RSUs, if any, that the Compensation Committee of the Board shall determine to be vested based on the determination of the certified level of attainment of the Performance Parameters, provided the Participant continues to provide services to the Company or Employer or respective successor through the Vesting Date. In the event the Participant’s employment is terminated by reason of the Participant’s death or Disability prior to the end of the Performance Period, the Unvested Performance RSUs shall vest immediately upon termination with respect to the Initial Grant Number of Shares underlying the Performance RSUs, notwithstanding that the Participant’s employment is terminated prior to the Vesting Date. If the Participant’s employment is terminated by reason of the Participant’s death or Disability after the end of the Performance Period, the Unvested Performance RSUs shall vest in accordance with the first sentence of this Section 4 had the Participant continued employment through the Vesting Date.</w:t>
      </w:r>
    </w:p>
    <w:p>
      <w:pPr>
        <w:spacing w:after="0" w:line="143" w:lineRule="exact"/>
        <w:rPr>
          <w:rFonts w:ascii="Arial" w:cs="Arial" w:eastAsia="Arial" w:hAnsi="Arial"/>
          <w:sz w:val="18"/>
          <w:szCs w:val="18"/>
          <w:color w:val="auto"/>
        </w:rPr>
      </w:pPr>
    </w:p>
    <w:p>
      <w:pPr>
        <w:jc w:val="both"/>
        <w:ind w:left="328" w:hanging="328"/>
        <w:spacing w:after="0" w:line="276" w:lineRule="auto"/>
        <w:tabs>
          <w:tab w:leader="none" w:pos="328"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Performance Parameters</w:t>
      </w:r>
      <w:r>
        <w:rPr>
          <w:rFonts w:ascii="Arial" w:cs="Arial" w:eastAsia="Arial" w:hAnsi="Arial"/>
          <w:sz w:val="17"/>
          <w:szCs w:val="17"/>
          <w:color w:val="auto"/>
        </w:rPr>
        <w:t>. The Performance Parameters are based on the comparison of the TSR (as defined below) of the Company relative to the median TSR of the Peer Group (as defined below) during the Performance Period and are equal to 100% plus or minus two times the difference between the Company’s TSR and the median Peer Group TSR. The number of Performance RSUs that shall vest shall be equal to a number of Performance RSUs that is between 0% and 200% of the Initial Grant Number, up to a maximum of 100% of the Initial Grant Number if the Company’s TSR is negative. Attainment among Performance Parameters is subject to interpolation on a linear basis.</w:t>
      </w:r>
    </w:p>
    <w:p>
      <w:pPr>
        <w:spacing w:after="0" w:line="119" w:lineRule="exact"/>
        <w:rPr>
          <w:sz w:val="20"/>
          <w:szCs w:val="20"/>
          <w:color w:val="auto"/>
        </w:rPr>
      </w:pPr>
    </w:p>
    <w:p>
      <w:pPr>
        <w:jc w:val="both"/>
        <w:ind w:left="328"/>
        <w:spacing w:after="0" w:line="264" w:lineRule="auto"/>
        <w:rPr>
          <w:sz w:val="20"/>
          <w:szCs w:val="20"/>
          <w:color w:val="auto"/>
        </w:rPr>
      </w:pPr>
      <w:r>
        <w:rPr>
          <w:rFonts w:ascii="Arial" w:cs="Arial" w:eastAsia="Arial" w:hAnsi="Arial"/>
          <w:sz w:val="18"/>
          <w:szCs w:val="18"/>
          <w:color w:val="auto"/>
        </w:rPr>
        <w:t>“Peer Group” shall mean a peer group of companies established by the Compensation Committee of the Board at the time the Performance RSUs are granted to the Participant and the stock of which continues to be traded on a publicly traded stock exchange as of the last day of the Performance Period.</w:t>
      </w:r>
    </w:p>
    <w:p>
      <w:pPr>
        <w:spacing w:after="0" w:line="127" w:lineRule="exact"/>
        <w:rPr>
          <w:sz w:val="20"/>
          <w:szCs w:val="20"/>
          <w:color w:val="auto"/>
        </w:rPr>
      </w:pPr>
    </w:p>
    <w:p>
      <w:pPr>
        <w:ind w:left="328"/>
        <w:spacing w:after="0"/>
        <w:rPr>
          <w:sz w:val="20"/>
          <w:szCs w:val="20"/>
          <w:color w:val="auto"/>
        </w:rPr>
      </w:pPr>
      <w:r>
        <w:rPr>
          <w:rFonts w:ascii="Arial" w:cs="Arial" w:eastAsia="Arial" w:hAnsi="Arial"/>
          <w:sz w:val="18"/>
          <w:szCs w:val="18"/>
          <w:color w:val="auto"/>
        </w:rPr>
        <w:t>Total Shareholder Return (“TSR”) shall be computed according to the following formula:</w:t>
      </w:r>
    </w:p>
    <w:p>
      <w:pPr>
        <w:spacing w:after="0" w:line="171"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 xml:space="preserve">TSR = </w:t>
      </w:r>
      <w:r>
        <w:rPr>
          <w:rFonts w:ascii="Arial" w:cs="Arial" w:eastAsia="Arial" w:hAnsi="Arial"/>
          <w:sz w:val="18"/>
          <w:szCs w:val="18"/>
          <w:u w:val="single" w:color="auto"/>
          <w:color w:val="auto"/>
        </w:rPr>
        <w:t>(Ending Stock Price – Beginning Stock Price + Cumulative Cash Dividend Payments)</w:t>
      </w:r>
    </w:p>
    <w:p>
      <w:pPr>
        <w:spacing w:after="0" w:line="2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(Beginning Stock Price)</w:t>
      </w:r>
    </w:p>
    <w:p>
      <w:pPr>
        <w:spacing w:after="0" w:line="224" w:lineRule="exact"/>
        <w:rPr>
          <w:sz w:val="20"/>
          <w:szCs w:val="20"/>
          <w:color w:val="auto"/>
        </w:rPr>
      </w:pPr>
    </w:p>
    <w:p>
      <w:pPr>
        <w:jc w:val="both"/>
        <w:ind w:left="328"/>
        <w:spacing w:after="0" w:line="309" w:lineRule="auto"/>
        <w:rPr>
          <w:sz w:val="20"/>
          <w:szCs w:val="20"/>
          <w:color w:val="auto"/>
        </w:rPr>
      </w:pPr>
      <w:r>
        <w:rPr>
          <w:rFonts w:ascii="Arial" w:cs="Arial" w:eastAsia="Arial" w:hAnsi="Arial"/>
          <w:sz w:val="18"/>
          <w:szCs w:val="18"/>
          <w:color w:val="auto"/>
        </w:rPr>
        <w:t>“Beginning Stock Price” shall mean the average of the closing prices of the applicable stock for the 90 calendar days starting and including the first day of the Performance Period.</w:t>
      </w:r>
    </w:p>
    <w:p>
      <w:pPr>
        <w:spacing w:after="0" w:line="129" w:lineRule="exact"/>
        <w:rPr>
          <w:sz w:val="20"/>
          <w:szCs w:val="20"/>
          <w:color w:val="auto"/>
        </w:rPr>
      </w:pPr>
    </w:p>
    <w:p>
      <w:pPr>
        <w:jc w:val="both"/>
        <w:ind w:left="328"/>
        <w:spacing w:after="0" w:line="309" w:lineRule="auto"/>
        <w:rPr>
          <w:sz w:val="20"/>
          <w:szCs w:val="20"/>
          <w:color w:val="auto"/>
        </w:rPr>
      </w:pPr>
      <w:r>
        <w:rPr>
          <w:rFonts w:ascii="Arial" w:cs="Arial" w:eastAsia="Arial" w:hAnsi="Arial"/>
          <w:sz w:val="18"/>
          <w:szCs w:val="18"/>
          <w:color w:val="auto"/>
        </w:rPr>
        <w:t>“Ending Stock Price” shall mean the average of the closing price of the applicable stock for the 90 calendar days up to and including the last day of the Performance Period.</w:t>
      </w:r>
    </w:p>
    <w:p>
      <w:pPr>
        <w:spacing w:after="0" w:line="129" w:lineRule="exact"/>
        <w:rPr>
          <w:sz w:val="20"/>
          <w:szCs w:val="20"/>
          <w:color w:val="auto"/>
        </w:rPr>
      </w:pPr>
    </w:p>
    <w:p>
      <w:pPr>
        <w:jc w:val="both"/>
        <w:ind w:left="328"/>
        <w:spacing w:after="0" w:line="309" w:lineRule="auto"/>
        <w:rPr>
          <w:sz w:val="20"/>
          <w:szCs w:val="20"/>
          <w:color w:val="auto"/>
        </w:rPr>
      </w:pPr>
      <w:r>
        <w:rPr>
          <w:rFonts w:ascii="Arial" w:cs="Arial" w:eastAsia="Arial" w:hAnsi="Arial"/>
          <w:sz w:val="18"/>
          <w:szCs w:val="18"/>
          <w:color w:val="auto"/>
        </w:rPr>
        <w:t>“Cumulative Cash Dividend Payments” shall mean the sum of all cash dividends declared during the Performance Period, based on their ex-dividend date.</w:t>
      </w:r>
    </w:p>
    <w:p>
      <w:pPr>
        <w:spacing w:after="0" w:line="115" w:lineRule="exact"/>
        <w:rPr>
          <w:sz w:val="20"/>
          <w:szCs w:val="20"/>
          <w:color w:val="auto"/>
        </w:rPr>
      </w:pPr>
    </w:p>
    <w:p>
      <w:pPr>
        <w:jc w:val="both"/>
        <w:ind w:left="328"/>
        <w:spacing w:after="0" w:line="277" w:lineRule="auto"/>
        <w:rPr>
          <w:sz w:val="20"/>
          <w:szCs w:val="20"/>
          <w:color w:val="auto"/>
        </w:rPr>
      </w:pPr>
      <w:r>
        <w:rPr>
          <w:rFonts w:ascii="Arial" w:cs="Arial" w:eastAsia="Arial" w:hAnsi="Arial"/>
          <w:sz w:val="18"/>
          <w:szCs w:val="18"/>
          <w:color w:val="auto"/>
        </w:rPr>
        <w:t>The stock prices and cash dividend payments reflected in the calculation of TSR shall be adjusted to reflect stock splits during the Performance Period, and dividends shall not be reinvested in the calculation of TSR.</w:t>
      </w:r>
    </w:p>
    <w:p>
      <w:pPr>
        <w:spacing w:after="0" w:line="200" w:lineRule="exact"/>
        <w:rPr>
          <w:sz w:val="20"/>
          <w:szCs w:val="20"/>
          <w:color w:val="auto"/>
        </w:rPr>
      </w:pPr>
    </w:p>
    <w:p>
      <w:pPr>
        <w:spacing w:after="0" w:line="380"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088"/>
          </w:cols>
          <w:pgMar w:left="572" w:top="936" w:right="239" w:bottom="1440" w:gutter="0" w:footer="0" w:header="0"/>
        </w:sectPr>
      </w:pPr>
    </w:p>
    <w:bookmarkStart w:id="116" w:name="page117"/>
    <w:bookmarkEnd w:id="116"/>
    <w:p>
      <w:pPr>
        <w:ind w:left="44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APPENDIX A TO</w:t>
      </w:r>
    </w:p>
    <w:p>
      <w:pPr>
        <w:spacing w:after="0" w:line="167"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Three examples are set forth below:</w:t>
      </w:r>
    </w:p>
    <w:p>
      <w:pPr>
        <w:spacing w:after="0" w:line="301" w:lineRule="exact"/>
        <w:rPr>
          <w:sz w:val="20"/>
          <w:szCs w:val="20"/>
          <w:color w:val="auto"/>
        </w:rPr>
      </w:pPr>
    </w:p>
    <w:tbl>
      <w:tblPr>
        <w:tblLayout w:type="fixed"/>
        <w:tblInd w:w="90" w:type="dxa"/>
        <w:tblCellMar>
          <w:top w:w="0" w:type="dxa"/>
          <w:left w:w="0" w:type="dxa"/>
          <w:bottom w:w="0" w:type="dxa"/>
          <w:right w:w="0" w:type="dxa"/>
        </w:tblCellMar>
      </w:tblPr>
      <w:tr>
        <w:trPr>
          <w:trHeight w:val="242"/>
        </w:trPr>
        <w:tc>
          <w:tcPr>
            <w:tcW w:w="1800" w:type="dxa"/>
            <w:vAlign w:val="bottom"/>
            <w:tcBorders>
              <w:top w:val="single" w:sz="8" w:color="00000A"/>
              <w:left w:val="single" w:sz="8" w:color="00000A"/>
              <w:right w:val="single" w:sz="8" w:color="00000A"/>
            </w:tcBorders>
            <w:shd w:val="clear" w:color="auto" w:fill="C6D9F1"/>
          </w:tcPr>
          <w:p>
            <w:pPr>
              <w:spacing w:after="0"/>
              <w:rPr>
                <w:sz w:val="21"/>
                <w:szCs w:val="21"/>
                <w:color w:val="auto"/>
              </w:rPr>
            </w:pPr>
          </w:p>
        </w:tc>
        <w:tc>
          <w:tcPr>
            <w:tcW w:w="2180" w:type="dxa"/>
            <w:vAlign w:val="bottom"/>
            <w:tcBorders>
              <w:top w:val="single" w:sz="8" w:color="00000A"/>
              <w:right w:val="single" w:sz="8" w:color="00000A"/>
            </w:tcBorders>
            <w:shd w:val="clear" w:color="auto" w:fill="C6D9F1"/>
          </w:tcPr>
          <w:p>
            <w:pPr>
              <w:jc w:val="center"/>
              <w:spacing w:after="0"/>
              <w:rPr>
                <w:sz w:val="20"/>
                <w:szCs w:val="20"/>
                <w:color w:val="auto"/>
              </w:rPr>
            </w:pPr>
            <w:r>
              <w:rPr>
                <w:rFonts w:ascii="Arial" w:cs="Arial" w:eastAsia="Arial" w:hAnsi="Arial"/>
                <w:sz w:val="18"/>
                <w:szCs w:val="18"/>
                <w:color w:val="auto"/>
                <w:w w:val="89"/>
              </w:rPr>
              <w:t>Number of Potential Shares</w:t>
            </w:r>
          </w:p>
        </w:tc>
        <w:tc>
          <w:tcPr>
            <w:tcW w:w="5940" w:type="dxa"/>
            <w:vAlign w:val="bottom"/>
            <w:tcBorders>
              <w:top w:val="single" w:sz="8" w:color="00000A"/>
              <w:right w:val="single" w:sz="8" w:color="00000A"/>
            </w:tcBorders>
            <w:shd w:val="clear" w:color="auto" w:fill="C6D9F1"/>
          </w:tcPr>
          <w:p>
            <w:pPr>
              <w:spacing w:after="0"/>
              <w:rPr>
                <w:sz w:val="21"/>
                <w:szCs w:val="21"/>
                <w:color w:val="auto"/>
              </w:rPr>
            </w:pPr>
          </w:p>
        </w:tc>
      </w:tr>
      <w:tr>
        <w:trPr>
          <w:trHeight w:val="230"/>
        </w:trPr>
        <w:tc>
          <w:tcPr>
            <w:tcW w:w="1800" w:type="dxa"/>
            <w:vAlign w:val="bottom"/>
            <w:tcBorders>
              <w:left w:val="single" w:sz="8" w:color="00000A"/>
              <w:right w:val="single" w:sz="8" w:color="00000A"/>
            </w:tcBorders>
            <w:shd w:val="clear" w:color="auto" w:fill="C6D9F1"/>
          </w:tcPr>
          <w:p>
            <w:pPr>
              <w:jc w:val="center"/>
              <w:spacing w:after="0"/>
              <w:rPr>
                <w:sz w:val="20"/>
                <w:szCs w:val="20"/>
                <w:color w:val="auto"/>
              </w:rPr>
            </w:pPr>
            <w:r>
              <w:rPr>
                <w:rFonts w:ascii="Arial" w:cs="Arial" w:eastAsia="Arial" w:hAnsi="Arial"/>
                <w:sz w:val="18"/>
                <w:szCs w:val="18"/>
                <w:color w:val="auto"/>
                <w:w w:val="87"/>
              </w:rPr>
              <w:t>Payout Percent</w:t>
            </w:r>
          </w:p>
        </w:tc>
        <w:tc>
          <w:tcPr>
            <w:tcW w:w="2180" w:type="dxa"/>
            <w:vAlign w:val="bottom"/>
            <w:tcBorders>
              <w:right w:val="single" w:sz="8" w:color="00000A"/>
            </w:tcBorders>
            <w:shd w:val="clear" w:color="auto" w:fill="C6D9F1"/>
          </w:tcPr>
          <w:p>
            <w:pPr>
              <w:jc w:val="center"/>
              <w:spacing w:after="0"/>
              <w:rPr>
                <w:sz w:val="20"/>
                <w:szCs w:val="20"/>
                <w:color w:val="auto"/>
              </w:rPr>
            </w:pPr>
            <w:r>
              <w:rPr>
                <w:rFonts w:ascii="Arial" w:cs="Arial" w:eastAsia="Arial" w:hAnsi="Arial"/>
                <w:sz w:val="18"/>
                <w:szCs w:val="18"/>
                <w:color w:val="auto"/>
                <w:w w:val="93"/>
              </w:rPr>
              <w:t>Attained</w:t>
            </w:r>
          </w:p>
        </w:tc>
        <w:tc>
          <w:tcPr>
            <w:tcW w:w="5940" w:type="dxa"/>
            <w:vAlign w:val="bottom"/>
            <w:tcBorders>
              <w:right w:val="single" w:sz="8" w:color="00000A"/>
            </w:tcBorders>
            <w:shd w:val="clear" w:color="auto" w:fill="C6D9F1"/>
          </w:tcPr>
          <w:p>
            <w:pPr>
              <w:ind w:left="1940"/>
              <w:spacing w:after="0"/>
              <w:rPr>
                <w:sz w:val="20"/>
                <w:szCs w:val="20"/>
                <w:color w:val="auto"/>
              </w:rPr>
            </w:pPr>
            <w:r>
              <w:rPr>
                <w:rFonts w:ascii="Arial" w:cs="Arial" w:eastAsia="Arial" w:hAnsi="Arial"/>
                <w:sz w:val="18"/>
                <w:szCs w:val="18"/>
                <w:color w:val="auto"/>
              </w:rPr>
              <w:t>Performance Parameters</w:t>
            </w:r>
          </w:p>
        </w:tc>
      </w:tr>
      <w:tr>
        <w:trPr>
          <w:trHeight w:val="162"/>
        </w:trPr>
        <w:tc>
          <w:tcPr>
            <w:tcW w:w="1800" w:type="dxa"/>
            <w:vAlign w:val="bottom"/>
            <w:tcBorders>
              <w:left w:val="single" w:sz="8" w:color="00000A"/>
              <w:bottom w:val="single" w:sz="8" w:color="00000A"/>
              <w:right w:val="single" w:sz="8" w:color="00000A"/>
            </w:tcBorders>
            <w:shd w:val="clear" w:color="auto" w:fill="C6D9F1"/>
          </w:tcPr>
          <w:p>
            <w:pPr>
              <w:spacing w:after="0"/>
              <w:rPr>
                <w:sz w:val="14"/>
                <w:szCs w:val="14"/>
                <w:color w:val="auto"/>
              </w:rPr>
            </w:pPr>
          </w:p>
        </w:tc>
        <w:tc>
          <w:tcPr>
            <w:tcW w:w="2180" w:type="dxa"/>
            <w:vAlign w:val="bottom"/>
            <w:tcBorders>
              <w:bottom w:val="single" w:sz="8" w:color="00000A"/>
              <w:right w:val="single" w:sz="8" w:color="00000A"/>
            </w:tcBorders>
            <w:shd w:val="clear" w:color="auto" w:fill="C6D9F1"/>
          </w:tcPr>
          <w:p>
            <w:pPr>
              <w:spacing w:after="0"/>
              <w:rPr>
                <w:sz w:val="14"/>
                <w:szCs w:val="14"/>
                <w:color w:val="auto"/>
              </w:rPr>
            </w:pPr>
          </w:p>
        </w:tc>
        <w:tc>
          <w:tcPr>
            <w:tcW w:w="5940" w:type="dxa"/>
            <w:vAlign w:val="bottom"/>
            <w:tcBorders>
              <w:bottom w:val="single" w:sz="8" w:color="00000A"/>
              <w:right w:val="single" w:sz="8" w:color="00000A"/>
            </w:tcBorders>
            <w:shd w:val="clear" w:color="auto" w:fill="C6D9F1"/>
          </w:tcPr>
          <w:p>
            <w:pPr>
              <w:spacing w:after="0"/>
              <w:rPr>
                <w:sz w:val="14"/>
                <w:szCs w:val="14"/>
                <w:color w:val="auto"/>
              </w:rPr>
            </w:pPr>
          </w:p>
        </w:tc>
      </w:tr>
      <w:tr>
        <w:trPr>
          <w:trHeight w:val="237"/>
        </w:trPr>
        <w:tc>
          <w:tcPr>
            <w:tcW w:w="18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0%</w:t>
            </w:r>
          </w:p>
        </w:tc>
        <w:tc>
          <w:tcPr>
            <w:tcW w:w="21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0</w:t>
            </w:r>
          </w:p>
        </w:tc>
        <w:tc>
          <w:tcPr>
            <w:tcW w:w="5940" w:type="dxa"/>
            <w:vAlign w:val="bottom"/>
            <w:tcBorders>
              <w:right w:val="single" w:sz="8" w:color="00000A"/>
            </w:tcBorders>
          </w:tcPr>
          <w:p>
            <w:pPr>
              <w:ind w:left="100"/>
              <w:spacing w:after="0"/>
              <w:rPr>
                <w:sz w:val="20"/>
                <w:szCs w:val="20"/>
                <w:color w:val="auto"/>
              </w:rPr>
            </w:pPr>
            <w:r>
              <w:rPr>
                <w:rFonts w:ascii="Arial" w:cs="Arial" w:eastAsia="Arial" w:hAnsi="Arial"/>
                <w:sz w:val="18"/>
                <w:szCs w:val="18"/>
                <w:color w:val="auto"/>
                <w:w w:val="98"/>
              </w:rPr>
              <w:t>Company TSR minus Peer Group Median TSR is less than or equal to -50</w:t>
            </w:r>
          </w:p>
        </w:tc>
      </w:tr>
      <w:tr>
        <w:trPr>
          <w:trHeight w:val="162"/>
        </w:trPr>
        <w:tc>
          <w:tcPr>
            <w:tcW w:w="1800" w:type="dxa"/>
            <w:vAlign w:val="bottom"/>
            <w:tcBorders>
              <w:left w:val="single" w:sz="8" w:color="00000A"/>
              <w:bottom w:val="single" w:sz="8" w:color="00000A"/>
              <w:right w:val="single" w:sz="8" w:color="00000A"/>
            </w:tcBorders>
          </w:tcPr>
          <w:p>
            <w:pPr>
              <w:spacing w:after="0"/>
              <w:rPr>
                <w:sz w:val="14"/>
                <w:szCs w:val="14"/>
                <w:color w:val="auto"/>
              </w:rPr>
            </w:pPr>
          </w:p>
        </w:tc>
        <w:tc>
          <w:tcPr>
            <w:tcW w:w="2180" w:type="dxa"/>
            <w:vAlign w:val="bottom"/>
            <w:tcBorders>
              <w:bottom w:val="single" w:sz="8" w:color="00000A"/>
              <w:right w:val="single" w:sz="8" w:color="00000A"/>
            </w:tcBorders>
          </w:tcPr>
          <w:p>
            <w:pPr>
              <w:spacing w:after="0"/>
              <w:rPr>
                <w:sz w:val="14"/>
                <w:szCs w:val="14"/>
                <w:color w:val="auto"/>
              </w:rPr>
            </w:pPr>
          </w:p>
        </w:tc>
        <w:tc>
          <w:tcPr>
            <w:tcW w:w="5940" w:type="dxa"/>
            <w:vAlign w:val="bottom"/>
            <w:tcBorders>
              <w:bottom w:val="single" w:sz="8" w:color="00000A"/>
              <w:right w:val="single" w:sz="8" w:color="00000A"/>
            </w:tcBorders>
          </w:tcPr>
          <w:p>
            <w:pPr>
              <w:spacing w:after="0"/>
              <w:rPr>
                <w:sz w:val="14"/>
                <w:szCs w:val="14"/>
                <w:color w:val="auto"/>
              </w:rPr>
            </w:pPr>
          </w:p>
        </w:tc>
      </w:tr>
      <w:tr>
        <w:trPr>
          <w:trHeight w:val="237"/>
        </w:trPr>
        <w:tc>
          <w:tcPr>
            <w:tcW w:w="18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100%</w:t>
            </w:r>
          </w:p>
        </w:tc>
        <w:tc>
          <w:tcPr>
            <w:tcW w:w="21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{InitialGrantNumber}</w:t>
            </w:r>
          </w:p>
        </w:tc>
        <w:tc>
          <w:tcPr>
            <w:tcW w:w="5940" w:type="dxa"/>
            <w:vAlign w:val="bottom"/>
            <w:tcBorders>
              <w:right w:val="single" w:sz="8" w:color="00000A"/>
            </w:tcBorders>
          </w:tcPr>
          <w:p>
            <w:pPr>
              <w:ind w:left="100"/>
              <w:spacing w:after="0"/>
              <w:rPr>
                <w:sz w:val="20"/>
                <w:szCs w:val="20"/>
                <w:color w:val="auto"/>
              </w:rPr>
            </w:pPr>
            <w:r>
              <w:rPr>
                <w:rFonts w:ascii="Arial" w:cs="Arial" w:eastAsia="Arial" w:hAnsi="Arial"/>
                <w:sz w:val="18"/>
                <w:szCs w:val="18"/>
                <w:color w:val="auto"/>
              </w:rPr>
              <w:t>Company TSR minus Peer Group Median TSR equals 0</w:t>
            </w:r>
          </w:p>
        </w:tc>
      </w:tr>
      <w:tr>
        <w:trPr>
          <w:trHeight w:val="162"/>
        </w:trPr>
        <w:tc>
          <w:tcPr>
            <w:tcW w:w="1800" w:type="dxa"/>
            <w:vAlign w:val="bottom"/>
            <w:tcBorders>
              <w:left w:val="single" w:sz="8" w:color="00000A"/>
              <w:bottom w:val="single" w:sz="8" w:color="00000A"/>
              <w:right w:val="single" w:sz="8" w:color="00000A"/>
            </w:tcBorders>
          </w:tcPr>
          <w:p>
            <w:pPr>
              <w:spacing w:after="0"/>
              <w:rPr>
                <w:sz w:val="14"/>
                <w:szCs w:val="14"/>
                <w:color w:val="auto"/>
              </w:rPr>
            </w:pPr>
          </w:p>
        </w:tc>
        <w:tc>
          <w:tcPr>
            <w:tcW w:w="2180" w:type="dxa"/>
            <w:vAlign w:val="bottom"/>
            <w:tcBorders>
              <w:bottom w:val="single" w:sz="8" w:color="00000A"/>
              <w:right w:val="single" w:sz="8" w:color="00000A"/>
            </w:tcBorders>
          </w:tcPr>
          <w:p>
            <w:pPr>
              <w:spacing w:after="0"/>
              <w:rPr>
                <w:sz w:val="14"/>
                <w:szCs w:val="14"/>
                <w:color w:val="auto"/>
              </w:rPr>
            </w:pPr>
          </w:p>
        </w:tc>
        <w:tc>
          <w:tcPr>
            <w:tcW w:w="5940" w:type="dxa"/>
            <w:vAlign w:val="bottom"/>
            <w:tcBorders>
              <w:bottom w:val="single" w:sz="8" w:color="00000A"/>
              <w:right w:val="single" w:sz="8" w:color="00000A"/>
            </w:tcBorders>
          </w:tcPr>
          <w:p>
            <w:pPr>
              <w:spacing w:after="0"/>
              <w:rPr>
                <w:sz w:val="14"/>
                <w:szCs w:val="14"/>
                <w:color w:val="auto"/>
              </w:rPr>
            </w:pPr>
          </w:p>
        </w:tc>
      </w:tr>
      <w:tr>
        <w:trPr>
          <w:trHeight w:val="237"/>
        </w:trPr>
        <w:tc>
          <w:tcPr>
            <w:tcW w:w="18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200%</w:t>
            </w:r>
          </w:p>
        </w:tc>
        <w:tc>
          <w:tcPr>
            <w:tcW w:w="21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{InitialGrantNumber x 2}</w:t>
            </w:r>
          </w:p>
        </w:tc>
        <w:tc>
          <w:tcPr>
            <w:tcW w:w="5940" w:type="dxa"/>
            <w:vAlign w:val="bottom"/>
            <w:tcBorders>
              <w:right w:val="single" w:sz="8" w:color="00000A"/>
            </w:tcBorders>
          </w:tcPr>
          <w:p>
            <w:pPr>
              <w:ind w:left="100"/>
              <w:spacing w:after="0"/>
              <w:rPr>
                <w:sz w:val="20"/>
                <w:szCs w:val="20"/>
                <w:color w:val="auto"/>
              </w:rPr>
            </w:pPr>
            <w:r>
              <w:rPr>
                <w:rFonts w:ascii="Arial" w:cs="Arial" w:eastAsia="Arial" w:hAnsi="Arial"/>
                <w:sz w:val="18"/>
                <w:szCs w:val="18"/>
                <w:color w:val="auto"/>
              </w:rPr>
              <w:t>+</w:t>
            </w:r>
          </w:p>
        </w:tc>
      </w:tr>
      <w:tr>
        <w:trPr>
          <w:trHeight w:val="162"/>
        </w:trPr>
        <w:tc>
          <w:tcPr>
            <w:tcW w:w="1800" w:type="dxa"/>
            <w:vAlign w:val="bottom"/>
            <w:tcBorders>
              <w:left w:val="single" w:sz="8" w:color="00000A"/>
              <w:bottom w:val="single" w:sz="8" w:color="00000A"/>
              <w:right w:val="single" w:sz="8" w:color="00000A"/>
            </w:tcBorders>
          </w:tcPr>
          <w:p>
            <w:pPr>
              <w:spacing w:after="0"/>
              <w:rPr>
                <w:sz w:val="14"/>
                <w:szCs w:val="14"/>
                <w:color w:val="auto"/>
              </w:rPr>
            </w:pPr>
          </w:p>
        </w:tc>
        <w:tc>
          <w:tcPr>
            <w:tcW w:w="2180" w:type="dxa"/>
            <w:vAlign w:val="bottom"/>
            <w:tcBorders>
              <w:bottom w:val="single" w:sz="8" w:color="00000A"/>
              <w:right w:val="single" w:sz="8" w:color="00000A"/>
            </w:tcBorders>
          </w:tcPr>
          <w:p>
            <w:pPr>
              <w:spacing w:after="0"/>
              <w:rPr>
                <w:sz w:val="14"/>
                <w:szCs w:val="14"/>
                <w:color w:val="auto"/>
              </w:rPr>
            </w:pPr>
          </w:p>
        </w:tc>
        <w:tc>
          <w:tcPr>
            <w:tcW w:w="5940" w:type="dxa"/>
            <w:vAlign w:val="bottom"/>
            <w:tcBorders>
              <w:bottom w:val="single" w:sz="8" w:color="00000A"/>
              <w:right w:val="single" w:sz="8" w:color="00000A"/>
            </w:tcBorders>
          </w:tcPr>
          <w:p>
            <w:pPr>
              <w:spacing w:after="0"/>
              <w:rPr>
                <w:sz w:val="14"/>
                <w:szCs w:val="14"/>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Performance Parameters shall be subject to the adjustments approved by the Compensation Committee of the Board and set forth in writing at the time the Performance Parameters are approved, which adjustments shall be made in accordance with the requirements of Code Section 162(m) to the extent the Performance RSUs are intended to constitute qualified performance-based compensation, provided that the Compensation Committee of the Board may exercise its discretion to adjust the Performance Parameters in a manner that would result in a decrease to the number of the Performance RSUs that would otherwise vest based on the attainment of the Performance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APPENDIX A - 2</w:t>
      </w:r>
    </w:p>
    <w:p>
      <w:pPr>
        <w:sectPr>
          <w:pgSz w:w="11900" w:h="16838" w:orient="portrait"/>
          <w:cols w:equalWidth="0" w:num="1">
            <w:col w:w="10760"/>
          </w:cols>
          <w:pgMar w:left="900" w:top="936" w:right="239" w:bottom="1440" w:gutter="0" w:footer="0" w:header="0"/>
        </w:sectPr>
      </w:pPr>
    </w:p>
    <w:bookmarkStart w:id="117" w:name="page118"/>
    <w:bookmarkEnd w:id="117"/>
    <w:p>
      <w:pPr>
        <w:ind w:left="50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APPENDIX B TO</w:t>
      </w:r>
    </w:p>
    <w:p>
      <w:pPr>
        <w:spacing w:after="0" w:line="167"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This Appendix B includes additional terms and conditions that govern the Performance RSUs granted to the Participant if the Participant resides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6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December 2013.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18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addition, the information is general in nature and may not apply to the Participant’s particular situation, and the Company is not in a position to assure the Participant of any particular result. Therefore, the Participant is advised to seek appropriate professional advice as to how the relevant laws in the Participant’s country may apply to his or her situation.</w:t>
      </w:r>
    </w:p>
    <w:p>
      <w:pPr>
        <w:spacing w:after="0" w:line="181"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Finally, the Participant understands that if he or she is a citizen or resident of a country other than the one in which the Participant is currently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IRELAND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Exclusion from Termination Indemnities and Other Benefits</w:t>
      </w:r>
      <w:r>
        <w:rPr>
          <w:rFonts w:ascii="Arial" w:cs="Arial" w:eastAsia="Arial" w:hAnsi="Arial"/>
          <w:sz w:val="18"/>
          <w:szCs w:val="18"/>
          <w:color w:val="auto"/>
        </w:rPr>
        <w:t>. This provision supplements Section 10(b) of the Agreement:</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By accepting the Performance RSUs, the Participant acknowledges, understands, and agrees that the benefits received under the Plan will not be taken into account for any redundancy or unfair dismissal claim.</w:t>
      </w:r>
    </w:p>
    <w:p>
      <w:pPr>
        <w:spacing w:after="0" w:line="170"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u w:val="single" w:color="auto"/>
          <w:color w:val="auto"/>
        </w:rPr>
        <w:t>Director Notification</w:t>
      </w:r>
      <w:r>
        <w:rPr>
          <w:rFonts w:ascii="Arial" w:cs="Arial" w:eastAsia="Arial" w:hAnsi="Arial"/>
          <w:sz w:val="18"/>
          <w:szCs w:val="18"/>
          <w:color w:val="auto"/>
        </w:rPr>
        <w:t>. If the Participant is a director, shadow director</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or secretary of an Irish subsidiary of the Company, the Participant is subject to certain notification requirements under Section 53 of the Companies Act, 1990. Among these requirements is an obligation to notify the Irish affiliate in writing within five (5) business days when the Participant receives an interest (e.g., Performance RSUs, Shares) in the Company and the number and class of shares or rights to which the interest relates. In addition, the Participant must notify the Irish subsidiary within five (5) business days when the Participant sells Shares acquired under the Plan. This notification requirement also applies to any rights or Shares acquired by the Participant's spouse or children (under the age of 18).</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Manner of Payment</w:t>
      </w:r>
      <w:r>
        <w:rPr>
          <w:rFonts w:ascii="Arial" w:cs="Arial" w:eastAsia="Arial" w:hAnsi="Arial"/>
          <w:sz w:val="18"/>
          <w:szCs w:val="18"/>
          <w:color w:val="auto"/>
        </w:rPr>
        <w:t>. This provision replaces Section 7 of the Agreement:</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left="340" w:right="20"/>
        <w:spacing w:after="0" w:line="255"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A shadow director is an individual who is not on the Board of the Irish subsidiary but who has sufficient control so that the Board of the Irish subsidiary acts in accordance with the “directions</w:t>
      </w:r>
      <w:r>
        <w:rPr>
          <w:rFonts w:ascii="Arial" w:cs="Arial" w:eastAsia="Arial" w:hAnsi="Arial"/>
          <w:sz w:val="9"/>
          <w:szCs w:val="9"/>
          <w:color w:val="auto"/>
        </w:rPr>
        <w:t xml:space="preserve"> </w:t>
      </w:r>
      <w:r>
        <w:rPr>
          <w:rFonts w:ascii="Arial" w:cs="Arial" w:eastAsia="Arial" w:hAnsi="Arial"/>
          <w:sz w:val="14"/>
          <w:szCs w:val="14"/>
          <w:color w:val="auto"/>
        </w:rPr>
        <w:t>or instructions” of the individual.</w:t>
      </w:r>
    </w:p>
    <w:p>
      <w:pPr>
        <w:sectPr>
          <w:pgSz w:w="11900" w:h="16838" w:orient="portrait"/>
          <w:cols w:equalWidth="0" w:num="1">
            <w:col w:w="11420"/>
          </w:cols>
          <w:pgMar w:left="240" w:top="9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APPENDIX B - 1</w:t>
      </w:r>
    </w:p>
    <w:p>
      <w:pPr>
        <w:sectPr>
          <w:pgSz w:w="11900" w:h="16838" w:orient="portrait"/>
          <w:cols w:equalWidth="0" w:num="1">
            <w:col w:w="11420"/>
          </w:cols>
          <w:pgMar w:left="240" w:top="936" w:right="239" w:bottom="1440" w:gutter="0" w:footer="0" w:header="0"/>
          <w:type w:val="continuous"/>
        </w:sectPr>
      </w:pPr>
    </w:p>
    <w:bookmarkStart w:id="118" w:name="page119"/>
    <w:bookmarkEnd w:id="118"/>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411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11480"/>
                    </a:xfrm>
                    <a:prstGeom prst="rect">
                      <a:avLst/>
                    </a:prstGeom>
                    <a:noFill/>
                  </pic:spPr>
                </pic:pic>
              </a:graphicData>
            </a:graphic>
          </wp:anchor>
        </w:drawing>
        <w:t>APPENDIX B TO</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AMENDED AND RESTATED 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Joint Election</w:t>
      </w:r>
      <w:r>
        <w:rPr>
          <w:rFonts w:ascii="Arial" w:cs="Arial" w:eastAsia="Arial" w:hAnsi="Arial"/>
          <w:sz w:val="18"/>
          <w:szCs w:val="18"/>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If the Participant has signed a Joint Election in the past with respect to an RSU award granted to him or her by the Company and that Joint Election applies to all grants made under the Plan, the Participant need not sign another Joint Election in connection with this Performance RSU grant.</w:t>
      </w:r>
    </w:p>
    <w:p>
      <w:pPr>
        <w:spacing w:after="0" w:line="39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APPENDIX B - 2</w:t>
      </w:r>
    </w:p>
    <w:p>
      <w:pPr>
        <w:sectPr>
          <w:pgSz w:w="11900" w:h="16838" w:orient="portrait"/>
          <w:cols w:equalWidth="0" w:num="1">
            <w:col w:w="11080"/>
          </w:cols>
          <w:pgMar w:left="580" w:top="936"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2006 STOCK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{EMPNAME}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pleased to advise you (the “Participant”) that Analog Devices, Inc., a Massachusetts corporation (the “Company”), has granted to the Participant Restricted Stock Units (“RSUs”) on the terms and conditions set forth below (the “Award”). This Award reflects the Company's confidence in the Participant's commitment and contributions to the success and continued growth of the Company.</w:t>
      </w:r>
    </w:p>
    <w:p>
      <w:pPr>
        <w:spacing w:after="0" w:line="141" w:lineRule="exact"/>
        <w:rPr>
          <w:sz w:val="20"/>
          <w:szCs w:val="20"/>
          <w:color w:val="auto"/>
        </w:rPr>
      </w:pPr>
    </w:p>
    <w:p>
      <w:pPr>
        <w:ind w:left="340" w:hanging="332"/>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Restricted Stock Unit</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340" w:right="20"/>
        <w:spacing w:after="0" w:line="290" w:lineRule="auto"/>
        <w:rPr>
          <w:rFonts w:ascii="Arial" w:cs="Arial" w:eastAsia="Arial" w:hAnsi="Arial"/>
          <w:sz w:val="18"/>
          <w:szCs w:val="18"/>
          <w:color w:val="auto"/>
        </w:rPr>
      </w:pPr>
      <w:r>
        <w:rPr>
          <w:rFonts w:ascii="Arial" w:cs="Arial" w:eastAsia="Arial" w:hAnsi="Arial"/>
          <w:sz w:val="17"/>
          <w:szCs w:val="17"/>
          <w:color w:val="auto"/>
        </w:rPr>
        <w:t>This agreement confirms that, subject to the terms and conditions of the Analog Devices, Inc. Amended and Restated 2006 Stock Incentive Plan (the “Plan”), the Company has granted to the Participant, effective on the Date of Grant set forth below, that number of RSUs set forth below:</w:t>
      </w:r>
    </w:p>
    <w:p>
      <w:pPr>
        <w:spacing w:after="0" w:line="121"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Date of Grant:</w:t>
      </w:r>
      <w:r>
        <w:rPr>
          <w:sz w:val="20"/>
          <w:szCs w:val="20"/>
          <w:color w:val="auto"/>
        </w:rPr>
        <w:tab/>
      </w:r>
      <w:r>
        <w:rPr>
          <w:rFonts w:ascii="Arial" w:cs="Arial" w:eastAsia="Arial" w:hAnsi="Arial"/>
          <w:sz w:val="18"/>
          <w:szCs w:val="18"/>
          <w:color w:val="auto"/>
        </w:rPr>
        <w:t>{GRANTDATE}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RSUs Granted:{RSSHARESGRANTED}</w:t>
      </w:r>
    </w:p>
    <w:p>
      <w:pPr>
        <w:sectPr>
          <w:pgSz w:w="11900" w:h="16838" w:orient="portrait"/>
          <w:cols w:equalWidth="0" w:num="1">
            <w:col w:w="11420"/>
          </w:cols>
          <w:pgMar w:left="240" w:top="796" w:right="239" w:bottom="1440" w:gutter="0" w:footer="0" w:header="0"/>
        </w:sectPr>
      </w:pPr>
    </w:p>
    <w:p>
      <w:pPr>
        <w:spacing w:after="0" w:line="211"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color w:val="auto"/>
        </w:rPr>
        <w:t>The RSUs shall vest on the earlier of {GRANTDATE+1} or the date of the Company’s next annual meeting of shareholders, subject to the Participant’s continued service as a member of the Company’s Board of Directors (a “Director”).</w:t>
      </w:r>
    </w:p>
    <w:p>
      <w:pPr>
        <w:spacing w:after="0" w:line="181" w:lineRule="exact"/>
        <w:rPr>
          <w:sz w:val="20"/>
          <w:szCs w:val="20"/>
          <w:color w:val="auto"/>
        </w:rPr>
      </w:pPr>
    </w:p>
    <w:p>
      <w:pPr>
        <w:sectPr>
          <w:pgSz w:w="11900" w:h="16838" w:orient="portrait"/>
          <w:cols w:equalWidth="0" w:num="2">
            <w:col w:w="1960" w:space="640"/>
            <w:col w:w="8820"/>
          </w:cols>
          <w:pgMar w:left="240" w:top="796" w:right="239" w:bottom="1440" w:gutter="0" w:footer="0" w:header="0"/>
          <w:type w:val="continuous"/>
        </w:sectPr>
      </w:pPr>
    </w:p>
    <w:p>
      <w:pPr>
        <w:jc w:val="both"/>
        <w:ind w:left="340"/>
        <w:spacing w:after="0" w:line="286" w:lineRule="auto"/>
        <w:rPr>
          <w:sz w:val="20"/>
          <w:szCs w:val="20"/>
          <w:color w:val="auto"/>
        </w:rPr>
      </w:pPr>
      <w:r>
        <w:rPr>
          <w:rFonts w:ascii="Arial" w:cs="Arial" w:eastAsia="Arial" w:hAnsi="Arial"/>
          <w:sz w:val="17"/>
          <w:szCs w:val="17"/>
          <w:color w:val="auto"/>
        </w:rPr>
        <w:t>Each one (1) RSU shall, if and when it vests in accordance with this Award, automatically convert into one (1) share of common stock, US$0.16 2/3 par value, of the Company (“Common Stock”) issuable as provided below. The RSUs are subject to the vesting provisions set forth in Section 2, the restrictions on transfer set forth in Section 3 and the right of the Company to retain Shares (as defined below) pursuant to Section 7.</w:t>
      </w:r>
    </w:p>
    <w:p>
      <w:pPr>
        <w:spacing w:after="0" w:line="125"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Vesting and Conversion</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jc w:val="both"/>
        <w:ind w:left="660" w:hanging="328"/>
        <w:spacing w:after="0" w:line="268" w:lineRule="auto"/>
        <w:tabs>
          <w:tab w:leader="none" w:pos="66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Subject to the terms of the Plan and this Award, the RSUs shall vest in accordance with the schedule set forth in Section 1. For purposes of this Award, RSUs that have not vested as of any particular time in accordance with this Section 2(a) are referred to as “Unvested RSUs.” The shares of Common Stock that are issuable upon the vesting and conversion of the RSUs are referred to in this Award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39"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the event the Participant ceases to be a Director for any reason or no reason (other than due to death, Disability or otherwise as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In the event the Participant </w:t>
      </w:r>
      <w:r>
        <w:rPr>
          <w:rFonts w:ascii="Arial" w:cs="Arial" w:eastAsia="Arial" w:hAnsi="Arial"/>
          <w:sz w:val="17"/>
          <w:szCs w:val="17"/>
          <w:u w:val="single" w:color="auto"/>
          <w:color w:val="auto"/>
        </w:rPr>
        <w:t>dies</w:t>
      </w:r>
      <w:r>
        <w:rPr>
          <w:rFonts w:ascii="Arial" w:cs="Arial" w:eastAsia="Arial" w:hAnsi="Arial"/>
          <w:sz w:val="17"/>
          <w:szCs w:val="17"/>
          <w:color w:val="auto"/>
        </w:rPr>
        <w:t xml:space="preserve"> while a Director of the Company, all Unvested RSUs shall vest in full as of the date of the Participant's death.</w:t>
      </w:r>
    </w:p>
    <w:p>
      <w:pPr>
        <w:spacing w:after="0" w:line="196" w:lineRule="exact"/>
        <w:rPr>
          <w:rFonts w:ascii="Arial" w:cs="Arial" w:eastAsia="Arial" w:hAnsi="Arial"/>
          <w:sz w:val="17"/>
          <w:szCs w:val="17"/>
          <w:color w:val="auto"/>
        </w:rPr>
      </w:pPr>
    </w:p>
    <w:p>
      <w:pPr>
        <w:ind w:left="660" w:right="20" w:hanging="328"/>
        <w:spacing w:after="0" w:line="277" w:lineRule="auto"/>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In the event the Participant ceases to be a Director by reason of a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(as determined by the Company), the Unvested RSUs as of the date of the Participant cease to be a Director shall vest in full as of such date.</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If the Participant becomes an </w:t>
      </w:r>
      <w:r>
        <w:rPr>
          <w:rFonts w:ascii="Arial" w:cs="Arial" w:eastAsia="Arial" w:hAnsi="Arial"/>
          <w:sz w:val="16"/>
          <w:szCs w:val="16"/>
          <w:u w:val="single" w:color="auto"/>
          <w:color w:val="auto"/>
        </w:rPr>
        <w:t>employee</w:t>
      </w:r>
      <w:r>
        <w:rPr>
          <w:rFonts w:ascii="Arial" w:cs="Arial" w:eastAsia="Arial" w:hAnsi="Arial"/>
          <w:sz w:val="16"/>
          <w:szCs w:val="16"/>
          <w:color w:val="auto"/>
        </w:rPr>
        <w:t xml:space="preserve"> of the Company and, in connection with such employment, ceases to serve as a Director of the Company, Unvested RSUs shall vest in accordance with the terms hereof until the date that the Participant's employment with the Company is terminated.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type w:val="continuous"/>
        </w:sectPr>
      </w:pPr>
    </w:p>
    <w:bookmarkStart w:id="120" w:name="page121"/>
    <w:bookmarkEnd w:id="120"/>
    <w:p>
      <w:pPr>
        <w:ind w:left="660" w:hanging="328"/>
        <w:spacing w:after="0"/>
        <w:tabs>
          <w:tab w:leader="none" w:pos="66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Notwithstanding anything in the Plan or herein, all Unvested RSUs shall vest in full as of a Change in Control Event (as defined in the Plan).</w:t>
      </w:r>
    </w:p>
    <w:p>
      <w:pPr>
        <w:spacing w:after="0" w:line="19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For purposes of this Award, employment with the Company shall include being an employee, consultant or advisor with any direct or indirect parent or subsidiary of the Company, or any successor to the Company or any such parent or subsidiary of the Company.</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Participant shall not sell, assign, transfer, pledge or otherwise encumber any RSUs, either voluntarily or by operation of law.</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40"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Not a Shareholder</w:t>
      </w:r>
      <w:r>
        <w:rPr>
          <w:rFonts w:ascii="Arial" w:cs="Arial" w:eastAsia="Arial" w:hAnsi="Arial"/>
          <w:sz w:val="18"/>
          <w:szCs w:val="18"/>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 The RSUs and Shares, including the grant and issuance thereof, are subject to the provisions of the Plan. A copy of the Plan prospectus is available on the Company's Intranet at www.analog.com/employee (from Signals home page, click Knowledge Centers, HR, Employee Stock Programs. The related documents can be found in the right-hand column).</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Any Shares that are issued and any cash payment that is delivered, in either case upon settlement of the RSUs pursuant to this Award, will be in consideration of the Participant's service as a member of the Board of Directors of the Company and/or his continued employment with the Company, which consideration is deemed sufficient.</w:t>
      </w:r>
    </w:p>
    <w:p>
      <w:pPr>
        <w:spacing w:after="0" w:line="365" w:lineRule="exact"/>
        <w:rPr>
          <w:rFonts w:ascii="Arial" w:cs="Arial" w:eastAsia="Arial" w:hAnsi="Arial"/>
          <w:sz w:val="18"/>
          <w:szCs w:val="18"/>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Regardless of any action the Company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due by the Participant is and remains the Participant's responsibility, and that the Company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w:t>
      </w:r>
    </w:p>
    <w:p>
      <w:pPr>
        <w:spacing w:after="0" w:line="148"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Prior to the delivery of Shares upon the vesting of the RSUs, if any taxing jurisdiction requires withholding of Tax-Related Items, the Participant authorizes the Company to satisfy the obligations with regard to all Tax-Related Items by one or a combination of methods set forth below:</w:t>
      </w:r>
    </w:p>
    <w:p>
      <w:pPr>
        <w:spacing w:after="0" w:line="106" w:lineRule="exact"/>
        <w:rPr>
          <w:rFonts w:ascii="Arial" w:cs="Arial" w:eastAsia="Arial" w:hAnsi="Arial"/>
          <w:sz w:val="17"/>
          <w:szCs w:val="17"/>
          <w:color w:val="auto"/>
        </w:rPr>
      </w:pPr>
    </w:p>
    <w:p>
      <w:pPr>
        <w:jc w:val="both"/>
        <w:ind w:left="1300" w:hanging="320"/>
        <w:spacing w:after="0" w:line="268" w:lineRule="auto"/>
        <w:tabs>
          <w:tab w:leader="none" w:pos="1300" w:val="left"/>
        </w:tabs>
        <w:numPr>
          <w:ilvl w:val="2"/>
          <w:numId w:val="141"/>
        </w:numPr>
        <w:rPr>
          <w:rFonts w:ascii="Arial" w:cs="Arial" w:eastAsia="Arial" w:hAnsi="Arial"/>
          <w:sz w:val="17"/>
          <w:szCs w:val="17"/>
          <w:color w:val="auto"/>
        </w:rPr>
      </w:pPr>
      <w:r>
        <w:rPr>
          <w:rFonts w:ascii="Arial" w:cs="Arial" w:eastAsia="Arial" w:hAnsi="Arial"/>
          <w:sz w:val="17"/>
          <w:szCs w:val="17"/>
          <w:color w:val="auto"/>
        </w:rPr>
        <w:t>the Company may withhold a sufficient number of whole Shares otherwise issuable upon the vesting of the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No fractional Shares will be withheld or issued pursuant to the grant of the RSUs and the issuance of Shares hereunder.</w:t>
      </w:r>
    </w:p>
    <w:p>
      <w:pPr>
        <w:spacing w:after="0" w:line="3" w:lineRule="exact"/>
        <w:rPr>
          <w:rFonts w:ascii="Arial" w:cs="Arial" w:eastAsia="Arial" w:hAnsi="Arial"/>
          <w:sz w:val="17"/>
          <w:szCs w:val="17"/>
          <w:color w:val="auto"/>
        </w:rPr>
      </w:pPr>
    </w:p>
    <w:p>
      <w:pPr>
        <w:ind w:left="1300" w:hanging="320"/>
        <w:spacing w:after="0" w:line="250" w:lineRule="auto"/>
        <w:tabs>
          <w:tab w:leader="none" w:pos="130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Company may, in its discretion, withhold any amount necessary to pay the Tax-Related Items from the Participant's salary or other amounts payable to the Participant.</w:t>
      </w:r>
    </w:p>
    <w:p>
      <w:pPr>
        <w:ind w:left="1300" w:right="20" w:hanging="320"/>
        <w:spacing w:after="0" w:line="250" w:lineRule="auto"/>
        <w:tabs>
          <w:tab w:leader="none" w:pos="130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Company may withhold from proceeds of the sale of Shares either through a voluntary sale or through a mandatory sale arranged by the Company (on the Participant’s behalf pursuant to this authorization).</w:t>
      </w:r>
    </w:p>
    <w:p>
      <w:pPr>
        <w:jc w:val="both"/>
        <w:ind w:left="1300"/>
        <w:spacing w:after="0" w:line="273" w:lineRule="auto"/>
        <w:rPr>
          <w:rFonts w:ascii="Arial" w:cs="Arial" w:eastAsia="Arial" w:hAnsi="Arial"/>
          <w:sz w:val="18"/>
          <w:szCs w:val="18"/>
          <w:color w:val="auto"/>
        </w:rPr>
      </w:pPr>
      <w:r>
        <w:rPr>
          <w:rFonts w:ascii="Arial" w:cs="Arial" w:eastAsia="Arial" w:hAnsi="Arial"/>
          <w:sz w:val="17"/>
          <w:szCs w:val="17"/>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the Participant is deemed to have been issued the full number of Shares subject to the vested RSU, notwithstanding that a number of the Shares are held back solely for the purpose of paying the Tax-Related Items.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121" w:name="page122"/>
    <w:bookmarkEnd w:id="121"/>
    <w:p>
      <w:pPr>
        <w:jc w:val="both"/>
        <w:ind w:left="1300"/>
        <w:spacing w:after="0" w:line="293" w:lineRule="auto"/>
        <w:rPr>
          <w:sz w:val="20"/>
          <w:szCs w:val="20"/>
          <w:color w:val="auto"/>
        </w:rPr>
      </w:pPr>
      <w:r>
        <w:rPr>
          <w:rFonts w:ascii="Arial" w:cs="Arial" w:eastAsia="Arial" w:hAnsi="Arial"/>
          <w:sz w:val="16"/>
          <w:szCs w:val="16"/>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determines, in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24" w:lineRule="exact"/>
        <w:rPr>
          <w:sz w:val="20"/>
          <w:szCs w:val="20"/>
          <w:color w:val="auto"/>
        </w:rPr>
      </w:pPr>
    </w:p>
    <w:p>
      <w:pPr>
        <w:jc w:val="both"/>
        <w:ind w:left="340" w:hanging="332"/>
        <w:spacing w:after="0" w:line="268" w:lineRule="auto"/>
        <w:tabs>
          <w:tab w:leader="none" w:pos="340"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Option of Company to Deliver Cash</w:t>
      </w:r>
      <w:r>
        <w:rPr>
          <w:rFonts w:ascii="Arial" w:cs="Arial" w:eastAsia="Arial" w:hAnsi="Arial"/>
          <w:sz w:val="17"/>
          <w:szCs w:val="17"/>
          <w:color w:val="auto"/>
        </w:rPr>
        <w:t>. Notwithstanding any of the other provisions of this Award, where share settlement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 Related Items withholding obligations of the Company pursuant to Section 7 herein.</w:t>
      </w:r>
    </w:p>
    <w:p>
      <w:pPr>
        <w:spacing w:after="0" w:line="1" w:lineRule="exact"/>
        <w:rPr>
          <w:rFonts w:ascii="Arial" w:cs="Arial" w:eastAsia="Arial" w:hAnsi="Arial"/>
          <w:sz w:val="17"/>
          <w:szCs w:val="17"/>
          <w:color w:val="auto"/>
        </w:rPr>
      </w:pPr>
    </w:p>
    <w:p>
      <w:pPr>
        <w:jc w:val="both"/>
        <w:ind w:left="340" w:hanging="332"/>
        <w:spacing w:after="0" w:line="265" w:lineRule="auto"/>
        <w:tabs>
          <w:tab w:leader="none" w:pos="340"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Data Privacy</w:t>
      </w:r>
      <w:r>
        <w:rPr>
          <w:rFonts w:ascii="Arial" w:cs="Arial" w:eastAsia="Arial" w:hAnsi="Arial"/>
          <w:sz w:val="17"/>
          <w:szCs w:val="17"/>
          <w:color w:val="auto"/>
        </w:rPr>
        <w:t>. The Company hereby notifies the Participant of the following in relation to the Participant's personal data and the collection, processing and transfer of such data in relation to the grant of the RSUs and the Participant's participation in the Plan, pursuant to applicable personal data protection laws. The collection, processing and transfer of the Participant's personal data is necessary for the Company's administration of the Plan and the Participant's participation in the Plan, and the Participant's denial and/or objection to the collection, processing and transfer of personal data may affect the Participant's ability to participate in the Plan. As such, the Participant voluntarily acknowledges, consents and agrees (where required under applicable law) to the collection, use, processing and transfer of personal data as described herein.</w:t>
      </w:r>
    </w:p>
    <w:p>
      <w:pPr>
        <w:spacing w:after="0" w:line="1" w:lineRule="exact"/>
        <w:rPr>
          <w:rFonts w:ascii="Arial" w:cs="Arial" w:eastAsia="Arial" w:hAnsi="Arial"/>
          <w:sz w:val="17"/>
          <w:szCs w:val="17"/>
          <w:color w:val="auto"/>
        </w:rPr>
      </w:pPr>
    </w:p>
    <w:p>
      <w:pPr>
        <w:jc w:val="both"/>
        <w:ind w:left="340"/>
        <w:spacing w:after="0" w:line="286" w:lineRule="auto"/>
        <w:rPr>
          <w:rFonts w:ascii="Arial" w:cs="Arial" w:eastAsia="Arial" w:hAnsi="Arial"/>
          <w:sz w:val="17"/>
          <w:szCs w:val="17"/>
          <w:color w:val="auto"/>
        </w:rPr>
      </w:pPr>
      <w:r>
        <w:rPr>
          <w:rFonts w:ascii="Arial" w:cs="Arial" w:eastAsia="Arial" w:hAnsi="Arial"/>
          <w:sz w:val="16"/>
          <w:szCs w:val="16"/>
          <w:color w:val="auto"/>
        </w:rPr>
        <w:t>The Company holds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RSUs or any other entitlement to Shares awarded, canceled, purchased, vested, unvested or outstanding in the Participant's favor, for the purpose of managing and administering the Plan (“Data”).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logistics and procedures strictly correlated to the purposes for which the Data is collected and with confidentiality and security provisions as set forth by applicable laws and regulations in the Participant's country of residence. Data processing operations will be performed minimizing the use of personal and identification data when such operations are unnecessary for the processing purposes sought. The Data will be accessible within the Company's organization only by those persons requiring access for purposes of the implementation, administration and operation of the Plan and for the Participant's participation in the Plan.</w:t>
      </w:r>
    </w:p>
    <w:p>
      <w:pPr>
        <w:spacing w:after="0" w:line="129" w:lineRule="exact"/>
        <w:rPr>
          <w:rFonts w:ascii="Arial" w:cs="Arial" w:eastAsia="Arial" w:hAnsi="Arial"/>
          <w:sz w:val="17"/>
          <w:szCs w:val="17"/>
          <w:color w:val="auto"/>
        </w:rPr>
      </w:pPr>
    </w:p>
    <w:p>
      <w:pPr>
        <w:jc w:val="both"/>
        <w:ind w:left="340"/>
        <w:spacing w:after="0" w:line="272" w:lineRule="auto"/>
        <w:rPr>
          <w:rFonts w:ascii="Arial" w:cs="Arial" w:eastAsia="Arial" w:hAnsi="Arial"/>
          <w:sz w:val="17"/>
          <w:szCs w:val="17"/>
          <w:color w:val="auto"/>
        </w:rPr>
      </w:pPr>
      <w:r>
        <w:rPr>
          <w:rFonts w:ascii="Arial" w:cs="Arial" w:eastAsia="Arial" w:hAnsi="Arial"/>
          <w:sz w:val="17"/>
          <w:szCs w:val="17"/>
          <w:color w:val="auto"/>
        </w:rPr>
        <w:t>The Company will transfer Data as necessary for the purpose of implementation, administration and management of the Participant's participation in the Plan, and the Company may further transfer Data to any third parties assisting the Company in the implementation, administration and management of the Plan. These recipients may be located in the European Economic Area, the United States or elsewhere throughout the world. The Participant hereby authorizes (where required under applicable law) the recipients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137"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6"/>
          <w:szCs w:val="16"/>
          <w:color w:val="auto"/>
        </w:rPr>
        <w:t>The Participant may, at any time, exercise the Participant's rights provided under applicable personal data protection laws, which may include the right to</w:t>
      </w:r>
    </w:p>
    <w:p>
      <w:pPr>
        <w:spacing w:after="0" w:line="46" w:lineRule="exact"/>
        <w:rPr>
          <w:rFonts w:ascii="Arial" w:cs="Arial" w:eastAsia="Arial" w:hAnsi="Arial"/>
          <w:sz w:val="17"/>
          <w:szCs w:val="17"/>
          <w:color w:val="auto"/>
        </w:rPr>
      </w:pPr>
    </w:p>
    <w:p>
      <w:pPr>
        <w:jc w:val="both"/>
        <w:ind w:left="340" w:hanging="8"/>
        <w:spacing w:after="0" w:line="273" w:lineRule="auto"/>
        <w:tabs>
          <w:tab w:leader="none" w:pos="613" w:val="left"/>
        </w:tabs>
        <w:numPr>
          <w:ilvl w:val="1"/>
          <w:numId w:val="142"/>
        </w:numPr>
        <w:rPr>
          <w:rFonts w:ascii="Arial" w:cs="Arial" w:eastAsia="Arial" w:hAnsi="Arial"/>
          <w:sz w:val="17"/>
          <w:szCs w:val="17"/>
          <w:color w:val="auto"/>
        </w:rPr>
      </w:pPr>
      <w:r>
        <w:rPr>
          <w:rFonts w:ascii="Arial" w:cs="Arial" w:eastAsia="Arial" w:hAnsi="Arial"/>
          <w:sz w:val="17"/>
          <w:szCs w:val="17"/>
          <w:color w:val="auto"/>
        </w:rPr>
        <w:t>obtain confirmation as to the existence of the Data, (b) verify the content, origin and accuracy of the Data, (c) request the integration, update, amendment, deletion, or blockage (for breach of applicable laws) of the Data, and (d) to oppose, for legal reasons, the collection, processing or transfer of the Data which is not necessary or required for the implementation, administration and/or operation of the Plan and the Participant's participation in the Plan. The Participant may seek to exercise these rights by contacting the Participant's local HR manager.</w:t>
      </w:r>
    </w:p>
    <w:p>
      <w:pPr>
        <w:spacing w:after="0" w:line="136" w:lineRule="exact"/>
        <w:rPr>
          <w:rFonts w:ascii="Arial" w:cs="Arial" w:eastAsia="Arial" w:hAnsi="Arial"/>
          <w:sz w:val="17"/>
          <w:szCs w:val="17"/>
          <w:color w:val="auto"/>
        </w:rPr>
      </w:pPr>
    </w:p>
    <w:p>
      <w:pPr>
        <w:jc w:val="both"/>
        <w:ind w:left="340" w:hanging="332"/>
        <w:spacing w:after="0" w:line="297" w:lineRule="auto"/>
        <w:tabs>
          <w:tab w:leader="none" w:pos="340"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Repatriation: Compliance with Laws</w:t>
      </w:r>
      <w:r>
        <w:rPr>
          <w:rFonts w:ascii="Arial" w:cs="Arial" w:eastAsia="Arial" w:hAnsi="Arial"/>
          <w:sz w:val="16"/>
          <w:szCs w:val="16"/>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122" w:name="page123"/>
    <w:bookmarkEnd w:id="122"/>
    <w:p>
      <w:pPr>
        <w:ind w:left="340"/>
        <w:spacing w:after="0" w:line="282" w:lineRule="auto"/>
        <w:rPr>
          <w:sz w:val="20"/>
          <w:szCs w:val="20"/>
          <w:color w:val="auto"/>
        </w:rPr>
      </w:pPr>
      <w:r>
        <w:rPr>
          <w:rFonts w:ascii="Arial" w:cs="Arial" w:eastAsia="Arial" w:hAnsi="Arial"/>
          <w:sz w:val="18"/>
          <w:szCs w:val="18"/>
          <w:color w:val="auto"/>
        </w:rPr>
        <w:t>any and all actions as may be required to comply with the Participant's personal legal and tax obligations under all laws, rules and regulations applicable to the Participant.</w:t>
      </w:r>
    </w:p>
    <w:p>
      <w:pPr>
        <w:spacing w:after="0" w:line="1"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No Rights to Board Service</w:t>
      </w:r>
      <w:r>
        <w:rPr>
          <w:rFonts w:ascii="Arial" w:cs="Arial" w:eastAsia="Arial" w:hAnsi="Arial"/>
          <w:sz w:val="16"/>
          <w:szCs w:val="16"/>
          <w:color w:val="auto"/>
        </w:rPr>
        <w:t>. The grant of the RSUs shall not confer upon the Participant any right to continue to serve on the Board of Directors of the Company or, if applicable, as an employee of the Company or its subsidiaries, nor limit in any way the terms of the Participant's service on the Board of Directors, including for removal therefrom. Except in the event of a termination of employment due to death or disability, the vesting of the RSUs pursuant to Section 2 hereof is earned only by satisfaction of the performance conditions, if any, and continuing service on the Board of Directors or as otherwise set forth in Section 2 (not through the act of being elected, hired or engaged or being granted the RSUs hereunder).</w:t>
      </w:r>
    </w:p>
    <w:p>
      <w:pPr>
        <w:spacing w:after="0" w:line="122"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Discretionary Nature</w:t>
      </w:r>
      <w:r>
        <w:rPr>
          <w:rFonts w:ascii="Arial" w:cs="Arial" w:eastAsia="Arial" w:hAnsi="Arial"/>
          <w:sz w:val="17"/>
          <w:szCs w:val="17"/>
          <w:color w:val="auto"/>
        </w:rPr>
        <w:t>. The Participant acknowledges and agrees that the Plan is discretionary in nature and may be amended, cancelled, or terminated by the Company at any time, to the extent permitted under the Plan.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w:t>
      </w:r>
    </w:p>
    <w:p>
      <w:pPr>
        <w:spacing w:after="0" w:line="137"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Exclusion from Termination Indemnities and Other Benefits</w:t>
      </w:r>
      <w:r>
        <w:rPr>
          <w:rFonts w:ascii="Arial" w:cs="Arial" w:eastAsia="Arial" w:hAnsi="Arial"/>
          <w:sz w:val="18"/>
          <w:szCs w:val="18"/>
          <w:color w:val="auto"/>
        </w:rPr>
        <w:t>. The Participant's participation in the Plan is voluntary. The value of the RSUs and any other awards granted under the Plan is an extraordinary item of compensation outside the scope of the Participant's service on the Board of Directors of the Company. Any grant under the Plan, including the grant of the RSUs and the income and value of same, is not part of normal or expected compensation for purposes of calculating any severance, resignation, redundancy, end of service payments, bonuses, long-service awards, pension, or retirement benefits or similar payments.</w:t>
      </w:r>
    </w:p>
    <w:p>
      <w:pPr>
        <w:spacing w:after="0" w:line="14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Award shall not affect the validity or enforceability of any other provision of this Award, and each other provision of this Award shall be severable and enforceable to the extent permitted by law.</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This Award shall be binding upon and inure to the benefit of the Company and the Participant and his or her respective heirs, executors, administrators, legal representatives, successors and assigns, subject to the restrictions on transfer set forth in Section 3 of this Award.</w:t>
      </w:r>
    </w:p>
    <w:p>
      <w:pPr>
        <w:spacing w:after="0" w:line="83"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Three Technology Way, Norwood, Massachusetts, 02062, Attention: Chief Financial Officer. Each notice to the Participant shall be addressed to the Participant at the Participant's last known mailing or email address, as applicable, on the records of the Company.</w:t>
      </w:r>
    </w:p>
    <w:p>
      <w:pPr>
        <w:spacing w:after="0" w:line="147"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Pronouns</w:t>
      </w:r>
      <w:r>
        <w:rPr>
          <w:rFonts w:ascii="Arial" w:cs="Arial" w:eastAsia="Arial" w:hAnsi="Arial"/>
          <w:sz w:val="18"/>
          <w:szCs w:val="18"/>
          <w:color w:val="auto"/>
        </w:rPr>
        <w:t>. Whenever the context may require, any pronouns used in this Award shall include the corresponding masculine, feminine or neuter forms, and the singular form of nouns and pronouns shall include the plural, and vice versa.</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Award and the Plan constitute the entire understanding between the parties, and supersede all prior agreements and understandings, relating to the subject matter of these documents.</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Award shall be construed, interpreted and enforced in accordance with the internal laws of the Commonwealth of Massachusetts without regard to any applicable conflicts of laws.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interpretation and construction of any terms or conditions of this Award or the Plan, or other matters related to the Plan, by the Compensation Committee of the Board of the Company shall be final and conclusive.</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Participant's Acceptance</w:t>
      </w:r>
      <w:r>
        <w:rPr>
          <w:rFonts w:ascii="Arial" w:cs="Arial" w:eastAsia="Arial" w:hAnsi="Arial"/>
          <w:sz w:val="17"/>
          <w:szCs w:val="17"/>
          <w:color w:val="auto"/>
        </w:rPr>
        <w:t>. The Participant is urged to read this Award carefully and to consult with his or her own legal counsel regarding the terms and consequences of this Award and the legal and binding effect of this Award. By virtue of his or her acceptance of this Award, the Participant is deemed to have accepted and agreed to all of the terms and conditions of this Award and the provisions of the Plan.</w:t>
      </w:r>
    </w:p>
    <w:p>
      <w:pPr>
        <w:spacing w:after="0" w:line="125"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the RSUs or other awards granted to the Participant under the Plan by electronic means. The Participant hereby consents to receive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11" w:right="239" w:bottom="1440" w:gutter="0" w:footer="0" w:header="0"/>
        </w:sectPr>
      </w:pPr>
    </w:p>
    <w:bookmarkStart w:id="123" w:name="page124"/>
    <w:bookmarkEnd w:id="123"/>
    <w:p>
      <w:pPr>
        <w:ind w:left="460"/>
        <w:spacing w:after="0" w:line="324" w:lineRule="auto"/>
        <w:rPr>
          <w:sz w:val="20"/>
          <w:szCs w:val="20"/>
          <w:color w:val="auto"/>
        </w:rPr>
      </w:pPr>
      <w:r>
        <w:rPr>
          <w:rFonts w:ascii="Arial" w:cs="Arial" w:eastAsia="Arial" w:hAnsi="Arial"/>
          <w:sz w:val="18"/>
          <w:szCs w:val="18"/>
          <w:color w:val="auto"/>
        </w:rPr>
        <w:t>such documents by electronic delivery and agrees to participate in the Plan through an on-line or electronic system established and maintained by the Company or a third party designated by the Company.</w:t>
      </w:r>
    </w:p>
    <w:p>
      <w:pPr>
        <w:spacing w:after="0" w:line="103" w:lineRule="exact"/>
        <w:rPr>
          <w:sz w:val="20"/>
          <w:szCs w:val="20"/>
          <w:color w:val="auto"/>
        </w:rPr>
      </w:pPr>
    </w:p>
    <w:p>
      <w:pPr>
        <w:jc w:val="both"/>
        <w:ind w:left="460" w:hanging="328"/>
        <w:spacing w:after="0" w:line="259"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Additional Requirements</w:t>
      </w:r>
      <w:r>
        <w:rPr>
          <w:rFonts w:ascii="Arial" w:cs="Arial" w:eastAsia="Arial" w:hAnsi="Arial"/>
          <w:sz w:val="18"/>
          <w:szCs w:val="18"/>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46" w:lineRule="exact"/>
        <w:rPr>
          <w:rFonts w:ascii="Arial" w:cs="Arial" w:eastAsia="Arial" w:hAnsi="Arial"/>
          <w:sz w:val="18"/>
          <w:szCs w:val="18"/>
          <w:color w:val="auto"/>
        </w:rPr>
      </w:pPr>
    </w:p>
    <w:p>
      <w:pPr>
        <w:jc w:val="both"/>
        <w:ind w:left="460" w:hanging="328"/>
        <w:spacing w:after="0" w:line="259"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The Company has submitted regulatory filings in the United States in connection with the stock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46" w:lineRule="exact"/>
        <w:rPr>
          <w:rFonts w:ascii="Arial" w:cs="Arial" w:eastAsia="Arial" w:hAnsi="Arial"/>
          <w:sz w:val="18"/>
          <w:szCs w:val="18"/>
          <w:color w:val="auto"/>
        </w:rPr>
      </w:pPr>
    </w:p>
    <w:p>
      <w:pPr>
        <w:jc w:val="both"/>
        <w:ind w:left="460" w:hanging="328"/>
        <w:spacing w:after="0" w:line="259"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the Company.</w:t>
      </w:r>
    </w:p>
    <w:p>
      <w:pPr>
        <w:spacing w:after="0" w:line="146" w:lineRule="exact"/>
        <w:rPr>
          <w:rFonts w:ascii="Arial" w:cs="Arial" w:eastAsia="Arial" w:hAnsi="Arial"/>
          <w:sz w:val="18"/>
          <w:szCs w:val="18"/>
          <w:color w:val="auto"/>
        </w:rPr>
      </w:pPr>
    </w:p>
    <w:p>
      <w:pPr>
        <w:ind w:left="460" w:hanging="328"/>
        <w:spacing w:after="0"/>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Award may be amended or modified only by a written instrument executed by both the Company and the Participant.</w:t>
      </w:r>
    </w:p>
    <w:p>
      <w:pPr>
        <w:spacing w:after="0" w:line="185" w:lineRule="exact"/>
        <w:rPr>
          <w:sz w:val="20"/>
          <w:szCs w:val="20"/>
          <w:color w:val="auto"/>
        </w:rPr>
      </w:pPr>
    </w:p>
    <w:p>
      <w:pPr>
        <w:ind w:left="460" w:hanging="328"/>
        <w:spacing w:after="0" w:line="308" w:lineRule="auto"/>
        <w:tabs>
          <w:tab w:leader="none" w:pos="460"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ectPr>
          <w:pgSz w:w="11900" w:h="16838" w:orient="portrait"/>
          <w:cols w:equalWidth="0" w:num="1">
            <w:col w:w="11220"/>
          </w:cols>
          <w:pgMar w:left="440" w:top="611" w:right="239" w:bottom="1440" w:gutter="0" w:footer="0" w:header="0"/>
        </w:sect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Vincent Roche</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President &amp; Chief Executive Officer</w:t>
      </w:r>
    </w:p>
    <w:p>
      <w:pPr>
        <w:spacing w:after="0" w:line="200" w:lineRule="exact"/>
        <w:rPr>
          <w:sz w:val="20"/>
          <w:szCs w:val="20"/>
          <w:color w:val="auto"/>
        </w:rPr>
      </w:pPr>
    </w:p>
    <w:p>
      <w:pPr>
        <w:sectPr>
          <w:pgSz w:w="11900" w:h="16838" w:orient="portrait"/>
          <w:cols w:equalWidth="0" w:num="2">
            <w:col w:w="1660" w:space="120"/>
            <w:col w:w="9440"/>
          </w:cols>
          <w:pgMar w:left="440" w:top="611" w:right="239" w:bottom="1440" w:gutter="0" w:footer="0" w:header="0"/>
          <w:type w:val="continuous"/>
        </w:sectPr>
      </w:pPr>
    </w:p>
    <w:p>
      <w:pPr>
        <w:spacing w:after="0" w:line="277"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440" w:top="611" w:right="239" w:bottom="1440" w:gutter="0" w:footer="0" w:header="0"/>
          <w:type w:val="continuous"/>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Vincent T. Roche, certify that:</w:t>
      </w:r>
    </w:p>
    <w:p>
      <w:pPr>
        <w:spacing w:after="0" w:line="63"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February 18, 2014</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V</w:t>
      </w:r>
      <w:r>
        <w:rPr>
          <w:rFonts w:ascii="Arial" w:cs="Arial" w:eastAsia="Arial" w:hAnsi="Arial"/>
          <w:sz w:val="13"/>
          <w:szCs w:val="13"/>
          <w:color w:val="auto"/>
        </w:rPr>
        <w:t>INCENT</w:t>
      </w:r>
      <w:r>
        <w:rPr>
          <w:rFonts w:ascii="Arial" w:cs="Arial" w:eastAsia="Arial" w:hAnsi="Arial"/>
          <w:sz w:val="17"/>
          <w:szCs w:val="17"/>
          <w:color w:val="auto"/>
        </w:rPr>
        <w:t xml:space="preserve"> T. R</w:t>
      </w:r>
      <w:r>
        <w:rPr>
          <w:rFonts w:ascii="Arial" w:cs="Arial" w:eastAsia="Arial" w:hAnsi="Arial"/>
          <w:sz w:val="13"/>
          <w:szCs w:val="13"/>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Vincent T. Roche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4"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63"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6"/>
          <w:szCs w:val="16"/>
          <w:color w:val="auto"/>
        </w:rPr>
        <w:t>Dated: February 18, 2014</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39370</wp:posOffset>
            </wp:positionV>
            <wp:extent cx="33274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Finance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February 1, 2014 as filed with the Securities and Exchange Commission on the date hereof (the “Report”), the undersigned, Vincent T. Roche, Chief Executive Officer of the Company, hereby certifies, pursuant to 18 U.S.C. Section 1350, that:</w:t>
      </w:r>
    </w:p>
    <w:p>
      <w:pPr>
        <w:spacing w:after="0" w:line="19"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February 18, 2014</w:t>
      </w:r>
      <w:r>
        <w:rPr>
          <w:sz w:val="20"/>
          <w:szCs w:val="20"/>
          <w:color w:val="auto"/>
        </w:rPr>
        <w:tab/>
      </w:r>
      <w:r>
        <w:rPr>
          <w:rFonts w:ascii="Arial" w:cs="Arial" w:eastAsia="Arial" w:hAnsi="Arial"/>
          <w:sz w:val="17"/>
          <w:szCs w:val="17"/>
          <w:color w:val="auto"/>
        </w:rPr>
        <w:t>/S/ V</w:t>
      </w:r>
      <w:r>
        <w:rPr>
          <w:rFonts w:ascii="Arial" w:cs="Arial" w:eastAsia="Arial" w:hAnsi="Arial"/>
          <w:sz w:val="13"/>
          <w:szCs w:val="13"/>
          <w:color w:val="auto"/>
        </w:rPr>
        <w:t>INCENT</w:t>
      </w:r>
      <w:r>
        <w:rPr>
          <w:rFonts w:ascii="Arial" w:cs="Arial" w:eastAsia="Arial" w:hAnsi="Arial"/>
          <w:sz w:val="17"/>
          <w:szCs w:val="17"/>
          <w:color w:val="auto"/>
        </w:rPr>
        <w:t xml:space="preserve"> T. R</w:t>
      </w:r>
      <w:r>
        <w:rPr>
          <w:rFonts w:ascii="Arial" w:cs="Arial" w:eastAsia="Arial" w:hAnsi="Arial"/>
          <w:sz w:val="13"/>
          <w:szCs w:val="13"/>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Vincent T. Roche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4"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February 1, 2014 as filed with the Securities and Exchange Commission on the date hereof (the “Report”), the undersigned, David A. Zinsner, Chief Financial Officer of the Company, hereby certifies, pursuant to 18 U.S.C. Section 1350, that:</w:t>
      </w:r>
    </w:p>
    <w:p>
      <w:pPr>
        <w:spacing w:after="0" w:line="19" w:lineRule="exact"/>
        <w:rPr>
          <w:sz w:val="20"/>
          <w:szCs w:val="20"/>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February 18, 2014</w:t>
      </w:r>
      <w:r>
        <w:rPr>
          <w:sz w:val="20"/>
          <w:szCs w:val="20"/>
          <w:color w:val="auto"/>
        </w:rPr>
        <w:tab/>
      </w:r>
      <w:r>
        <w:rPr>
          <w:rFonts w:ascii="Arial" w:cs="Arial" w:eastAsia="Arial" w:hAnsi="Arial"/>
          <w:sz w:val="17"/>
          <w:szCs w:val="17"/>
          <w:color w:val="auto"/>
        </w:rPr>
        <w:t>/S/ D</w:t>
      </w:r>
      <w:r>
        <w:rPr>
          <w:rFonts w:ascii="Arial" w:cs="Arial" w:eastAsia="Arial" w:hAnsi="Arial"/>
          <w:sz w:val="13"/>
          <w:szCs w:val="13"/>
          <w:color w:val="auto"/>
        </w:rPr>
        <w:t>AVID</w:t>
      </w:r>
      <w:r>
        <w:rPr>
          <w:rFonts w:ascii="Arial" w:cs="Arial" w:eastAsia="Arial" w:hAnsi="Arial"/>
          <w:sz w:val="17"/>
          <w:szCs w:val="17"/>
          <w:color w:val="auto"/>
        </w:rPr>
        <w:t xml:space="preserve"> A. Z</w:t>
      </w:r>
      <w:r>
        <w:rPr>
          <w:rFonts w:ascii="Arial" w:cs="Arial" w:eastAsia="Arial" w:hAnsi="Arial"/>
          <w:sz w:val="13"/>
          <w:szCs w:val="13"/>
          <w:color w:val="auto"/>
        </w:rPr>
        <w:t>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1)"/>
      <w:numFmt w:val="decimal"/>
      <w:start w:val="1"/>
    </w:lvl>
  </w:abstractNum>
  <w:abstractNum w:abstractNumId="3">
    <w:nsid w:val="BF72B14"/>
    <w:multiLevelType w:val="hybridMultilevel"/>
    <w:lvl w:ilvl="0">
      <w:lvlJc w:val="left"/>
      <w:lvlText w:val="(%1)"/>
      <w:numFmt w:val="decimal"/>
      <w:start w:val="1"/>
    </w:lvl>
  </w:abstractNum>
  <w:abstractNum w:abstractNumId="4">
    <w:nsid w:val="11447B73"/>
    <w:multiLevelType w:val="hybridMultilevel"/>
    <w:lvl w:ilvl="0">
      <w:lvlJc w:val="left"/>
      <w:lvlText w:val="%1)"/>
      <w:numFmt w:val="lowerLetter"/>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1)"/>
      <w:numFmt w:val="decimal"/>
      <w:start w:val="1"/>
    </w:lvl>
  </w:abstractNum>
  <w:abstractNum w:abstractNumId="7">
    <w:nsid w:val="8F2B15E"/>
    <w:multiLevelType w:val="hybridMultilevel"/>
    <w:lvl w:ilvl="0">
      <w:lvlJc w:val="left"/>
      <w:lvlText w:val="(%1)"/>
      <w:numFmt w:val="decimal"/>
      <w:start w:val="1"/>
    </w:lvl>
  </w:abstractNum>
  <w:abstractNum w:abstractNumId="8">
    <w:nsid w:val="1A32234B"/>
    <w:multiLevelType w:val="hybridMultilevel"/>
    <w:lvl w:ilvl="0">
      <w:lvlJc w:val="left"/>
      <w:lvlText w:val="(%1)"/>
      <w:numFmt w:val="decimal"/>
      <w:start w:val="1"/>
    </w:lvl>
  </w:abstractNum>
  <w:abstractNum w:abstractNumId="9">
    <w:nsid w:val="3B0FD379"/>
    <w:multiLevelType w:val="hybridMultilevel"/>
    <w:lvl w:ilvl="0">
      <w:lvlJc w:val="left"/>
      <w:lvlText w:val="(%1)"/>
      <w:numFmt w:val="lowerLetter"/>
      <w:start w:val="1"/>
    </w:lvl>
  </w:abstractNum>
  <w:abstractNum w:abstractNumId="10">
    <w:nsid w:val="68EB2F63"/>
    <w:multiLevelType w:val="hybridMultilevel"/>
    <w:lvl w:ilvl="0">
      <w:lvlJc w:val="left"/>
      <w:lvlText w:val="(%1)"/>
      <w:numFmt w:val="lowerLetter"/>
      <w:start w:val="2"/>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1)"/>
      <w:numFmt w:val="lowerRoman"/>
      <w:start w:val="2"/>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1)"/>
      <w:numFmt w:val="lowerLetter"/>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1)"/>
      <w:numFmt w:val="lowerRoman"/>
      <w:start w:val="4"/>
    </w:lvl>
  </w:abstractNum>
  <w:abstractNum w:abstractNumId="22">
    <w:nsid w:val="94211F2"/>
    <w:multiLevelType w:val="hybridMultilevel"/>
    <w:lvl w:ilvl="0">
      <w:lvlJc w:val="left"/>
      <w:lvlText w:val="%1."/>
      <w:numFmt w:val="decimal"/>
      <w:start w:val="1"/>
    </w:lvl>
  </w:abstractNum>
  <w:abstractNum w:abstractNumId="23">
    <w:nsid w:val="885E1B"/>
    <w:multiLevelType w:val="hybridMultilevel"/>
    <w:lvl w:ilvl="0">
      <w:lvlJc w:val="left"/>
      <w:lvlText w:val="%1."/>
      <w:numFmt w:val="decimal"/>
      <w:start w:val="2"/>
    </w:lvl>
  </w:abstractNum>
  <w:abstractNum w:abstractNumId="24">
    <w:nsid w:val="76272110"/>
    <w:multiLevelType w:val="hybridMultilevel"/>
    <w:lvl w:ilvl="0">
      <w:lvlJc w:val="left"/>
      <w:lvlText w:val="%1."/>
      <w:numFmt w:val="decimal"/>
      <w:start w:val="3"/>
    </w:lvl>
    <w:lvl w:ilvl="1">
      <w:lvlJc w:val="left"/>
      <w:lvlText w:val="(%2)"/>
      <w:numFmt w:val="lowerLetter"/>
      <w:start w:val="1"/>
    </w:lvl>
  </w:abstractNum>
  <w:abstractNum w:abstractNumId="25">
    <w:nsid w:val="4C04A8AF"/>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26">
    <w:nsid w:val="1716703B"/>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27">
    <w:nsid w:val="14E17E33"/>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8">
    <w:nsid w:val="3222E7CD"/>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9">
    <w:nsid w:val="74DE0EE3"/>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30">
    <w:nsid w:val="68EBC550"/>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31">
    <w:nsid w:val="2DF6D648"/>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32">
    <w:nsid w:val="46B7D447"/>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33">
    <w:nsid w:val="4A2AC315"/>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4">
    <w:nsid w:val="39EE015C"/>
    <w:multiLevelType w:val="hybridMultilevel"/>
    <w:lvl w:ilvl="0">
      <w:lvlJc w:val="left"/>
      <w:lvlText w:val="%1."/>
      <w:numFmt w:val="decimal"/>
      <w:start w:val="8"/>
    </w:lvl>
    <w:lvl w:ilvl="1">
      <w:lvlJc w:val="left"/>
      <w:lvlText w:val="(%2)"/>
      <w:numFmt w:val="lowerLetter"/>
      <w:start w:val="1"/>
    </w:lvl>
  </w:abstractNum>
  <w:abstractNum w:abstractNumId="35">
    <w:nsid w:val="57FC4FBB"/>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36">
    <w:nsid w:val="CC1016F"/>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37">
    <w:nsid w:val="43F18422"/>
    <w:multiLevelType w:val="hybridMultilevel"/>
    <w:lvl w:ilvl="0">
      <w:lvlJc w:val="left"/>
      <w:lvlText w:val="(%1)"/>
      <w:numFmt w:val="lowerLetter"/>
      <w:start w:val="2"/>
    </w:lvl>
    <w:lvl w:ilvl="1">
      <w:lvlJc w:val="left"/>
      <w:lvlText w:val="(%2)"/>
      <w:numFmt w:val="lowerRoman"/>
      <w:start w:val="1"/>
    </w:lvl>
  </w:abstractNum>
  <w:abstractNum w:abstractNumId="38">
    <w:nsid w:val="60EF011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9">
    <w:nsid w:val="26F324B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0">
    <w:nsid w:val="7F01579B"/>
    <w:multiLevelType w:val="hybridMultilevel"/>
    <w:lvl w:ilvl="0">
      <w:lvlJc w:val="left"/>
      <w:lvlText w:val="(%1)"/>
      <w:numFmt w:val="lowerLetter"/>
      <w:start w:val="2"/>
    </w:lvl>
  </w:abstractNum>
  <w:abstractNum w:abstractNumId="41">
    <w:nsid w:val="49DA307D"/>
    <w:multiLevelType w:val="hybridMultilevel"/>
    <w:lvl w:ilvl="0">
      <w:lvlJc w:val="left"/>
      <w:lvlText w:val="(%1)"/>
      <w:numFmt w:val="decimal"/>
      <w:start w:val="3"/>
    </w:lvl>
    <w:lvl w:ilvl="1">
      <w:lvlJc w:val="left"/>
      <w:lvlText w:val="(%2)"/>
      <w:numFmt w:val="lowerLetter"/>
      <w:start w:val="1"/>
    </w:lvl>
  </w:abstractNum>
  <w:abstractNum w:abstractNumId="42">
    <w:nsid w:val="7055A5F5"/>
    <w:multiLevelType w:val="hybridMultilevel"/>
    <w:lvl w:ilvl="0">
      <w:lvlJc w:val="left"/>
      <w:lvlText w:val="(%1)"/>
      <w:numFmt w:val="lowerLetter"/>
      <w:start w:val="2"/>
    </w:lvl>
    <w:lvl w:ilvl="1">
      <w:lvlJc w:val="left"/>
      <w:lvlText w:val="(%2)"/>
      <w:numFmt w:val="lowerRoman"/>
      <w:start w:val="1"/>
    </w:lvl>
  </w:abstractNum>
  <w:abstractNum w:abstractNumId="43">
    <w:nsid w:val="5FB8370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4">
    <w:nsid w:val="50801EE1"/>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45">
    <w:nsid w:val="488AC1A"/>
    <w:multiLevelType w:val="hybridMultilevel"/>
    <w:lvl w:ilvl="0">
      <w:lvlJc w:val="left"/>
      <w:lvlText w:val="%1"/>
      <w:numFmt w:val="lowerLetter"/>
      <w:start w:val="1"/>
    </w:lvl>
    <w:lvl w:ilvl="1">
      <w:lvlJc w:val="left"/>
      <w:lvlText w:val="(%2)"/>
      <w:numFmt w:val="lowerLetter"/>
      <w:start w:val="6"/>
    </w:lvl>
  </w:abstractNum>
  <w:abstractNum w:abstractNumId="46">
    <w:nsid w:val="5FB8011C"/>
    <w:multiLevelType w:val="hybridMultilevel"/>
    <w:lvl w:ilvl="0">
      <w:lvlJc w:val="left"/>
      <w:lvlText w:val="(%1)"/>
      <w:numFmt w:val="lowerLetter"/>
      <w:start w:val="35"/>
    </w:lvl>
    <w:lvl w:ilvl="1">
      <w:lvlJc w:val="left"/>
      <w:lvlText w:val="(%2)"/>
      <w:numFmt w:val="lowerLetter"/>
      <w:start w:val="8"/>
    </w:lvl>
  </w:abstractNum>
  <w:abstractNum w:abstractNumId="47">
    <w:nsid w:val="6AA78F7F"/>
    <w:multiLevelType w:val="hybridMultilevel"/>
    <w:lvl w:ilvl="0">
      <w:lvlJc w:val="left"/>
      <w:lvlText w:val="%1."/>
      <w:numFmt w:val="decimal"/>
      <w:start w:val="13"/>
    </w:lvl>
    <w:lvl w:ilvl="1">
      <w:lvlJc w:val="left"/>
      <w:lvlText w:val="(%2)"/>
      <w:numFmt w:val="lowerLetter"/>
      <w:start w:val="1"/>
    </w:lvl>
  </w:abstractNum>
  <w:abstractNum w:abstractNumId="48">
    <w:nsid w:val="7672BD23"/>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49">
    <w:nsid w:val="6FC75AF8"/>
    <w:multiLevelType w:val="hybridMultilevel"/>
    <w:lvl w:ilvl="0">
      <w:lvlJc w:val="left"/>
      <w:lvlText w:val="(%1)"/>
      <w:numFmt w:val="lowerLetter"/>
      <w:start w:val="35"/>
    </w:lvl>
    <w:lvl w:ilvl="1">
      <w:lvlJc w:val="left"/>
      <w:lvlText w:val="(%2)"/>
      <w:numFmt w:val="lowerLetter"/>
      <w:start w:val="6"/>
    </w:lvl>
    <w:lvl w:ilvl="2">
      <w:lvlJc w:val="left"/>
      <w:lvlText w:val="(%3)"/>
      <w:numFmt w:val="decimal"/>
      <w:start w:val="3"/>
    </w:lvl>
  </w:abstractNum>
  <w:abstractNum w:abstractNumId="50">
    <w:nsid w:val="6A5F7029"/>
    <w:multiLevelType w:val="hybridMultilevel"/>
    <w:lvl w:ilvl="0">
      <w:lvlJc w:val="left"/>
      <w:lvlText w:val="%1."/>
      <w:numFmt w:val="decimal"/>
      <w:start w:val="1"/>
    </w:lvl>
  </w:abstractNum>
  <w:abstractNum w:abstractNumId="51">
    <w:nsid w:val="7D5E18F8"/>
    <w:multiLevelType w:val="hybridMultilevel"/>
    <w:lvl w:ilvl="0">
      <w:lvlJc w:val="left"/>
      <w:lvlText w:val="%1."/>
      <w:numFmt w:val="decimal"/>
      <w:start w:val="2"/>
    </w:lvl>
  </w:abstractNum>
  <w:abstractNum w:abstractNumId="52">
    <w:nsid w:val="5F3534A4"/>
    <w:multiLevelType w:val="hybridMultilevel"/>
    <w:lvl w:ilvl="0">
      <w:lvlJc w:val="left"/>
      <w:lvlText w:val="(%1)"/>
      <w:numFmt w:val="lowerRoman"/>
      <w:start w:val="2"/>
    </w:lvl>
  </w:abstractNum>
  <w:abstractNum w:abstractNumId="53">
    <w:nsid w:val="73A1821B"/>
    <w:multiLevelType w:val="hybridMultilevel"/>
    <w:lvl w:ilvl="0">
      <w:lvlJc w:val="left"/>
      <w:lvlText w:val="%1."/>
      <w:numFmt w:val="decimal"/>
      <w:start w:val="3"/>
    </w:lvl>
  </w:abstractNum>
  <w:abstractNum w:abstractNumId="54">
    <w:nsid w:val="7DE67713"/>
    <w:multiLevelType w:val="hybridMultilevel"/>
    <w:lvl w:ilvl="0">
      <w:lvlJc w:val="left"/>
      <w:lvlText w:val="%1."/>
      <w:numFmt w:val="decimal"/>
      <w:start w:val="4"/>
    </w:lvl>
  </w:abstractNum>
  <w:abstractNum w:abstractNumId="55">
    <w:nsid w:val="555C55B5"/>
    <w:multiLevelType w:val="hybridMultilevel"/>
    <w:lvl w:ilvl="0">
      <w:lvlJc w:val="left"/>
      <w:lvlText w:val="(%1)"/>
      <w:numFmt w:val="lowerRoman"/>
      <w:start w:val="2"/>
    </w:lvl>
  </w:abstractNum>
  <w:abstractNum w:abstractNumId="56">
    <w:nsid w:val="3FA62ACA"/>
    <w:multiLevelType w:val="hybridMultilevel"/>
    <w:lvl w:ilvl="0">
      <w:lvlJc w:val="left"/>
      <w:lvlText w:val="%1."/>
      <w:numFmt w:val="decimal"/>
      <w:start w:val="5"/>
    </w:lvl>
  </w:abstractNum>
  <w:abstractNum w:abstractNumId="57">
    <w:nsid w:val="14FCE74E"/>
    <w:multiLevelType w:val="hybridMultilevel"/>
    <w:lvl w:ilvl="0">
      <w:lvlJc w:val="left"/>
      <w:lvlText w:val="%1."/>
      <w:numFmt w:val="decimal"/>
      <w:start w:val="6"/>
    </w:lvl>
  </w:abstractNum>
  <w:abstractNum w:abstractNumId="58">
    <w:nsid w:val="6A3DD3E8"/>
    <w:multiLevelType w:val="hybridMultilevel"/>
    <w:lvl w:ilvl="0">
      <w:lvlJc w:val="left"/>
      <w:lvlText w:val="%1."/>
      <w:numFmt w:val="decimal"/>
      <w:start w:val="7"/>
    </w:lvl>
  </w:abstractNum>
  <w:abstractNum w:abstractNumId="59">
    <w:nsid w:val="71C91298"/>
    <w:multiLevelType w:val="hybridMultilevel"/>
    <w:lvl w:ilvl="0">
      <w:lvlJc w:val="left"/>
      <w:lvlText w:val="%1."/>
      <w:numFmt w:val="decimal"/>
      <w:start w:val="8"/>
    </w:lvl>
  </w:abstractNum>
  <w:abstractNum w:abstractNumId="60">
    <w:nsid w:val="9DAF632"/>
    <w:multiLevelType w:val="hybridMultilevel"/>
    <w:lvl w:ilvl="0">
      <w:lvlJc w:val="left"/>
      <w:lvlText w:val="%1."/>
      <w:numFmt w:val="decimal"/>
      <w:start w:val="9"/>
    </w:lvl>
  </w:abstractNum>
  <w:abstractNum w:abstractNumId="61">
    <w:nsid w:val="53299938"/>
    <w:multiLevelType w:val="hybridMultilevel"/>
    <w:lvl w:ilvl="0">
      <w:lvlJc w:val="left"/>
      <w:lvlText w:val="%1."/>
      <w:numFmt w:val="decimal"/>
      <w:start w:val="10"/>
    </w:lvl>
  </w:abstractNum>
  <w:abstractNum w:abstractNumId="62">
    <w:nsid w:val="1FBFE8E0"/>
    <w:multiLevelType w:val="hybridMultilevel"/>
    <w:lvl w:ilvl="0">
      <w:lvlJc w:val="left"/>
      <w:lvlText w:val="%1."/>
      <w:numFmt w:val="upperLetter"/>
      <w:start w:val="9"/>
    </w:lvl>
  </w:abstractNum>
  <w:abstractNum w:abstractNumId="63">
    <w:nsid w:val="5092CA79"/>
    <w:multiLevelType w:val="hybridMultilevel"/>
    <w:lvl w:ilvl="0">
      <w:lvlJc w:val="left"/>
      <w:lvlText w:val="%1."/>
      <w:numFmt w:val="decimal"/>
      <w:start w:val="1"/>
    </w:lvl>
  </w:abstractNum>
  <w:abstractNum w:abstractNumId="64">
    <w:nsid w:val="1D545C4D"/>
    <w:multiLevelType w:val="hybridMultilevel"/>
    <w:lvl w:ilvl="0">
      <w:lvlJc w:val="left"/>
      <w:lvlText w:val="%1."/>
      <w:numFmt w:val="decimal"/>
      <w:start w:val="2"/>
    </w:lvl>
  </w:abstractNum>
  <w:abstractNum w:abstractNumId="65">
    <w:nsid w:val="59ADEA3D"/>
    <w:multiLevelType w:val="hybridMultilevel"/>
    <w:lvl w:ilvl="0">
      <w:lvlJc w:val="left"/>
      <w:lvlText w:val="(%1)"/>
      <w:numFmt w:val="lowerLetter"/>
      <w:start w:val="1"/>
    </w:lvl>
    <w:lvl w:ilvl="1">
      <w:lvlJc w:val="left"/>
      <w:lvlText w:val="(%2)"/>
      <w:numFmt w:val="lowerRoman"/>
      <w:start w:val="1"/>
    </w:lvl>
  </w:abstractNum>
  <w:abstractNum w:abstractNumId="66">
    <w:nsid w:val="288F1A3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7">
    <w:nsid w:val="2A155DB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8">
    <w:nsid w:val="1D9F6E5F"/>
    <w:multiLevelType w:val="hybridMultilevel"/>
    <w:lvl w:ilvl="0">
      <w:lvlJc w:val="left"/>
      <w:lvlText w:val="%1."/>
      <w:numFmt w:val="decimal"/>
      <w:start w:val="4"/>
    </w:lvl>
  </w:abstractNum>
  <w:abstractNum w:abstractNumId="69">
    <w:nsid w:val="97E1B4E"/>
    <w:multiLevelType w:val="hybridMultilevel"/>
    <w:lvl w:ilvl="0">
      <w:lvlJc w:val="left"/>
      <w:lvlText w:val="%1."/>
      <w:numFmt w:val="decimal"/>
      <w:start w:val="5"/>
    </w:lvl>
  </w:abstractNum>
  <w:abstractNum w:abstractNumId="70">
    <w:nsid w:val="51088277"/>
    <w:multiLevelType w:val="hybridMultilevel"/>
    <w:lvl w:ilvl="0">
      <w:lvlJc w:val="left"/>
      <w:lvlText w:val="%1."/>
      <w:numFmt w:val="decimal"/>
      <w:start w:val="6"/>
    </w:lvl>
  </w:abstractNum>
  <w:abstractNum w:abstractNumId="71">
    <w:nsid w:val="1CA0C5FA"/>
    <w:multiLevelType w:val="hybridMultilevel"/>
    <w:lvl w:ilvl="0">
      <w:lvlJc w:val="left"/>
      <w:lvlText w:val="%1."/>
      <w:numFmt w:val="decimal"/>
      <w:start w:val="7"/>
    </w:lvl>
  </w:abstractNum>
  <w:abstractNum w:abstractNumId="72">
    <w:nsid w:val="53584BCB"/>
    <w:multiLevelType w:val="hybridMultilevel"/>
    <w:lvl w:ilvl="0">
      <w:lvlJc w:val="left"/>
      <w:lvlText w:val="%1."/>
      <w:numFmt w:val="decimal"/>
      <w:start w:val="8"/>
    </w:lvl>
  </w:abstractNum>
  <w:abstractNum w:abstractNumId="73">
    <w:nsid w:val="415E286C"/>
    <w:multiLevelType w:val="hybridMultilevel"/>
    <w:lvl w:ilvl="0">
      <w:lvlJc w:val="left"/>
      <w:lvlText w:val="%1."/>
      <w:numFmt w:val="upperLetter"/>
      <w:start w:val="35"/>
    </w:lvl>
  </w:abstractNum>
  <w:abstractNum w:abstractNumId="74">
    <w:nsid w:val="7C58FD05"/>
    <w:multiLevelType w:val="hybridMultilevel"/>
    <w:lvl w:ilvl="0">
      <w:lvlJc w:val="left"/>
      <w:lvlText w:val="%1."/>
      <w:numFmt w:val="decimal"/>
      <w:start w:val="1"/>
    </w:lvl>
  </w:abstractNum>
  <w:abstractNum w:abstractNumId="75">
    <w:nsid w:val="23D86AA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6">
    <w:nsid w:val="45E6D486"/>
    <w:multiLevelType w:val="hybridMultilevel"/>
    <w:lvl w:ilvl="0">
      <w:lvlJc w:val="left"/>
      <w:lvlText w:val="%1"/>
      <w:numFmt w:val="decimal"/>
      <w:start w:val="163"/>
    </w:lvl>
    <w:lvl w:ilvl="1">
      <w:lvlJc w:val="left"/>
      <w:lvlText w:val="(%2)"/>
      <w:numFmt w:val="lowerLetter"/>
      <w:start w:val="2"/>
    </w:lvl>
    <w:lvl w:ilvl="2">
      <w:lvlJc w:val="left"/>
      <w:lvlText w:val="%3"/>
      <w:numFmt w:val="lowerRoman"/>
      <w:start w:val="1"/>
    </w:lvl>
  </w:abstractNum>
  <w:abstractNum w:abstractNumId="77">
    <w:nsid w:val="5C10FE21"/>
    <w:multiLevelType w:val="hybridMultilevel"/>
    <w:lvl w:ilvl="0">
      <w:lvlJc w:val="left"/>
      <w:lvlText w:val="(%1)"/>
      <w:numFmt w:val="lowerLetter"/>
      <w:start w:val="3"/>
    </w:lvl>
  </w:abstractNum>
  <w:abstractNum w:abstractNumId="78">
    <w:nsid w:val="E7FFA2B"/>
    <w:multiLevelType w:val="hybridMultilevel"/>
    <w:lvl w:ilvl="0">
      <w:lvlJc w:val="left"/>
      <w:lvlText w:val="%1."/>
      <w:numFmt w:val="decimal"/>
      <w:start w:val="4"/>
    </w:lvl>
  </w:abstractNum>
  <w:abstractNum w:abstractNumId="79">
    <w:nsid w:val="3C5991AA"/>
    <w:multiLevelType w:val="hybridMultilevel"/>
    <w:lvl w:ilvl="0">
      <w:lvlJc w:val="left"/>
      <w:lvlText w:val="%1."/>
      <w:numFmt w:val="decimal"/>
      <w:start w:val="5"/>
    </w:lvl>
  </w:abstractNum>
  <w:abstractNum w:abstractNumId="80">
    <w:nsid w:val="4BD8591A"/>
    <w:multiLevelType w:val="hybridMultilevel"/>
    <w:lvl w:ilvl="0">
      <w:lvlJc w:val="left"/>
      <w:lvlText w:val="%1."/>
      <w:numFmt w:val="decimal"/>
      <w:start w:val="6"/>
    </w:lvl>
  </w:abstractNum>
  <w:abstractNum w:abstractNumId="81">
    <w:nsid w:val="78DF6A55"/>
    <w:multiLevelType w:val="hybridMultilevel"/>
    <w:lvl w:ilvl="0">
      <w:lvlJc w:val="left"/>
      <w:lvlText w:val="%1."/>
      <w:numFmt w:val="decimal"/>
      <w:start w:val="7"/>
    </w:lvl>
  </w:abstractNum>
  <w:abstractNum w:abstractNumId="82">
    <w:nsid w:val="39B7AAA2"/>
    <w:multiLevelType w:val="hybridMultilevel"/>
    <w:lvl w:ilvl="0">
      <w:lvlJc w:val="left"/>
      <w:lvlText w:val="%1."/>
      <w:numFmt w:val="upperLetter"/>
      <w:start w:val="61"/>
    </w:lvl>
  </w:abstractNum>
  <w:abstractNum w:abstractNumId="83">
    <w:nsid w:val="2B0D8DBE"/>
    <w:multiLevelType w:val="hybridMultilevel"/>
    <w:lvl w:ilvl="0">
      <w:lvlJc w:val="left"/>
      <w:lvlText w:val="%1."/>
      <w:numFmt w:val="decimal"/>
      <w:start w:val="1"/>
    </w:lvl>
    <w:lvl w:ilvl="1">
      <w:lvlJc w:val="left"/>
      <w:lvlText w:val="(%2)"/>
      <w:numFmt w:val="lowerLetter"/>
      <w:start w:val="1"/>
    </w:lvl>
  </w:abstractNum>
  <w:abstractNum w:abstractNumId="84">
    <w:nsid w:val="6C80EC70"/>
    <w:multiLevelType w:val="hybridMultilevel"/>
    <w:lvl w:ilvl="0">
      <w:lvlJc w:val="left"/>
      <w:lvlText w:val="%1."/>
      <w:numFmt w:val="decimal"/>
      <w:start w:val="2"/>
    </w:lvl>
  </w:abstractNum>
  <w:abstractNum w:abstractNumId="85">
    <w:nsid w:val="379E21B5"/>
    <w:multiLevelType w:val="hybridMultilevel"/>
    <w:lvl w:ilvl="0">
      <w:lvlJc w:val="left"/>
      <w:lvlText w:val="%1."/>
      <w:numFmt w:val="decimal"/>
      <w:start w:val="3"/>
    </w:lvl>
  </w:abstractNum>
  <w:abstractNum w:abstractNumId="86">
    <w:nsid w:val="69E373"/>
    <w:multiLevelType w:val="hybridMultilevel"/>
    <w:lvl w:ilvl="0">
      <w:lvlJc w:val="left"/>
      <w:lvlText w:val="%1."/>
      <w:numFmt w:val="decimal"/>
      <w:start w:val="4"/>
    </w:lvl>
  </w:abstractNum>
  <w:abstractNum w:abstractNumId="87">
    <w:nsid w:val="2C27173B"/>
    <w:multiLevelType w:val="hybridMultilevel"/>
    <w:lvl w:ilvl="0">
      <w:lvlJc w:val="left"/>
      <w:lvlText w:val="%1."/>
      <w:numFmt w:val="decimal"/>
      <w:start w:val="1"/>
    </w:lvl>
  </w:abstractNum>
  <w:abstractNum w:abstractNumId="88">
    <w:nsid w:val="4C9B0904"/>
    <w:multiLevelType w:val="hybridMultilevel"/>
    <w:lvl w:ilvl="0">
      <w:lvlJc w:val="left"/>
      <w:lvlText w:val="%1"/>
      <w:numFmt w:val="decimal"/>
      <w:start w:val="1"/>
    </w:lvl>
    <w:lvl w:ilvl="1">
      <w:lvlJc w:val="left"/>
      <w:lvlText w:val="(%2)"/>
      <w:numFmt w:val="lowerLetter"/>
      <w:start w:val="1"/>
    </w:lvl>
  </w:abstractNum>
  <w:abstractNum w:abstractNumId="89">
    <w:nsid w:val="6AA7B75C"/>
    <w:multiLevelType w:val="hybridMultilevel"/>
    <w:lvl w:ilvl="0">
      <w:lvlJc w:val="left"/>
      <w:lvlText w:val="%1."/>
      <w:numFmt w:val="decimal"/>
      <w:start w:val="2"/>
    </w:lvl>
    <w:lvl w:ilvl="1">
      <w:lvlJc w:val="left"/>
      <w:lvlText w:val="%2"/>
      <w:numFmt w:val="lowerLetter"/>
      <w:start w:val="1"/>
    </w:lvl>
  </w:abstractNum>
  <w:abstractNum w:abstractNumId="90">
    <w:nsid w:val="1DF029D3"/>
    <w:multiLevelType w:val="hybridMultilevel"/>
    <w:lvl w:ilvl="0">
      <w:lvlJc w:val="left"/>
      <w:lvlText w:val="(%1)"/>
      <w:numFmt w:val="lowerLetter"/>
      <w:start w:val="1"/>
    </w:lvl>
  </w:abstractNum>
  <w:abstractNum w:abstractNumId="91">
    <w:nsid w:val="5675FF36"/>
    <w:multiLevelType w:val="hybridMultilevel"/>
    <w:lvl w:ilvl="0">
      <w:lvlJc w:val="left"/>
      <w:lvlText w:val="%1."/>
      <w:numFmt w:val="decimal"/>
      <w:start w:val="3"/>
    </w:lvl>
  </w:abstractNum>
  <w:abstractNum w:abstractNumId="92">
    <w:nsid w:val="3DD15094"/>
    <w:multiLevelType w:val="hybridMultilevel"/>
    <w:lvl w:ilvl="0">
      <w:lvlJc w:val="left"/>
      <w:lvlText w:val="%1."/>
      <w:numFmt w:val="decimal"/>
      <w:start w:val="4"/>
    </w:lvl>
  </w:abstractNum>
  <w:abstractNum w:abstractNumId="93">
    <w:nsid w:val="3DB012B3"/>
    <w:multiLevelType w:val="hybridMultilevel"/>
    <w:lvl w:ilvl="0">
      <w:lvlJc w:val="left"/>
      <w:lvlText w:val="%1."/>
      <w:numFmt w:val="decimal"/>
      <w:start w:val="5"/>
    </w:lvl>
  </w:abstractNum>
  <w:abstractNum w:abstractNumId="94">
    <w:nsid w:val="2708C9AF"/>
    <w:multiLevelType w:val="hybridMultilevel"/>
    <w:lvl w:ilvl="0">
      <w:lvlJc w:val="left"/>
      <w:lvlText w:val="%1."/>
      <w:numFmt w:val="decimal"/>
      <w:start w:val="6"/>
    </w:lvl>
  </w:abstractNum>
  <w:abstractNum w:abstractNumId="95">
    <w:nsid w:val="5B25ACE2"/>
    <w:multiLevelType w:val="hybridMultilevel"/>
    <w:lvl w:ilvl="0">
      <w:lvlJc w:val="left"/>
      <w:lvlText w:val="(%1)"/>
      <w:numFmt w:val="lowerLetter"/>
      <w:start w:val="1"/>
    </w:lvl>
  </w:abstractNum>
  <w:abstractNum w:abstractNumId="96">
    <w:nsid w:val="175DFCF0"/>
    <w:multiLevelType w:val="hybridMultilevel"/>
    <w:lvl w:ilvl="0">
      <w:lvlJc w:val="left"/>
      <w:lvlText w:val="(%1)"/>
      <w:numFmt w:val="lowerLetter"/>
      <w:start w:val="1"/>
    </w:lvl>
  </w:abstractNum>
  <w:abstractNum w:abstractNumId="97">
    <w:nsid w:val="4F97E3E4"/>
    <w:multiLevelType w:val="hybridMultilevel"/>
    <w:lvl w:ilvl="0">
      <w:lvlJc w:val="left"/>
      <w:lvlText w:val="%1."/>
      <w:numFmt w:val="decimal"/>
      <w:start w:val="7"/>
    </w:lvl>
  </w:abstractNum>
  <w:abstractNum w:abstractNumId="98">
    <w:nsid w:val="53B0A9E"/>
    <w:multiLevelType w:val="hybridMultilevel"/>
    <w:lvl w:ilvl="0">
      <w:lvlJc w:val="left"/>
      <w:lvlText w:val="(%1)"/>
      <w:numFmt w:val="lowerLetter"/>
      <w:start w:val="1"/>
    </w:lvl>
  </w:abstractNum>
  <w:abstractNum w:abstractNumId="99">
    <w:nsid w:val="34FD6B4F"/>
    <w:multiLevelType w:val="hybridMultilevel"/>
    <w:lvl w:ilvl="0">
      <w:lvlJc w:val="left"/>
      <w:lvlText w:val="(%1)"/>
      <w:numFmt w:val="lowerLetter"/>
      <w:start w:val="3"/>
    </w:lvl>
  </w:abstractNum>
  <w:abstractNum w:abstractNumId="100">
    <w:nsid w:val="5915FF32"/>
    <w:multiLevelType w:val="hybridMultilevel"/>
    <w:lvl w:ilvl="0">
      <w:lvlJc w:val="left"/>
      <w:lvlText w:val="(%1)"/>
      <w:numFmt w:val="lowerLetter"/>
      <w:start w:val="5"/>
    </w:lvl>
  </w:abstractNum>
  <w:abstractNum w:abstractNumId="101">
    <w:nsid w:val="56438D15"/>
    <w:multiLevelType w:val="hybridMultilevel"/>
    <w:lvl w:ilvl="0">
      <w:lvlJc w:val="left"/>
      <w:lvlText w:val="%1."/>
      <w:numFmt w:val="decimal"/>
      <w:start w:val="8"/>
    </w:lvl>
  </w:abstractNum>
  <w:abstractNum w:abstractNumId="102">
    <w:nsid w:val="519E3149"/>
    <w:multiLevelType w:val="hybridMultilevel"/>
    <w:lvl w:ilvl="0">
      <w:lvlJc w:val="left"/>
      <w:lvlText w:val="%1."/>
      <w:numFmt w:val="decimal"/>
      <w:start w:val="9"/>
    </w:lvl>
  </w:abstractNum>
  <w:abstractNum w:abstractNumId="103">
    <w:nsid w:val="2C6E4AFD"/>
    <w:multiLevelType w:val="hybridMultilevel"/>
    <w:lvl w:ilvl="0">
      <w:lvlJc w:val="left"/>
      <w:lvlText w:val="%1."/>
      <w:numFmt w:val="decimal"/>
      <w:start w:val="10"/>
    </w:lvl>
  </w:abstractNum>
  <w:abstractNum w:abstractNumId="104">
    <w:nsid w:val="17A1B582"/>
    <w:multiLevelType w:val="hybridMultilevel"/>
    <w:lvl w:ilvl="0">
      <w:lvlJc w:val="left"/>
      <w:lvlText w:val="%1."/>
      <w:numFmt w:val="decimal"/>
      <w:start w:val="1"/>
    </w:lvl>
  </w:abstractNum>
  <w:abstractNum w:abstractNumId="105">
    <w:nsid w:val="4DF72E4E"/>
    <w:multiLevelType w:val="hybridMultilevel"/>
    <w:lvl w:ilvl="0">
      <w:lvlJc w:val="left"/>
      <w:lvlText w:val="%1."/>
      <w:numFmt w:val="decimal"/>
      <w:start w:val="2"/>
    </w:lvl>
  </w:abstractNum>
  <w:abstractNum w:abstractNumId="106">
    <w:nsid w:val="5046B5A9"/>
    <w:multiLevelType w:val="hybridMultilevel"/>
    <w:lvl w:ilvl="0">
      <w:lvlJc w:val="left"/>
      <w:lvlText w:val="%1."/>
      <w:numFmt w:val="decimal"/>
      <w:start w:val="3"/>
    </w:lvl>
    <w:lvl w:ilvl="1">
      <w:lvlJc w:val="left"/>
      <w:lvlText w:val="(%2)"/>
      <w:numFmt w:val="lowerLetter"/>
      <w:start w:val="1"/>
    </w:lvl>
  </w:abstractNum>
  <w:abstractNum w:abstractNumId="107">
    <w:nsid w:val="5D888A08"/>
    <w:multiLevelType w:val="hybridMultilevel"/>
    <w:lvl w:ilvl="0">
      <w:lvlJc w:val="left"/>
      <w:lvlText w:val="%1"/>
      <w:numFmt w:val="decimal"/>
      <w:start w:val="1"/>
    </w:lvl>
    <w:lvl w:ilvl="1">
      <w:lvlJc w:val="left"/>
      <w:lvlText w:val="(%2)"/>
      <w:numFmt w:val="lowerLetter"/>
      <w:start w:val="4"/>
    </w:lvl>
  </w:abstractNum>
  <w:abstractNum w:abstractNumId="108">
    <w:nsid w:val="2A082C70"/>
    <w:multiLevelType w:val="hybridMultilevel"/>
    <w:lvl w:ilvl="0">
      <w:lvlJc w:val="left"/>
      <w:lvlText w:val="%1."/>
      <w:numFmt w:val="decimal"/>
      <w:start w:val="4"/>
    </w:lvl>
    <w:lvl w:ilvl="1">
      <w:lvlJc w:val="left"/>
      <w:lvlText w:val="(%2)"/>
      <w:numFmt w:val="lowerLetter"/>
      <w:start w:val="1"/>
    </w:lvl>
  </w:abstractNum>
  <w:abstractNum w:abstractNumId="109">
    <w:nsid w:val="5EC6AFD4"/>
    <w:multiLevelType w:val="hybridMultilevel"/>
    <w:lvl w:ilvl="0">
      <w:lvlJc w:val="left"/>
      <w:lvlText w:val="%1."/>
      <w:numFmt w:val="decimal"/>
      <w:start w:val="6"/>
    </w:lvl>
    <w:lvl w:ilvl="1">
      <w:lvlJc w:val="left"/>
      <w:lvlText w:val="(%2)"/>
      <w:numFmt w:val="lowerLetter"/>
      <w:start w:val="1"/>
    </w:lvl>
  </w:abstractNum>
  <w:abstractNum w:abstractNumId="110">
    <w:nsid w:val="19E21BB2"/>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11">
    <w:nsid w:val="75E0858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12">
    <w:nsid w:val="57A61A29"/>
    <w:multiLevelType w:val="hybridMultilevel"/>
    <w:lvl w:ilvl="0">
      <w:lvlJc w:val="left"/>
      <w:lvlText w:val="%1."/>
      <w:numFmt w:val="decimal"/>
      <w:start w:val="11"/>
    </w:lvl>
  </w:abstractNum>
  <w:abstractNum w:abstractNumId="113">
    <w:nsid w:val="5399C654"/>
    <w:multiLevelType w:val="hybridMultilevel"/>
    <w:lvl w:ilvl="0">
      <w:lvlJc w:val="left"/>
      <w:lvlText w:val="%1."/>
      <w:numFmt w:val="decimal"/>
      <w:start w:val="17"/>
    </w:lvl>
  </w:abstractNum>
  <w:abstractNum w:abstractNumId="114">
    <w:nsid w:val="20EE1348"/>
    <w:multiLevelType w:val="hybridMultilevel"/>
    <w:lvl w:ilvl="0">
      <w:lvlJc w:val="left"/>
      <w:lvlText w:val="(%1)"/>
      <w:numFmt w:val="lowerRoman"/>
      <w:start w:val="1"/>
    </w:lvl>
    <w:lvl w:ilvl="1">
      <w:lvlJc w:val="left"/>
      <w:lvlText w:val="(%2)"/>
      <w:numFmt w:val="lowerRoman"/>
      <w:start w:val="2"/>
    </w:lvl>
  </w:abstractNum>
  <w:abstractNum w:abstractNumId="115">
    <w:nsid w:val="4427069A"/>
    <w:multiLevelType w:val="hybridMultilevel"/>
    <w:lvl w:ilvl="0">
      <w:lvlJc w:val="left"/>
      <w:lvlText w:val="%1."/>
      <w:numFmt w:val="decimal"/>
      <w:start w:val="1"/>
    </w:lvl>
  </w:abstractNum>
  <w:abstractNum w:abstractNumId="116">
    <w:nsid w:val="B37E80A"/>
    <w:multiLevelType w:val="hybridMultilevel"/>
    <w:lvl w:ilvl="0">
      <w:lvlJc w:val="left"/>
      <w:lvlText w:val="%1."/>
      <w:numFmt w:val="decimal"/>
      <w:start w:val="6"/>
    </w:lvl>
  </w:abstractNum>
  <w:abstractNum w:abstractNumId="117">
    <w:nsid w:val="2157F6BC"/>
    <w:multiLevelType w:val="hybridMultilevel"/>
    <w:lvl w:ilvl="0">
      <w:lvlJc w:val="left"/>
      <w:lvlText w:val="%1."/>
      <w:numFmt w:val="decimal"/>
      <w:start w:val="1"/>
    </w:lvl>
  </w:abstractNum>
  <w:abstractNum w:abstractNumId="118">
    <w:nsid w:val="704E1DD5"/>
    <w:multiLevelType w:val="hybridMultilevel"/>
    <w:lvl w:ilvl="0">
      <w:lvlJc w:val="left"/>
      <w:lvlText w:val="%1."/>
      <w:numFmt w:val="decimal"/>
      <w:start w:val="1"/>
    </w:lvl>
    <w:lvl w:ilvl="1">
      <w:lvlJc w:val="left"/>
      <w:lvlText w:val="(%2)"/>
      <w:numFmt w:val="lowerLetter"/>
      <w:start w:val="1"/>
    </w:lvl>
  </w:abstractNum>
  <w:abstractNum w:abstractNumId="119">
    <w:nsid w:val="57D2F10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20">
    <w:nsid w:val="BFFAE1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1">
    <w:nsid w:val="E3E47A8"/>
    <w:multiLevelType w:val="hybridMultilevel"/>
    <w:lvl w:ilvl="0">
      <w:lvlJc w:val="left"/>
      <w:lvlText w:val="(%1)"/>
      <w:numFmt w:val="lowerRoman"/>
      <w:start w:val="3"/>
    </w:lvl>
  </w:abstractNum>
  <w:abstractNum w:abstractNumId="122">
    <w:nsid w:val="2E48F044"/>
    <w:multiLevelType w:val="hybridMultilevel"/>
    <w:lvl w:ilvl="0">
      <w:lvlJc w:val="left"/>
      <w:lvlText w:val="%1."/>
      <w:numFmt w:val="decimal"/>
      <w:start w:val="7"/>
    </w:lvl>
  </w:abstractNum>
  <w:abstractNum w:abstractNumId="123">
    <w:nsid w:val="49D0FEAC"/>
    <w:multiLevelType w:val="hybridMultilevel"/>
    <w:lvl w:ilvl="0">
      <w:lvlJc w:val="left"/>
      <w:lvlText w:val="%1."/>
      <w:numFmt w:val="decimal"/>
      <w:start w:val="9"/>
    </w:lvl>
    <w:lvl w:ilvl="1">
      <w:lvlJc w:val="left"/>
      <w:lvlText w:val="(%2)"/>
      <w:numFmt w:val="lowerLetter"/>
      <w:start w:val="1"/>
    </w:lvl>
  </w:abstractNum>
  <w:abstractNum w:abstractNumId="124">
    <w:nsid w:val="4BEE5A5B"/>
    <w:multiLevelType w:val="hybridMultilevel"/>
    <w:lvl w:ilvl="0">
      <w:lvlJc w:val="left"/>
      <w:lvlText w:val="(%1)"/>
      <w:numFmt w:val="lowerLetter"/>
      <w:start w:val="7"/>
    </w:lvl>
  </w:abstractNum>
  <w:abstractNum w:abstractNumId="125">
    <w:nsid w:val="5551B9F3"/>
    <w:multiLevelType w:val="hybridMultilevel"/>
    <w:lvl w:ilvl="0">
      <w:lvlJc w:val="left"/>
      <w:lvlText w:val="(%1)"/>
      <w:numFmt w:val="lowerLetter"/>
      <w:start w:val="19"/>
    </w:lvl>
  </w:abstractNum>
  <w:abstractNum w:abstractNumId="126">
    <w:nsid w:val="24F6AB8E"/>
    <w:multiLevelType w:val="hybridMultilevel"/>
    <w:lvl w:ilvl="0">
      <w:lvlJc w:val="left"/>
      <w:lvlText w:val="(%1)"/>
      <w:numFmt w:val="lowerRoman"/>
      <w:start w:val="1"/>
    </w:lvl>
    <w:lvl w:ilvl="1">
      <w:lvlJc w:val="left"/>
      <w:lvlText w:val="(%2)"/>
      <w:numFmt w:val="lowerRoman"/>
      <w:start w:val="2"/>
    </w:lvl>
  </w:abstractNum>
  <w:abstractNum w:abstractNumId="127">
    <w:nsid w:val="634C574C"/>
    <w:multiLevelType w:val="hybridMultilevel"/>
    <w:lvl w:ilvl="0">
      <w:lvlJc w:val="left"/>
      <w:lvlText w:val="1"/>
      <w:numFmt w:val="bullet"/>
      <w:start w:val="1"/>
    </w:lvl>
  </w:abstractNum>
  <w:abstractNum w:abstractNumId="128">
    <w:nsid w:val="24E99DD7"/>
    <w:multiLevelType w:val="hybridMultilevel"/>
    <w:lvl w:ilvl="0">
      <w:lvlJc w:val="left"/>
      <w:lvlText w:val="%1."/>
      <w:numFmt w:val="decimal"/>
      <w:start w:val="1"/>
    </w:lvl>
    <w:lvl w:ilvl="1">
      <w:lvlJc w:val="left"/>
      <w:lvlText w:val="(%2)"/>
      <w:numFmt w:val="lowerLetter"/>
      <w:start w:val="1"/>
    </w:lvl>
  </w:abstractNum>
  <w:abstractNum w:abstractNumId="129">
    <w:nsid w:val="2A31B62D"/>
    <w:multiLevelType w:val="hybridMultilevel"/>
    <w:lvl w:ilvl="0">
      <w:lvlJc w:val="left"/>
      <w:lvlText w:val="%1"/>
      <w:numFmt w:val="decimal"/>
      <w:start w:val="1"/>
    </w:lvl>
    <w:lvl w:ilvl="1">
      <w:lvlJc w:val="left"/>
      <w:lvlText w:val="(%2)"/>
      <w:numFmt w:val="lowerLetter"/>
      <w:start w:val="4"/>
    </w:lvl>
  </w:abstractNum>
  <w:abstractNum w:abstractNumId="130">
    <w:nsid w:val="1849C29B"/>
    <w:multiLevelType w:val="hybridMultilevel"/>
    <w:lvl w:ilvl="0">
      <w:lvlJc w:val="left"/>
      <w:lvlText w:val="%1."/>
      <w:numFmt w:val="decimal"/>
      <w:start w:val="3"/>
    </w:lvl>
    <w:lvl w:ilvl="1">
      <w:lvlJc w:val="left"/>
      <w:lvlText w:val="(%2)"/>
      <w:numFmt w:val="lowerLetter"/>
      <w:start w:val="1"/>
    </w:lvl>
  </w:abstractNum>
  <w:abstractNum w:abstractNumId="131">
    <w:nsid w:val="7DFF9D09"/>
    <w:multiLevelType w:val="hybridMultilevel"/>
    <w:lvl w:ilvl="0">
      <w:lvlJc w:val="left"/>
      <w:lvlText w:val="(%1)"/>
      <w:numFmt w:val="lowerLetter"/>
      <w:start w:val="2"/>
    </w:lvl>
    <w:lvl w:ilvl="1">
      <w:lvlJc w:val="left"/>
      <w:lvlText w:val="(%2)"/>
      <w:numFmt w:val="lowerRoman"/>
      <w:start w:val="1"/>
    </w:lvl>
  </w:abstractNum>
  <w:abstractNum w:abstractNumId="132">
    <w:nsid w:val="754342"/>
    <w:multiLevelType w:val="hybridMultilevel"/>
    <w:lvl w:ilvl="0">
      <w:lvlJc w:val="left"/>
      <w:lvlText w:val="%1."/>
      <w:numFmt w:val="decimal"/>
      <w:start w:val="7"/>
    </w:lvl>
  </w:abstractNum>
  <w:abstractNum w:abstractNumId="133">
    <w:nsid w:val="69E7F3E5"/>
    <w:multiLevelType w:val="hybridMultilevel"/>
    <w:lvl w:ilvl="0">
      <w:lvlJc w:val="left"/>
      <w:lvlText w:val="%1."/>
      <w:numFmt w:val="decimal"/>
      <w:start w:val="9"/>
    </w:lvl>
    <w:lvl w:ilvl="1">
      <w:lvlJc w:val="left"/>
      <w:lvlText w:val="(%2)"/>
      <w:numFmt w:val="lowerLetter"/>
      <w:start w:val="1"/>
    </w:lvl>
  </w:abstractNum>
  <w:abstractNum w:abstractNumId="134">
    <w:nsid w:val="2A6DE806"/>
    <w:multiLevelType w:val="hybridMultilevel"/>
    <w:lvl w:ilvl="0">
      <w:lvlJc w:val="left"/>
      <w:lvlText w:val="(%1)"/>
      <w:numFmt w:val="lowerLetter"/>
      <w:start w:val="5"/>
    </w:lvl>
  </w:abstractNum>
  <w:abstractNum w:abstractNumId="135">
    <w:nsid w:val="1816F8C4"/>
    <w:multiLevelType w:val="hybridMultilevel"/>
    <w:lvl w:ilvl="0">
      <w:lvlJc w:val="left"/>
      <w:lvlText w:val="(%1)"/>
      <w:numFmt w:val="lowerLetter"/>
      <w:start w:val="16"/>
    </w:lvl>
  </w:abstractNum>
  <w:abstractNum w:abstractNumId="136">
    <w:nsid w:val="37DF2233"/>
    <w:multiLevelType w:val="hybridMultilevel"/>
    <w:lvl w:ilvl="0">
      <w:lvlJc w:val="left"/>
      <w:lvlText w:val="%1."/>
      <w:numFmt w:val="decimal"/>
      <w:start w:val="1"/>
    </w:lvl>
  </w:abstractNum>
  <w:abstractNum w:abstractNumId="137">
    <w:nsid w:val="7AB49DAF"/>
    <w:multiLevelType w:val="hybridMultilevel"/>
    <w:lvl w:ilvl="0">
      <w:lvlJc w:val="left"/>
      <w:lvlText w:val="%1."/>
      <w:numFmt w:val="decimal"/>
      <w:start w:val="1"/>
    </w:lvl>
  </w:abstractNum>
  <w:abstractNum w:abstractNumId="138">
    <w:nsid w:val="759F82CD"/>
    <w:multiLevelType w:val="hybridMultilevel"/>
    <w:lvl w:ilvl="0">
      <w:lvlJc w:val="left"/>
      <w:lvlText w:val="%1."/>
      <w:numFmt w:val="decimal"/>
      <w:start w:val="2"/>
    </w:lvl>
    <w:lvl w:ilvl="1">
      <w:lvlJc w:val="left"/>
      <w:lvlText w:val="(%2)"/>
      <w:numFmt w:val="lowerLetter"/>
      <w:start w:val="1"/>
    </w:lvl>
  </w:abstractNum>
  <w:abstractNum w:abstractNumId="139">
    <w:nsid w:val="61E74EA3"/>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40">
    <w:nsid w:val="597B4D8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1">
    <w:nsid w:val="F819E7F"/>
    <w:multiLevelType w:val="hybridMultilevel"/>
    <w:lvl w:ilvl="0">
      <w:lvlJc w:val="left"/>
      <w:lvlText w:val="%1."/>
      <w:numFmt w:val="decimal"/>
      <w:start w:val="8"/>
    </w:lvl>
    <w:lvl w:ilvl="1">
      <w:lvlJc w:val="left"/>
      <w:lvlText w:val="(%2)"/>
      <w:numFmt w:val="lowerLetter"/>
      <w:start w:val="1"/>
    </w:lvl>
  </w:abstractNum>
  <w:abstractNum w:abstractNumId="142">
    <w:nsid w:val="57C7D42D"/>
    <w:multiLevelType w:val="hybridMultilevel"/>
    <w:lvl w:ilvl="0">
      <w:lvlJc w:val="left"/>
      <w:lvlText w:val="%1."/>
      <w:numFmt w:val="decimal"/>
      <w:start w:val="11"/>
    </w:lvl>
    <w:lvl w:ilvl="1">
      <w:lvlJc w:val="left"/>
      <w:lvlText w:val="(%2)"/>
      <w:numFmt w:val="lowerLetter"/>
      <w:start w:val="1"/>
    </w:lvl>
  </w:abstractNum>
  <w:abstractNum w:abstractNumId="143">
    <w:nsid w:val="312167AD"/>
    <w:multiLevelType w:val="hybridMultilevel"/>
    <w:lvl w:ilvl="0">
      <w:lvlJc w:val="left"/>
      <w:lvlText w:val="(%1)"/>
      <w:numFmt w:val="lowerLetter"/>
      <w:start w:val="13"/>
    </w:lvl>
  </w:abstractNum>
  <w:abstractNum w:abstractNumId="144">
    <w:nsid w:val="631B64D4"/>
    <w:multiLevelType w:val="hybridMultilevel"/>
    <w:lvl w:ilvl="0">
      <w:lvlJc w:val="left"/>
      <w:lvlText w:val="(%1)"/>
      <w:numFmt w:val="lowerLetter"/>
      <w:start w:val="16"/>
    </w:lvl>
  </w:abstractNum>
  <w:abstractNum w:abstractNumId="145">
    <w:nsid w:val="78B5E776"/>
    <w:multiLevelType w:val="hybridMultilevel"/>
    <w:lvl w:ilvl="0">
      <w:lvlJc w:val="left"/>
      <w:lvlText w:val="%1."/>
      <w:numFmt w:val="decimal"/>
      <w:start w:val="1"/>
    </w:lvl>
    <w:lvl w:ilvl="1">
      <w:lvlJc w:val="left"/>
      <w:lvlText w:val="%2)"/>
      <w:numFmt w:val="lowerLetter"/>
      <w:start w:val="1"/>
    </w:lvl>
  </w:abstractNum>
  <w:abstractNum w:abstractNumId="146">
    <w:nsid w:val="75486E47"/>
    <w:multiLevelType w:val="hybridMultilevel"/>
    <w:lvl w:ilvl="0">
      <w:lvlJc w:val="left"/>
      <w:lvlText w:val="%1."/>
      <w:numFmt w:val="decimal"/>
      <w:start w:val="1"/>
    </w:lvl>
    <w:lvl w:ilvl="1">
      <w:lvlJc w:val="left"/>
      <w:lvlText w:val="%2)"/>
      <w:numFmt w:val="lowerLetter"/>
      <w:start w:val="1"/>
    </w:lvl>
  </w:abstractNum>
  <w:abstractNum w:abstractNumId="147">
    <w:nsid w:val="6E534CDE"/>
    <w:multiLevelType w:val="hybridMultilevel"/>
    <w:lvl w:ilvl="0">
      <w:lvlJc w:val="left"/>
      <w:lvlText w:val="%1."/>
      <w:numFmt w:val="decimal"/>
      <w:start w:val="1"/>
    </w:lvl>
  </w:abstractNum>
  <w:abstractNum w:abstractNumId="148">
    <w:nsid w:val="1A0DDE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2019-12-05T03:11:44Z</dcterms:created>
  <dcterms:modified xsi:type="dcterms:W3CDTF">2019-12-05T03:11:44Z</dcterms:modified>
</cp:coreProperties>
</file>