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Arial" w:cs="Arial" w:eastAsia="Arial" w:hAnsi="Arial"/>
          <w:sz w:val="22"/>
          <w:szCs w:val="22"/>
          <w:b w:val="1"/>
          <w:bCs w:val="1"/>
          <w:color w:val="auto"/>
        </w:rPr>
        <w:t>_________________________________________________________________________</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10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18, 2021</w:t>
      </w:r>
    </w:p>
    <w:p>
      <w:pPr>
        <w:spacing w:after="0" w:line="27"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4"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ectPr>
          <w:pgSz w:w="11900" w:h="16838" w:orient="portrait"/>
          <w:cols w:equalWidth="0" w:num="1">
            <w:col w:w="11240"/>
          </w:cols>
          <w:pgMar w:left="320" w:top="1035" w:right="339" w:bottom="1440" w:gutter="0" w:footer="0" w:header="0"/>
        </w:sectPr>
      </w:pPr>
    </w:p>
    <w:p>
      <w:pPr>
        <w:spacing w:after="0" w:line="73" w:lineRule="exact"/>
        <w:rPr>
          <w:sz w:val="24"/>
          <w:szCs w:val="24"/>
          <w:color w:val="auto"/>
        </w:rPr>
      </w:pPr>
    </w:p>
    <w:p>
      <w:pPr>
        <w:ind w:left="1200"/>
        <w:spacing w:after="0"/>
        <w:rPr>
          <w:sz w:val="20"/>
          <w:szCs w:val="20"/>
          <w:color w:val="auto"/>
        </w:rPr>
      </w:pPr>
      <w:r>
        <w:rPr>
          <w:rFonts w:ascii="Arial" w:cs="Arial" w:eastAsia="Arial" w:hAnsi="Arial"/>
          <w:sz w:val="18"/>
          <w:szCs w:val="18"/>
          <w:b w:val="1"/>
          <w:bCs w:val="1"/>
          <w:color w:val="auto"/>
        </w:rPr>
        <w:t>Massachusetts</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w:t>
      </w:r>
    </w:p>
    <w:p>
      <w:pPr>
        <w:spacing w:after="0" w:line="7"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1-7819</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(Commission</w:t>
      </w:r>
    </w:p>
    <w:p>
      <w:pPr>
        <w:spacing w:after="0" w:line="7"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04-2348234</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22" w:lineRule="exact"/>
        <w:rPr>
          <w:sz w:val="24"/>
          <w:szCs w:val="24"/>
          <w:color w:val="auto"/>
        </w:rPr>
      </w:pPr>
    </w:p>
    <w:p>
      <w:pPr>
        <w:sectPr>
          <w:pgSz w:w="11900" w:h="16838" w:orient="portrait"/>
          <w:cols w:equalWidth="0" w:num="3">
            <w:col w:w="4400" w:space="720"/>
            <w:col w:w="2960" w:space="720"/>
            <w:col w:w="2440"/>
          </w:cols>
          <w:pgMar w:left="320" w:top="1035" w:right="339" w:bottom="1440" w:gutter="0" w:footer="0" w:header="0"/>
          <w:type w:val="continuous"/>
        </w:sectPr>
      </w:pPr>
    </w:p>
    <w:p>
      <w:pPr>
        <w:ind w:left="640"/>
        <w:spacing w:after="0"/>
        <w:rPr>
          <w:sz w:val="20"/>
          <w:szCs w:val="20"/>
          <w:color w:val="auto"/>
        </w:rPr>
      </w:pPr>
      <w:r>
        <w:rPr>
          <w:rFonts w:ascii="Arial" w:cs="Arial" w:eastAsia="Arial" w:hAnsi="Arial"/>
          <w:sz w:val="16"/>
          <w:szCs w:val="16"/>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Wilmington,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01887</w:t>
      </w:r>
    </w:p>
    <w:p>
      <w:pPr>
        <w:spacing w:after="0" w:line="50" w:lineRule="exact"/>
        <w:rPr>
          <w:sz w:val="24"/>
          <w:szCs w:val="24"/>
          <w:color w:val="auto"/>
        </w:rPr>
      </w:pPr>
    </w:p>
    <w:p>
      <w:pPr>
        <w:sectPr>
          <w:pgSz w:w="11900" w:h="16838" w:orient="portrait"/>
          <w:cols w:equalWidth="0" w:num="3">
            <w:col w:w="1940" w:space="340"/>
            <w:col w:w="4860" w:space="720"/>
            <w:col w:w="3380"/>
          </w:cols>
          <w:pgMar w:left="320" w:top="1035" w:right="339" w:bottom="1440" w:gutter="0" w:footer="0" w:header="0"/>
          <w:type w:val="continuous"/>
        </w:sect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22" w:lineRule="exact"/>
        <w:rPr>
          <w:sz w:val="24"/>
          <w:szCs w:val="24"/>
          <w:color w:val="auto"/>
        </w:rPr>
      </w:pPr>
    </w:p>
    <w:p>
      <w:pPr>
        <w:sectPr>
          <w:pgSz w:w="11900" w:h="16838" w:orient="portrait"/>
          <w:cols w:equalWidth="0" w:num="2">
            <w:col w:w="6980" w:space="720"/>
            <w:col w:w="3540"/>
          </w:cols>
          <w:pgMar w:left="320" w:top="1035" w:right="33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0" w:lineRule="exact"/>
        <w:rPr>
          <w:sz w:val="24"/>
          <w:szCs w:val="24"/>
          <w:color w:val="auto"/>
        </w:rPr>
      </w:pPr>
    </w:p>
    <w:p>
      <w:pPr>
        <w:ind w:left="1040"/>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______________________________________________________________________________________________________</w:t>
      </w:r>
    </w:p>
    <w:p>
      <w:pPr>
        <w:spacing w:after="0" w:line="268"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7"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8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87"/>
              </w:rPr>
              <w:t>Title of each class</w:t>
            </w:r>
          </w:p>
        </w:tc>
        <w:tc>
          <w:tcPr>
            <w:tcW w:w="2260" w:type="dxa"/>
            <w:vAlign w:val="bottom"/>
          </w:tcPr>
          <w:p>
            <w:pPr>
              <w:jc w:val="center"/>
              <w:ind w:right="430"/>
              <w:spacing w:after="0" w:line="202" w:lineRule="exact"/>
              <w:rPr>
                <w:sz w:val="20"/>
                <w:szCs w:val="20"/>
                <w:color w:val="auto"/>
              </w:rPr>
            </w:pPr>
            <w:r>
              <w:rPr>
                <w:rFonts w:ascii="Arial" w:cs="Arial" w:eastAsia="Arial" w:hAnsi="Arial"/>
                <w:sz w:val="18"/>
                <w:szCs w:val="18"/>
                <w:b w:val="1"/>
                <w:bCs w:val="1"/>
                <w:color w:val="auto"/>
                <w:w w:val="93"/>
              </w:rPr>
              <w:t>Trading</w:t>
            </w:r>
          </w:p>
        </w:tc>
        <w:tc>
          <w:tcPr>
            <w:tcW w:w="3100" w:type="dxa"/>
            <w:vAlign w:val="bottom"/>
          </w:tcPr>
          <w:p>
            <w:pPr>
              <w:jc w:val="center"/>
              <w:ind w:left="830"/>
              <w:spacing w:after="0" w:line="202" w:lineRule="exact"/>
              <w:rPr>
                <w:sz w:val="20"/>
                <w:szCs w:val="20"/>
                <w:color w:val="auto"/>
              </w:rPr>
            </w:pPr>
            <w:r>
              <w:rPr>
                <w:rFonts w:ascii="Arial" w:cs="Arial" w:eastAsia="Arial" w:hAnsi="Arial"/>
                <w:sz w:val="18"/>
                <w:szCs w:val="18"/>
                <w:b w:val="1"/>
                <w:bCs w:val="1"/>
                <w:color w:val="auto"/>
                <w:w w:val="86"/>
              </w:rPr>
              <w:t>Name of each exchange</w:t>
            </w:r>
          </w:p>
        </w:tc>
        <w:tc>
          <w:tcPr>
            <w:tcW w:w="0" w:type="dxa"/>
            <w:vAlign w:val="bottom"/>
          </w:tcPr>
          <w:p>
            <w:pPr>
              <w:spacing w:after="0"/>
              <w:rPr>
                <w:sz w:val="1"/>
                <w:szCs w:val="1"/>
                <w:color w:val="auto"/>
              </w:rPr>
            </w:pPr>
          </w:p>
        </w:tc>
      </w:tr>
      <w:tr>
        <w:trPr>
          <w:trHeight w:val="229"/>
        </w:trPr>
        <w:tc>
          <w:tcPr>
            <w:tcW w:w="4680" w:type="dxa"/>
            <w:vAlign w:val="bottom"/>
            <w:vMerge w:val="continue"/>
          </w:tcPr>
          <w:p>
            <w:pPr>
              <w:spacing w:after="0"/>
              <w:rPr>
                <w:sz w:val="19"/>
                <w:szCs w:val="19"/>
                <w:color w:val="auto"/>
              </w:rPr>
            </w:pPr>
          </w:p>
        </w:tc>
        <w:tc>
          <w:tcPr>
            <w:tcW w:w="226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Symbol(s)</w:t>
            </w:r>
          </w:p>
        </w:tc>
        <w:tc>
          <w:tcPr>
            <w:tcW w:w="3100" w:type="dxa"/>
            <w:vAlign w:val="bottom"/>
          </w:tcPr>
          <w:p>
            <w:pPr>
              <w:jc w:val="center"/>
              <w:ind w:left="870"/>
              <w:spacing w:after="0"/>
              <w:rPr>
                <w:sz w:val="20"/>
                <w:szCs w:val="20"/>
                <w:color w:val="auto"/>
              </w:rPr>
            </w:pPr>
            <w:r>
              <w:rPr>
                <w:rFonts w:ascii="Arial" w:cs="Arial" w:eastAsia="Arial" w:hAnsi="Arial"/>
                <w:sz w:val="18"/>
                <w:szCs w:val="18"/>
                <w:b w:val="1"/>
                <w:bCs w:val="1"/>
                <w:color w:val="auto"/>
                <w:w w:val="88"/>
              </w:rPr>
              <w:t>on which registered</w:t>
            </w:r>
          </w:p>
        </w:tc>
        <w:tc>
          <w:tcPr>
            <w:tcW w:w="0" w:type="dxa"/>
            <w:vAlign w:val="bottom"/>
          </w:tcPr>
          <w:p>
            <w:pPr>
              <w:spacing w:after="0"/>
              <w:rPr>
                <w:sz w:val="1"/>
                <w:szCs w:val="1"/>
                <w:color w:val="auto"/>
              </w:rPr>
            </w:pPr>
          </w:p>
        </w:tc>
      </w:tr>
      <w:tr>
        <w:trPr>
          <w:trHeight w:val="230"/>
        </w:trPr>
        <w:tc>
          <w:tcPr>
            <w:tcW w:w="4680" w:type="dxa"/>
            <w:vAlign w:val="bottom"/>
          </w:tcPr>
          <w:p>
            <w:pPr>
              <w:jc w:val="center"/>
              <w:ind w:right="250"/>
              <w:spacing w:after="0"/>
              <w:rPr>
                <w:sz w:val="20"/>
                <w:szCs w:val="20"/>
                <w:color w:val="auto"/>
              </w:rPr>
            </w:pPr>
            <w:r>
              <w:rPr>
                <w:rFonts w:ascii="Arial" w:cs="Arial" w:eastAsia="Arial" w:hAnsi="Arial"/>
                <w:sz w:val="18"/>
                <w:szCs w:val="18"/>
                <w:color w:val="auto"/>
                <w:w w:val="89"/>
              </w:rPr>
              <w:t>Common Stock $0.16 2/3 par value per share</w:t>
            </w:r>
          </w:p>
        </w:tc>
        <w:tc>
          <w:tcPr>
            <w:tcW w:w="2260" w:type="dxa"/>
            <w:vAlign w:val="bottom"/>
          </w:tcPr>
          <w:p>
            <w:pPr>
              <w:jc w:val="center"/>
              <w:ind w:right="370"/>
              <w:spacing w:after="0"/>
              <w:rPr>
                <w:sz w:val="20"/>
                <w:szCs w:val="20"/>
                <w:color w:val="auto"/>
              </w:rPr>
            </w:pPr>
            <w:r>
              <w:rPr>
                <w:rFonts w:ascii="Arial" w:cs="Arial" w:eastAsia="Arial" w:hAnsi="Arial"/>
                <w:sz w:val="18"/>
                <w:szCs w:val="18"/>
                <w:color w:val="auto"/>
              </w:rPr>
              <w:t>ADI</w:t>
            </w:r>
          </w:p>
        </w:tc>
        <w:tc>
          <w:tcPr>
            <w:tcW w:w="3100" w:type="dxa"/>
            <w:vAlign w:val="bottom"/>
          </w:tcPr>
          <w:p>
            <w:pPr>
              <w:jc w:val="center"/>
              <w:ind w:left="890"/>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310" w:lineRule="exact"/>
        <w:rPr>
          <w:sz w:val="24"/>
          <w:szCs w:val="24"/>
          <w:color w:val="auto"/>
        </w:rPr>
      </w:pPr>
    </w:p>
    <w:p>
      <w:pPr>
        <w:ind w:right="5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40"/>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267" w:lineRule="exact"/>
        <w:rPr>
          <w:sz w:val="24"/>
          <w:szCs w:val="24"/>
          <w:color w:val="auto"/>
        </w:rPr>
      </w:pPr>
    </w:p>
    <w:p>
      <w:pPr>
        <w:ind w:right="16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020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020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9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On August 18, 2021, Analog Devices, Inc. (the “Registrant”) announced its financial results for its fiscal third quarter ended July 31, 2021. The full text of the press release issued by the Registrant concerning the foregoing results is furnished herewith as Exhibit 99.1.</w:t>
      </w:r>
    </w:p>
    <w:p>
      <w:pPr>
        <w:spacing w:after="0" w:line="4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38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3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32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99.1</w:t>
            </w:r>
          </w:p>
        </w:tc>
        <w:tc>
          <w:tcPr>
            <w:tcW w:w="932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Press release </w:t>
              </w:r>
            </w:hyperlink>
            <w:r>
              <w:rPr>
                <w:rFonts w:ascii="Arial" w:cs="Arial" w:eastAsia="Arial" w:hAnsi="Arial"/>
                <w:sz w:val="18"/>
                <w:szCs w:val="18"/>
                <w:color w:val="000000"/>
              </w:rPr>
              <w:t>dated</w:t>
            </w:r>
            <w:r>
              <w:rPr>
                <w:rFonts w:ascii="Arial" w:cs="Arial" w:eastAsia="Arial" w:hAnsi="Arial"/>
                <w:sz w:val="18"/>
                <w:szCs w:val="18"/>
                <w:color w:val="0000FF"/>
              </w:rPr>
              <w:t xml:space="preserve"> </w:t>
            </w:r>
            <w:r>
              <w:rPr>
                <w:rFonts w:ascii="Arial" w:cs="Arial" w:eastAsia="Arial" w:hAnsi="Arial"/>
                <w:sz w:val="18"/>
                <w:szCs w:val="18"/>
                <w:color w:val="000000"/>
              </w:rPr>
              <w:t>August 18, 2021</w:t>
            </w:r>
          </w:p>
        </w:tc>
      </w:tr>
      <w:tr>
        <w:trPr>
          <w:trHeight w:val="20"/>
        </w:trPr>
        <w:tc>
          <w:tcPr>
            <w:tcW w:w="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60" w:type="dxa"/>
            <w:vAlign w:val="bottom"/>
            <w:gridSpan w:val="2"/>
          </w:tcPr>
          <w:p>
            <w:pPr>
              <w:jc w:val="center"/>
              <w:ind w:right="200"/>
              <w:spacing w:after="0" w:line="196" w:lineRule="exact"/>
              <w:rPr>
                <w:sz w:val="20"/>
                <w:szCs w:val="20"/>
                <w:color w:val="auto"/>
              </w:rPr>
            </w:pPr>
            <w:r>
              <w:rPr>
                <w:rFonts w:ascii="Arial" w:cs="Arial" w:eastAsia="Arial" w:hAnsi="Arial"/>
                <w:sz w:val="18"/>
                <w:szCs w:val="18"/>
                <w:color w:val="auto"/>
                <w:w w:val="95"/>
              </w:rPr>
              <w:t>101.INS</w:t>
            </w:r>
          </w:p>
        </w:tc>
        <w:tc>
          <w:tcPr>
            <w:tcW w:w="9320" w:type="dxa"/>
            <w:vAlign w:val="bottom"/>
            <w:gridSpan w:val="3"/>
          </w:tcPr>
          <w:p>
            <w:pPr>
              <w:spacing w:after="0" w:line="196" w:lineRule="exact"/>
              <w:rPr>
                <w:sz w:val="20"/>
                <w:szCs w:val="20"/>
                <w:color w:val="auto"/>
              </w:rPr>
            </w:pPr>
            <w:r>
              <w:rPr>
                <w:rFonts w:ascii="Arial" w:cs="Arial" w:eastAsia="Arial" w:hAnsi="Arial"/>
                <w:sz w:val="18"/>
                <w:szCs w:val="18"/>
                <w:color w:val="auto"/>
                <w:w w:val="90"/>
              </w:rPr>
              <w:t>The instance document does not appear in the Interactive Data File because its XBRL tags are embedded within the inline XBRL</w:t>
            </w: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document.**</w:t>
            </w:r>
          </w:p>
        </w:tc>
      </w:tr>
      <w:tr>
        <w:trPr>
          <w:trHeight w:val="229"/>
        </w:trPr>
        <w:tc>
          <w:tcPr>
            <w:tcW w:w="20" w:type="dxa"/>
            <w:vAlign w:val="bottom"/>
          </w:tcPr>
          <w:p>
            <w:pPr>
              <w:spacing w:after="0"/>
              <w:rPr>
                <w:sz w:val="19"/>
                <w:szCs w:val="19"/>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101.SCH</w:t>
            </w:r>
          </w:p>
        </w:tc>
        <w:tc>
          <w:tcPr>
            <w:tcW w:w="9320" w:type="dxa"/>
            <w:vAlign w:val="bottom"/>
            <w:gridSpan w:val="3"/>
          </w:tcPr>
          <w:p>
            <w:pPr>
              <w:spacing w:after="0"/>
              <w:rPr>
                <w:sz w:val="20"/>
                <w:szCs w:val="20"/>
                <w:color w:val="auto"/>
              </w:rPr>
            </w:pPr>
            <w:r>
              <w:rPr>
                <w:rFonts w:ascii="Arial" w:cs="Arial" w:eastAsia="Arial" w:hAnsi="Arial"/>
                <w:sz w:val="18"/>
                <w:szCs w:val="18"/>
                <w:color w:val="auto"/>
              </w:rPr>
              <w:t>Inline XBRL Schema Document.**</w:t>
            </w:r>
          </w:p>
        </w:tc>
      </w:tr>
      <w:tr>
        <w:trPr>
          <w:trHeight w:val="229"/>
        </w:trPr>
        <w:tc>
          <w:tcPr>
            <w:tcW w:w="20" w:type="dxa"/>
            <w:vAlign w:val="bottom"/>
          </w:tcPr>
          <w:p>
            <w:pPr>
              <w:spacing w:after="0"/>
              <w:rPr>
                <w:sz w:val="19"/>
                <w:szCs w:val="19"/>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101.CAL</w:t>
            </w:r>
          </w:p>
        </w:tc>
        <w:tc>
          <w:tcPr>
            <w:tcW w:w="9320" w:type="dxa"/>
            <w:vAlign w:val="bottom"/>
            <w:gridSpan w:val="3"/>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30"/>
        </w:trPr>
        <w:tc>
          <w:tcPr>
            <w:tcW w:w="20" w:type="dxa"/>
            <w:vAlign w:val="bottom"/>
          </w:tcPr>
          <w:p>
            <w:pPr>
              <w:spacing w:after="0"/>
              <w:rPr>
                <w:sz w:val="19"/>
                <w:szCs w:val="19"/>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101.LAB</w:t>
            </w:r>
          </w:p>
        </w:tc>
        <w:tc>
          <w:tcPr>
            <w:tcW w:w="9320" w:type="dxa"/>
            <w:vAlign w:val="bottom"/>
            <w:gridSpan w:val="3"/>
          </w:tcPr>
          <w:p>
            <w:pPr>
              <w:spacing w:after="0"/>
              <w:rPr>
                <w:sz w:val="20"/>
                <w:szCs w:val="20"/>
                <w:color w:val="auto"/>
              </w:rPr>
            </w:pPr>
            <w:r>
              <w:rPr>
                <w:rFonts w:ascii="Arial" w:cs="Arial" w:eastAsia="Arial" w:hAnsi="Arial"/>
                <w:sz w:val="18"/>
                <w:szCs w:val="18"/>
                <w:color w:val="auto"/>
              </w:rPr>
              <w:t>Inline XBRL Labels Linkbase Document.**</w:t>
            </w:r>
          </w:p>
        </w:tc>
      </w:tr>
      <w:tr>
        <w:trPr>
          <w:trHeight w:val="229"/>
        </w:trPr>
        <w:tc>
          <w:tcPr>
            <w:tcW w:w="20" w:type="dxa"/>
            <w:vAlign w:val="bottom"/>
          </w:tcPr>
          <w:p>
            <w:pPr>
              <w:spacing w:after="0"/>
              <w:rPr>
                <w:sz w:val="19"/>
                <w:szCs w:val="19"/>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101.PRE</w:t>
            </w:r>
          </w:p>
        </w:tc>
        <w:tc>
          <w:tcPr>
            <w:tcW w:w="9320" w:type="dxa"/>
            <w:vAlign w:val="bottom"/>
            <w:gridSpan w:val="3"/>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230"/>
        </w:trPr>
        <w:tc>
          <w:tcPr>
            <w:tcW w:w="2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101.DEF</w:t>
            </w:r>
          </w:p>
        </w:tc>
        <w:tc>
          <w:tcPr>
            <w:tcW w:w="9320" w:type="dxa"/>
            <w:vAlign w:val="bottom"/>
            <w:gridSpan w:val="3"/>
          </w:tcPr>
          <w:p>
            <w:pPr>
              <w:spacing w:after="0"/>
              <w:rPr>
                <w:sz w:val="20"/>
                <w:szCs w:val="20"/>
                <w:color w:val="auto"/>
              </w:rPr>
            </w:pPr>
            <w:r>
              <w:rPr>
                <w:rFonts w:ascii="Arial" w:cs="Arial" w:eastAsia="Arial" w:hAnsi="Arial"/>
                <w:sz w:val="18"/>
                <w:szCs w:val="18"/>
                <w:color w:val="auto"/>
              </w:rPr>
              <w:t>Inline XBRL Definition Linkbase Document.**</w:t>
            </w:r>
          </w:p>
        </w:tc>
      </w:tr>
    </w:tbl>
    <w:p>
      <w:pPr>
        <w:ind w:left="1880" w:right="520" w:hanging="1163"/>
        <w:spacing w:after="0" w:line="234" w:lineRule="auto"/>
        <w:tabs>
          <w:tab w:leader="none" w:pos="1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 w:lineRule="exact"/>
        <w:rPr>
          <w:sz w:val="20"/>
          <w:szCs w:val="20"/>
          <w:color w:val="auto"/>
        </w:rPr>
      </w:pPr>
    </w:p>
    <w:p>
      <w:pPr>
        <w:ind w:left="1880" w:hanging="1118"/>
        <w:spacing w:after="0"/>
        <w:tabs>
          <w:tab w:leader="none" w:pos="1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w:t>
      </w:r>
    </w:p>
    <w:p>
      <w:pPr>
        <w:spacing w:after="0" w:line="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340"/>
              <w:spacing w:after="0"/>
              <w:rPr>
                <w:sz w:val="20"/>
                <w:szCs w:val="20"/>
                <w:color w:val="auto"/>
              </w:rPr>
            </w:pPr>
            <w:r>
              <w:rPr>
                <w:rFonts w:ascii="Arial" w:cs="Arial" w:eastAsia="Arial" w:hAnsi="Arial"/>
                <w:sz w:val="18"/>
                <w:szCs w:val="18"/>
                <w:color w:val="auto"/>
              </w:rPr>
              <w:t>August 18, 2021</w:t>
            </w:r>
          </w:p>
        </w:tc>
        <w:tc>
          <w:tcPr>
            <w:tcW w:w="5220" w:type="dxa"/>
            <w:vAlign w:val="bottom"/>
            <w:gridSpan w:val="2"/>
          </w:tcPr>
          <w:p>
            <w:pPr>
              <w:ind w:left="1600"/>
              <w:spacing w:after="0"/>
              <w:rPr>
                <w:sz w:val="20"/>
                <w:szCs w:val="20"/>
                <w:color w:val="auto"/>
              </w:rPr>
            </w:pPr>
            <w:r>
              <w:rPr>
                <w:rFonts w:ascii="Arial" w:cs="Arial" w:eastAsia="Arial" w:hAnsi="Arial"/>
                <w:sz w:val="18"/>
                <w:szCs w:val="18"/>
                <w:color w:val="auto"/>
              </w:rPr>
              <w:t>ANALOG DEVICES, INC.</w:t>
            </w:r>
          </w:p>
        </w:tc>
      </w:tr>
      <w:tr>
        <w:trPr>
          <w:trHeight w:val="405"/>
        </w:trPr>
        <w:tc>
          <w:tcPr>
            <w:tcW w:w="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80" w:type="dxa"/>
            <w:vAlign w:val="bottom"/>
          </w:tcPr>
          <w:p>
            <w:pPr>
              <w:ind w:left="1600"/>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/s/ Prashanth Mahendra-Rajah</w:t>
            </w:r>
          </w:p>
        </w:tc>
      </w:tr>
      <w:tr>
        <w:trPr>
          <w:trHeight w:val="224"/>
        </w:trPr>
        <w:tc>
          <w:tcPr>
            <w:tcW w:w="7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40" w:type="dxa"/>
            <w:vAlign w:val="bottom"/>
          </w:tcPr>
          <w:p>
            <w:pPr>
              <w:ind w:left="660"/>
              <w:spacing w:after="0"/>
              <w:rPr>
                <w:sz w:val="20"/>
                <w:szCs w:val="20"/>
                <w:color w:val="auto"/>
              </w:rPr>
            </w:pPr>
            <w:r>
              <w:rPr>
                <w:rFonts w:ascii="Arial" w:cs="Arial" w:eastAsia="Arial" w:hAnsi="Arial"/>
                <w:sz w:val="18"/>
                <w:szCs w:val="18"/>
                <w:color w:val="auto"/>
              </w:rPr>
              <w:t>Prashanth Mahendra-Rajah</w:t>
            </w:r>
          </w:p>
        </w:tc>
      </w:tr>
    </w:tbl>
    <w:p>
      <w:pPr>
        <w:ind w:left="7200"/>
        <w:spacing w:after="0" w:line="220" w:lineRule="auto"/>
        <w:rPr>
          <w:sz w:val="20"/>
          <w:szCs w:val="20"/>
          <w:color w:val="auto"/>
        </w:rPr>
      </w:pPr>
      <w:r>
        <w:rPr>
          <w:rFonts w:ascii="Arial" w:cs="Arial" w:eastAsia="Arial" w:hAnsi="Arial"/>
          <w:sz w:val="18"/>
          <w:szCs w:val="18"/>
          <w:color w:val="auto"/>
        </w:rPr>
        <w:t>Senior Vice President, Finance and</w:t>
      </w:r>
    </w:p>
    <w:p>
      <w:pPr>
        <w:ind w:left="65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980"/>
          </w:cols>
          <w:pgMar w:left="320" w:top="989"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Analog Devices Reports Record Revenue and Earnings for the Third Quarter Fiscal 2021</w:t>
      </w:r>
    </w:p>
    <w:p>
      <w:pPr>
        <w:spacing w:after="0" w:line="25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Revenue of $1.76 billion, a new all-time high, with 21% year over year growth</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All end markets grew sequentially, underscored by record revenue in Industrial and Automotive</w:t>
      </w:r>
    </w:p>
    <w:p>
      <w:pPr>
        <w:spacing w:after="0" w:line="3" w:lineRule="exact"/>
        <w:rPr>
          <w:rFonts w:ascii="Arial" w:cs="Arial" w:eastAsia="Arial" w:hAnsi="Arial"/>
          <w:sz w:val="22"/>
          <w:szCs w:val="22"/>
          <w:color w:val="auto"/>
        </w:rPr>
      </w:pPr>
    </w:p>
    <w:p>
      <w:pPr>
        <w:ind w:left="660" w:right="440" w:hanging="328"/>
        <w:spacing w:after="0" w:line="243"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Operating cash flow of $2.5 billion and free cash flow of $2.2 billion, or 34% of revenue, on a trailing twelve months basis</w:t>
      </w:r>
    </w:p>
    <w:p>
      <w:pPr>
        <w:ind w:left="660" w:hanging="328"/>
        <w:spacing w:after="0"/>
        <w:tabs>
          <w:tab w:leader="none" w:pos="660" w:val="left"/>
        </w:tabs>
        <w:numPr>
          <w:ilvl w:val="0"/>
          <w:numId w:val="4"/>
        </w:numPr>
        <w:rPr>
          <w:rFonts w:ascii="Arial" w:cs="Arial" w:eastAsia="Arial" w:hAnsi="Arial"/>
          <w:sz w:val="21"/>
          <w:szCs w:val="21"/>
          <w:color w:val="auto"/>
        </w:rPr>
      </w:pPr>
      <w:r>
        <w:rPr>
          <w:rFonts w:ascii="Arial" w:cs="Arial" w:eastAsia="Arial" w:hAnsi="Arial"/>
          <w:sz w:val="21"/>
          <w:szCs w:val="21"/>
          <w:color w:val="auto"/>
        </w:rPr>
        <w:t>Returned more than $400 million to shareholders in the third quarter through dividends and share repurchases</w:t>
      </w:r>
    </w:p>
    <w:p>
      <w:pPr>
        <w:spacing w:after="0" w:line="15" w:lineRule="exact"/>
        <w:rPr>
          <w:rFonts w:ascii="Arial" w:cs="Arial" w:eastAsia="Arial" w:hAnsi="Arial"/>
          <w:sz w:val="21"/>
          <w:szCs w:val="21"/>
          <w:color w:val="auto"/>
        </w:rPr>
      </w:pPr>
    </w:p>
    <w:p>
      <w:pPr>
        <w:ind w:left="660" w:right="420" w:hanging="328"/>
        <w:spacing w:after="0" w:line="246"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Not included in the original third quarter outlook was $24 million of Automotive revenue and $0.05 of EPS, resulting from an IP licensing agreement</w:t>
      </w:r>
    </w:p>
    <w:p>
      <w:pPr>
        <w:spacing w:after="0" w:line="200" w:lineRule="exact"/>
        <w:rPr>
          <w:sz w:val="20"/>
          <w:szCs w:val="20"/>
          <w:color w:val="auto"/>
        </w:rPr>
      </w:pPr>
    </w:p>
    <w:p>
      <w:pPr>
        <w:jc w:val="both"/>
        <w:ind w:right="100"/>
        <w:spacing w:after="0" w:line="243" w:lineRule="auto"/>
        <w:rPr>
          <w:sz w:val="20"/>
          <w:szCs w:val="20"/>
          <w:color w:val="auto"/>
        </w:rPr>
      </w:pPr>
      <w:r>
        <w:rPr>
          <w:rFonts w:ascii="Arial" w:cs="Arial" w:eastAsia="Arial" w:hAnsi="Arial"/>
          <w:sz w:val="22"/>
          <w:szCs w:val="22"/>
          <w:b w:val="1"/>
          <w:bCs w:val="1"/>
          <w:color w:val="auto"/>
        </w:rPr>
        <w:t>WILMINGTON, Mass.--(BUSINESS WIRE)--August 18, 2021</w:t>
      </w:r>
      <w:r>
        <w:rPr>
          <w:rFonts w:ascii="Arial" w:cs="Arial" w:eastAsia="Arial" w:hAnsi="Arial"/>
          <w:sz w:val="22"/>
          <w:szCs w:val="22"/>
          <w:color w:val="auto"/>
        </w:rPr>
        <w:t>--Analog Devices, Inc. (Nasdaq: ADI), a leading global high-performance semiconductor company, today announced financial results for its third quarter of fiscal 2021, which ended July 31, 2021.</w:t>
      </w:r>
    </w:p>
    <w:p>
      <w:pPr>
        <w:spacing w:after="0" w:line="210" w:lineRule="exact"/>
        <w:rPr>
          <w:sz w:val="20"/>
          <w:szCs w:val="20"/>
          <w:color w:val="auto"/>
        </w:rPr>
      </w:pPr>
    </w:p>
    <w:p>
      <w:pPr>
        <w:ind w:right="180"/>
        <w:spacing w:after="0" w:line="272" w:lineRule="auto"/>
        <w:rPr>
          <w:sz w:val="20"/>
          <w:szCs w:val="20"/>
          <w:color w:val="auto"/>
        </w:rPr>
      </w:pPr>
      <w:r>
        <w:rPr>
          <w:rFonts w:ascii="Arial" w:cs="Arial" w:eastAsia="Arial" w:hAnsi="Arial"/>
          <w:sz w:val="19"/>
          <w:szCs w:val="19"/>
          <w:color w:val="auto"/>
        </w:rPr>
        <w:t>“ADI delivered record revenue and earnings for the second consecutive quarter with continued gross and operating margin expansion. All markets increased sequentially with our Industrial and Automotive segments once again achieving records,” said Vincent Roche, President and CEO. “Robust bookings across all end markets, combined with lean inventories and ongoing capacity additions will enable us to close this year on a high note and continue to grow into fiscal 2022.”</w:t>
      </w:r>
    </w:p>
    <w:p>
      <w:pPr>
        <w:spacing w:after="0" w:line="171" w:lineRule="exact"/>
        <w:rPr>
          <w:sz w:val="20"/>
          <w:szCs w:val="20"/>
          <w:color w:val="auto"/>
        </w:rPr>
      </w:pPr>
    </w:p>
    <w:p>
      <w:pPr>
        <w:ind w:right="100"/>
        <w:spacing w:after="0" w:line="226" w:lineRule="auto"/>
        <w:rPr>
          <w:sz w:val="20"/>
          <w:szCs w:val="20"/>
          <w:color w:val="auto"/>
        </w:rPr>
      </w:pPr>
      <w:r>
        <w:rPr>
          <w:rFonts w:ascii="Arial" w:cs="Arial" w:eastAsia="Arial" w:hAnsi="Arial"/>
          <w:sz w:val="22"/>
          <w:szCs w:val="22"/>
          <w:color w:val="auto"/>
        </w:rPr>
        <w:t>Roche continued, “The economic recovery continues to take shape with demand still far exceeding supply, underscoring the importance of semiconductors across all industries. We continue to execute soundly, and I have never been more confident about the future of ADI’s franchise as our solutions become more vital in the modern digital age. Our ethos of innovation, deep customer engagements, and alignment with favorable secular growth drivers position us to deliver strong returns in the years to come.”</w:t>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u w:val="single" w:color="auto"/>
          <w:color w:val="auto"/>
        </w:rPr>
        <w:t>Performance for the Third Quarter of Fiscal 2021</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auto"/>
        </w:rPr>
        <w:t>Results Summary</w:t>
      </w:r>
      <w:r>
        <w:rPr>
          <w:rFonts w:ascii="Arial" w:cs="Arial" w:eastAsia="Arial" w:hAnsi="Arial"/>
          <w:sz w:val="28"/>
          <w:szCs w:val="28"/>
          <w:b w:val="1"/>
          <w:bCs w:val="1"/>
          <w:color w:val="auto"/>
          <w:vertAlign w:val="superscript"/>
        </w:rPr>
        <w:t>(1)</w:t>
      </w:r>
    </w:p>
    <w:p>
      <w:pPr>
        <w:ind w:left="20"/>
        <w:spacing w:after="0"/>
        <w:rPr>
          <w:sz w:val="20"/>
          <w:szCs w:val="20"/>
          <w:color w:val="auto"/>
        </w:rPr>
      </w:pPr>
      <w:r>
        <w:rPr>
          <w:rFonts w:ascii="Arial" w:cs="Arial" w:eastAsia="Arial" w:hAnsi="Arial"/>
          <w:sz w:val="18"/>
          <w:szCs w:val="18"/>
          <w:i w:val="1"/>
          <w:iCs w:val="1"/>
          <w:color w:val="auto"/>
        </w:rPr>
        <w:t>(in millions, except per-share amounts and percentages)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1980" w:type="dxa"/>
            <w:vAlign w:val="bottom"/>
            <w:tcBorders>
              <w:top w:val="single" w:sz="8" w:color="auto"/>
              <w:bottom w:val="single" w:sz="8" w:color="auto"/>
            </w:tcBorders>
          </w:tcPr>
          <w:p>
            <w:pPr>
              <w:spacing w:after="0"/>
              <w:rPr>
                <w:sz w:val="21"/>
                <w:szCs w:val="21"/>
                <w:color w:val="auto"/>
              </w:rPr>
            </w:pPr>
          </w:p>
        </w:tc>
      </w:tr>
      <w:tr>
        <w:trPr>
          <w:trHeight w:val="223"/>
        </w:trPr>
        <w:tc>
          <w:tcPr>
            <w:tcW w:w="5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b w:val="1"/>
                <w:bCs w:val="1"/>
                <w:color w:val="auto"/>
              </w:rPr>
              <w:t>Jul. 31, 2021</w:t>
            </w:r>
          </w:p>
        </w:tc>
        <w:tc>
          <w:tcPr>
            <w:tcW w:w="140" w:type="dxa"/>
            <w:vAlign w:val="bottom"/>
          </w:tcPr>
          <w:p>
            <w:pPr>
              <w:spacing w:after="0"/>
              <w:rPr>
                <w:sz w:val="19"/>
                <w:szCs w:val="19"/>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Aug. 1, 2020</w:t>
            </w:r>
          </w:p>
        </w:tc>
        <w:tc>
          <w:tcPr>
            <w:tcW w:w="1980" w:type="dxa"/>
            <w:vAlign w:val="bottom"/>
          </w:tcPr>
          <w:p>
            <w:pPr>
              <w:jc w:val="right"/>
              <w:ind w:right="6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1,456</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percentage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 bps</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 bps</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56"/>
        </w:trPr>
        <w:tc>
          <w:tcPr>
            <w:tcW w:w="5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r>
    </w:tbl>
    <w:p>
      <w:pPr>
        <w:ind w:left="20"/>
        <w:spacing w:after="0"/>
        <w:rPr>
          <w:sz w:val="20"/>
          <w:szCs w:val="20"/>
          <w:color w:val="auto"/>
        </w:rPr>
      </w:pPr>
      <w:r>
        <w:rPr>
          <w:rFonts w:ascii="Arial" w:cs="Arial" w:eastAsia="Arial" w:hAnsi="Arial"/>
          <w:sz w:val="22"/>
          <w:szCs w:val="22"/>
          <w:b w:val="1"/>
          <w:bCs w:val="1"/>
          <w:color w:val="auto"/>
        </w:rPr>
        <w:t>Adjusted Results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1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1,259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Adjusted gross margin percentage</w:t>
            </w:r>
          </w:p>
        </w:tc>
        <w:tc>
          <w:tcPr>
            <w:tcW w:w="18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71.6 %</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Adjusted operating margin</w:t>
            </w:r>
          </w:p>
        </w:tc>
        <w:tc>
          <w:tcPr>
            <w:tcW w:w="18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43.6 %</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42.3 %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130 bps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diluted earnings per share</w:t>
            </w:r>
          </w:p>
        </w:tc>
        <w:tc>
          <w:tcPr>
            <w:tcW w:w="1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gridSpan w:val="2"/>
          </w:tcPr>
          <w:p>
            <w:pPr>
              <w:spacing w:after="0"/>
              <w:rPr>
                <w:sz w:val="23"/>
                <w:szCs w:val="23"/>
                <w:color w:val="auto"/>
              </w:rPr>
            </w:pPr>
          </w:p>
        </w:tc>
        <w:tc>
          <w:tcPr>
            <w:tcW w:w="19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Cash Generation</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Trailing Twelve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3"/>
            <w:vMerge w:val="continue"/>
          </w:tcPr>
          <w:p>
            <w:pPr>
              <w:spacing w:after="0"/>
              <w:rPr>
                <w:sz w:val="17"/>
                <w:szCs w:val="17"/>
                <w:color w:val="auto"/>
              </w:rPr>
            </w:pPr>
          </w:p>
        </w:tc>
        <w:tc>
          <w:tcPr>
            <w:tcW w:w="1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240"/>
              <w:spacing w:after="0" w:line="182" w:lineRule="exact"/>
              <w:rPr>
                <w:sz w:val="20"/>
                <w:szCs w:val="20"/>
                <w:color w:val="auto"/>
              </w:rPr>
            </w:pPr>
            <w:r>
              <w:rPr>
                <w:rFonts w:ascii="Arial" w:cs="Arial" w:eastAsia="Arial" w:hAnsi="Arial"/>
                <w:sz w:val="18"/>
                <w:szCs w:val="18"/>
                <w:b w:val="1"/>
                <w:bCs w:val="1"/>
                <w:color w:val="auto"/>
                <w:w w:val="90"/>
              </w:rPr>
              <w:t>Jul. 31, 2021</w:t>
            </w:r>
          </w:p>
        </w:tc>
        <w:tc>
          <w:tcPr>
            <w:tcW w:w="320" w:type="dxa"/>
            <w:vAlign w:val="bottom"/>
          </w:tcPr>
          <w:p>
            <w:pPr>
              <w:spacing w:after="0"/>
              <w:rPr>
                <w:sz w:val="17"/>
                <w:szCs w:val="17"/>
                <w:color w:val="auto"/>
              </w:rPr>
            </w:pPr>
          </w:p>
        </w:tc>
        <w:tc>
          <w:tcPr>
            <w:tcW w:w="1660" w:type="dxa"/>
            <w:vAlign w:val="bottom"/>
          </w:tcPr>
          <w:p>
            <w:pPr>
              <w:jc w:val="center"/>
              <w:ind w:right="210"/>
              <w:spacing w:after="0" w:line="182" w:lineRule="exact"/>
              <w:rPr>
                <w:sz w:val="20"/>
                <w:szCs w:val="20"/>
                <w:color w:val="auto"/>
              </w:rPr>
            </w:pPr>
            <w:r>
              <w:rPr>
                <w:rFonts w:ascii="Arial" w:cs="Arial" w:eastAsia="Arial" w:hAnsi="Arial"/>
                <w:sz w:val="18"/>
                <w:szCs w:val="18"/>
                <w:b w:val="1"/>
                <w:bCs w:val="1"/>
                <w:color w:val="auto"/>
                <w:w w:val="90"/>
              </w:rPr>
              <w:t>Jul. 31, 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 of revenue</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Free cash flow</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of revenue</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gridSpan w:val="2"/>
          </w:tcPr>
          <w:p>
            <w:pPr>
              <w:spacing w:after="0"/>
              <w:rPr>
                <w:sz w:val="22"/>
                <w:szCs w:val="22"/>
                <w:color w:val="auto"/>
              </w:rPr>
            </w:pPr>
          </w:p>
        </w:tc>
        <w:tc>
          <w:tcPr>
            <w:tcW w:w="19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Cash Return</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Trailing Twelve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3"/>
            <w:vMerge w:val="continue"/>
          </w:tcPr>
          <w:p>
            <w:pPr>
              <w:spacing w:after="0"/>
              <w:rPr>
                <w:sz w:val="17"/>
                <w:szCs w:val="17"/>
                <w:color w:val="auto"/>
              </w:rPr>
            </w:pPr>
          </w:p>
        </w:tc>
        <w:tc>
          <w:tcPr>
            <w:tcW w:w="1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240"/>
              <w:spacing w:after="0" w:line="182" w:lineRule="exact"/>
              <w:rPr>
                <w:sz w:val="20"/>
                <w:szCs w:val="20"/>
                <w:color w:val="auto"/>
              </w:rPr>
            </w:pPr>
            <w:r>
              <w:rPr>
                <w:rFonts w:ascii="Arial" w:cs="Arial" w:eastAsia="Arial" w:hAnsi="Arial"/>
                <w:sz w:val="18"/>
                <w:szCs w:val="18"/>
                <w:b w:val="1"/>
                <w:bCs w:val="1"/>
                <w:color w:val="auto"/>
                <w:w w:val="90"/>
              </w:rPr>
              <w:t>Jul. 31, 2021</w:t>
            </w:r>
          </w:p>
        </w:tc>
        <w:tc>
          <w:tcPr>
            <w:tcW w:w="320" w:type="dxa"/>
            <w:vAlign w:val="bottom"/>
          </w:tcPr>
          <w:p>
            <w:pPr>
              <w:spacing w:after="0"/>
              <w:rPr>
                <w:sz w:val="17"/>
                <w:szCs w:val="17"/>
                <w:color w:val="auto"/>
              </w:rPr>
            </w:pPr>
          </w:p>
        </w:tc>
        <w:tc>
          <w:tcPr>
            <w:tcW w:w="1660" w:type="dxa"/>
            <w:vAlign w:val="bottom"/>
          </w:tcPr>
          <w:p>
            <w:pPr>
              <w:jc w:val="center"/>
              <w:ind w:right="210"/>
              <w:spacing w:after="0" w:line="182" w:lineRule="exact"/>
              <w:rPr>
                <w:sz w:val="20"/>
                <w:szCs w:val="20"/>
                <w:color w:val="auto"/>
              </w:rPr>
            </w:pPr>
            <w:r>
              <w:rPr>
                <w:rFonts w:ascii="Arial" w:cs="Arial" w:eastAsia="Arial" w:hAnsi="Arial"/>
                <w:sz w:val="18"/>
                <w:szCs w:val="18"/>
                <w:b w:val="1"/>
                <w:bCs w:val="1"/>
                <w:color w:val="auto"/>
                <w:w w:val="90"/>
              </w:rPr>
              <w:t>Jul. 31, 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paid</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Stock repurchases</w:t>
            </w:r>
          </w:p>
        </w:tc>
        <w:tc>
          <w:tcPr>
            <w:tcW w:w="18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cash returned</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The sum and/or computation of the individual amounts may not equal the total due to rounding.</w:t>
      </w:r>
    </w:p>
    <w:p>
      <w:pPr>
        <w:sectPr>
          <w:pgSz w:w="11900" w:h="16838" w:orient="portrait"/>
          <w:cols w:equalWidth="0" w:num="1">
            <w:col w:w="11240"/>
          </w:cols>
          <w:pgMar w:left="320" w:top="895"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Outlook for the Fourth Quarter of Fiscal Year 2021</w:t>
      </w:r>
    </w:p>
    <w:p>
      <w:pPr>
        <w:spacing w:after="0" w:line="25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For the fourth quarter of fiscal 2021, we are forecasting revenue of $1.78 billion, +/- $70 million. At the midpoint of this revenue outlook, we expect reported operating margin of approximately 34.2%, +/-140 bps, and adjusted operating margin of approximately 43.7%, +/-100 bps. We are planning for reported EPS to be $1.33, +/-$0.11, and adjusted EPS to be $1.72, +/-$0.11.</w:t>
      </w:r>
    </w:p>
    <w:p>
      <w:pPr>
        <w:spacing w:after="0" w:line="215"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Our fourth quarter fiscal 2021 outlook is based on current expectations and actual results may differ materially, as a result of, among other things, the important factors discussed at the end of this release. These statements supersede all prior statements regarding our business outlook set forth in prior ADI news releases, and ADI disclaims any obligation to update these forward-looking statements.</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adjusted results and adjusted anticipated results above are financial measures presented on a non-GAAP basis. Reconciliations of these non-GAAP financial measures to their most directly comparable GAAP financial measures are provided in the financial tables included in this press release. See also “Non-GAAP Financial Information” section for additional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Dividend Payment</w:t>
      </w:r>
    </w:p>
    <w:p>
      <w:pPr>
        <w:spacing w:after="0" w:line="253" w:lineRule="exact"/>
        <w:rPr>
          <w:sz w:val="20"/>
          <w:szCs w:val="20"/>
          <w:color w:val="auto"/>
        </w:rPr>
      </w:pPr>
    </w:p>
    <w:p>
      <w:pPr>
        <w:ind w:right="680"/>
        <w:spacing w:after="0" w:line="343" w:lineRule="auto"/>
        <w:rPr>
          <w:sz w:val="20"/>
          <w:szCs w:val="20"/>
          <w:color w:val="auto"/>
        </w:rPr>
      </w:pPr>
      <w:r>
        <w:rPr>
          <w:rFonts w:ascii="Arial" w:cs="Arial" w:eastAsia="Arial" w:hAnsi="Arial"/>
          <w:sz w:val="19"/>
          <w:szCs w:val="19"/>
          <w:color w:val="auto"/>
        </w:rPr>
        <w:t>The ADI Board of Directors has declared a quarterly cash dividend of $0.69 per outstanding share of common stock. The dividend will be paid on September 8, 2021 to all shareholders of record at the close of business on August 27, 2021.</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Scheduled for Today, Wednesday, August 18, 2021 at 10:00 am ET</w:t>
      </w:r>
    </w:p>
    <w:p>
      <w:pPr>
        <w:spacing w:after="0" w:line="253" w:lineRule="exact"/>
        <w:rPr>
          <w:sz w:val="20"/>
          <w:szCs w:val="20"/>
          <w:color w:val="auto"/>
        </w:rPr>
      </w:pPr>
    </w:p>
    <w:p>
      <w:pPr>
        <w:jc w:val="both"/>
        <w:ind w:right="60"/>
        <w:spacing w:after="0" w:line="271" w:lineRule="auto"/>
        <w:rPr>
          <w:sz w:val="20"/>
          <w:szCs w:val="20"/>
          <w:color w:val="auto"/>
        </w:rPr>
      </w:pPr>
      <w:r>
        <w:rPr>
          <w:rFonts w:ascii="Arial" w:cs="Arial" w:eastAsia="Arial" w:hAnsi="Arial"/>
          <w:sz w:val="21"/>
          <w:szCs w:val="21"/>
          <w:color w:val="auto"/>
        </w:rPr>
        <w:t>ADI will host a conference call to discuss our third quarter fiscal 2021 results and short-term outlook today, beginning at 10:00 am ET. Investors may join via webcast, accessible at investor.analog.com, or by telephone by calling 833-423-0297, ten minutes before the call begins. International participants may provide the passcode 8334230297.</w:t>
      </w:r>
    </w:p>
    <w:p>
      <w:pPr>
        <w:spacing w:after="0" w:line="194" w:lineRule="exact"/>
        <w:rPr>
          <w:sz w:val="20"/>
          <w:szCs w:val="20"/>
          <w:color w:val="auto"/>
        </w:rPr>
      </w:pPr>
    </w:p>
    <w:p>
      <w:pPr>
        <w:jc w:val="both"/>
        <w:ind w:right="80"/>
        <w:spacing w:after="0" w:line="287" w:lineRule="auto"/>
        <w:rPr>
          <w:sz w:val="20"/>
          <w:szCs w:val="20"/>
          <w:color w:val="auto"/>
        </w:rPr>
      </w:pPr>
      <w:r>
        <w:rPr>
          <w:rFonts w:ascii="Arial" w:cs="Arial" w:eastAsia="Arial" w:hAnsi="Arial"/>
          <w:sz w:val="21"/>
          <w:szCs w:val="21"/>
          <w:color w:val="auto"/>
        </w:rPr>
        <w:t>A replay will be available two hours after the completion of the call. The replay may be accessed for up to two weeks by dialing 855-859-2056 (replay only) and providing the conference ID: 1767395, or by visiting investor.analog.com.</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Non-GAAP Financial Information</w:t>
      </w:r>
    </w:p>
    <w:p>
      <w:pPr>
        <w:spacing w:after="0" w:line="253"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This release includes non-GAAP financial measures that are not in accordance with, nor an alternative to, generally accepted accounting principles (GAAP) and may be different from non-GAAP measures presented by other companies. In addition, these non-GAAP measures are not based on any comprehensive set of accounting rules or principles. These non-GAAP measures have material limitations in that they do not reflect all of the amounts associated with the Company’s results of operations as determined in accordance with GAAP and should not be considered in isolation from, or as a substitute for, the Company’s financial results presented in accordance with GAAP. The Company’s use of non-GAAP measures, and the underlying methodology when including or excluding certain items, is not necessarily an indication of the results of operations that may be expected in the future, or that the Company will not, in fact, record such items in future periods. You are cautioned not to place undue reliance on these non-GAAP measures. Reconciliations of these non-GAAP measures to the most directly comparable financial measures calculated and presented in accordance with GAAP are provided in the financial tables included in this release.</w:t>
      </w:r>
    </w:p>
    <w:p>
      <w:pPr>
        <w:sectPr>
          <w:pgSz w:w="11900" w:h="16838" w:orient="portrait"/>
          <w:cols w:equalWidth="0" w:num="1">
            <w:col w:w="11160"/>
          </w:cols>
          <w:pgMar w:left="320" w:top="895" w:right="419" w:bottom="1440" w:gutter="0" w:footer="0" w:header="0"/>
        </w:sectPr>
      </w:pPr>
    </w:p>
    <w:bookmarkStart w:id="6" w:name="page7"/>
    <w:bookmarkEnd w:id="6"/>
    <w:p>
      <w:pPr>
        <w:spacing w:after="0" w:line="258" w:lineRule="auto"/>
        <w:rPr>
          <w:sz w:val="20"/>
          <w:szCs w:val="20"/>
          <w:color w:val="auto"/>
        </w:rPr>
      </w:pPr>
      <w:r>
        <w:rPr>
          <w:rFonts w:ascii="Arial" w:cs="Arial" w:eastAsia="Arial" w:hAnsi="Arial"/>
          <w:sz w:val="21"/>
          <w:szCs w:val="21"/>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the primary performance measurement when communicating with analysts and investors regarding the Company’s earnings results and outlook and believes that the presentation of these non-GAAP measures is useful to investors because it provides investors with the operating results that management uses to manage the Company and enables investors and analysts to evaluate the Company’s core business. Management also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5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non-GAAP financial measures referenced by ADI in this release include: adjusted gross margin, adjusted gross margin percentage, adjusted operating expenses, adjusted operating expenses percentage, adjusted operating income, adjusted operating margin, adjusted income before income taxes, adjusted provision for income taxes, adjusted tax rate, adjusted diluted earnings per share (EPS), free cash flow, and free cash flow margin percentage.</w:t>
      </w:r>
    </w:p>
    <w:p>
      <w:pPr>
        <w:spacing w:after="0" w:line="66" w:lineRule="exact"/>
        <w:rPr>
          <w:sz w:val="20"/>
          <w:szCs w:val="20"/>
          <w:color w:val="auto"/>
        </w:rPr>
      </w:pPr>
    </w:p>
    <w:p>
      <w:pPr>
        <w:ind w:right="320"/>
        <w:spacing w:after="0" w:line="228" w:lineRule="auto"/>
        <w:rPr>
          <w:sz w:val="20"/>
          <w:szCs w:val="20"/>
          <w:color w:val="auto"/>
        </w:rPr>
      </w:pPr>
      <w:r>
        <w:rPr>
          <w:rFonts w:ascii="Arial" w:cs="Arial" w:eastAsia="Arial" w:hAnsi="Arial"/>
          <w:sz w:val="22"/>
          <w:szCs w:val="22"/>
          <w:color w:val="auto"/>
        </w:rPr>
        <w:t xml:space="preserve">Adjusted gross margin is defined as gross margin, determined in accordance with GAAP, excluding certain </w:t>
      </w:r>
      <w:r>
        <w:rPr>
          <w:rFonts w:ascii="Arial" w:cs="Arial" w:eastAsia="Arial" w:hAnsi="Arial"/>
          <w:sz w:val="22"/>
          <w:szCs w:val="22"/>
          <w:i w:val="1"/>
          <w:iCs w:val="1"/>
          <w:color w:val="auto"/>
        </w:rPr>
        <w:t>acquisition related</w:t>
      </w:r>
      <w:r>
        <w:rPr>
          <w:rFonts w:ascii="Arial" w:cs="Arial" w:eastAsia="Arial" w:hAnsi="Arial"/>
          <w:sz w:val="22"/>
          <w:szCs w:val="22"/>
          <w:color w:val="auto"/>
        </w:rPr>
        <w:t xml:space="preserve"> </w:t>
      </w:r>
      <w:r>
        <w:rPr>
          <w:rFonts w:ascii="Arial" w:cs="Arial" w:eastAsia="Arial" w:hAnsi="Arial"/>
          <w:sz w:val="22"/>
          <w:szCs w:val="22"/>
          <w:i w:val="1"/>
          <w:iCs w:val="1"/>
          <w:color w:val="auto"/>
        </w:rPr>
        <w:t>expenses</w:t>
      </w:r>
      <w:r>
        <w:rPr>
          <w:rFonts w:ascii="Arial" w:cs="Arial" w:eastAsia="Arial" w:hAnsi="Arial"/>
          <w:sz w:val="28"/>
          <w:szCs w:val="28"/>
          <w:color w:val="auto"/>
          <w:vertAlign w:val="superscript"/>
        </w:rPr>
        <w:t>1</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w:t>
      </w:r>
      <w:r>
        <w:rPr>
          <w:rFonts w:ascii="Arial" w:cs="Arial" w:eastAsia="Arial" w:hAnsi="Arial"/>
          <w:sz w:val="22"/>
          <w:szCs w:val="22"/>
          <w:i w:val="1"/>
          <w:iCs w:val="1"/>
          <w:color w:val="auto"/>
        </w:rPr>
        <w:t xml:space="preserve">. </w:t>
      </w:r>
      <w:r>
        <w:rPr>
          <w:rFonts w:ascii="Arial" w:cs="Arial" w:eastAsia="Arial" w:hAnsi="Arial"/>
          <w:sz w:val="22"/>
          <w:szCs w:val="22"/>
          <w:color w:val="auto"/>
        </w:rPr>
        <w:t>Adjusted gross margin percentage represents adjusted gross margin divided by</w:t>
      </w:r>
      <w:r>
        <w:rPr>
          <w:rFonts w:ascii="Arial" w:cs="Arial" w:eastAsia="Arial" w:hAnsi="Arial"/>
          <w:sz w:val="22"/>
          <w:szCs w:val="22"/>
          <w:i w:val="1"/>
          <w:iCs w:val="1"/>
          <w:color w:val="auto"/>
        </w:rPr>
        <w:t xml:space="preserve"> </w:t>
      </w:r>
      <w:r>
        <w:rPr>
          <w:rFonts w:ascii="Arial" w:cs="Arial" w:eastAsia="Arial" w:hAnsi="Arial"/>
          <w:sz w:val="22"/>
          <w:szCs w:val="22"/>
          <w:color w:val="auto"/>
        </w:rPr>
        <w:t>revenue.</w:t>
      </w:r>
    </w:p>
    <w:p>
      <w:pPr>
        <w:spacing w:after="0" w:line="77" w:lineRule="exact"/>
        <w:rPr>
          <w:sz w:val="20"/>
          <w:szCs w:val="20"/>
          <w:color w:val="auto"/>
        </w:rPr>
      </w:pPr>
    </w:p>
    <w:p>
      <w:pPr>
        <w:jc w:val="both"/>
        <w:ind w:right="840"/>
        <w:spacing w:after="0" w:line="217" w:lineRule="auto"/>
        <w:rPr>
          <w:sz w:val="20"/>
          <w:szCs w:val="20"/>
          <w:color w:val="auto"/>
        </w:rPr>
      </w:pPr>
      <w:r>
        <w:rPr>
          <w:rFonts w:ascii="Arial" w:cs="Arial" w:eastAsia="Arial" w:hAnsi="Arial"/>
          <w:sz w:val="22"/>
          <w:szCs w:val="22"/>
          <w:color w:val="auto"/>
        </w:rPr>
        <w:t xml:space="preserve">Adjusted operating expenses is defined as operating expenses, determined in accordance with GAAP, excluding: certain </w:t>
      </w:r>
      <w:r>
        <w:rPr>
          <w:rFonts w:ascii="Arial" w:cs="Arial" w:eastAsia="Arial" w:hAnsi="Arial"/>
          <w:sz w:val="22"/>
          <w:szCs w:val="22"/>
          <w:i w:val="1"/>
          <w:iCs w:val="1"/>
          <w:color w:val="auto"/>
        </w:rPr>
        <w:t>acquisition related expenses</w:t>
      </w:r>
      <w:r>
        <w:rPr>
          <w:rFonts w:ascii="Arial" w:cs="Arial" w:eastAsia="Arial" w:hAnsi="Arial"/>
          <w:sz w:val="28"/>
          <w:szCs w:val="28"/>
          <w:i w:val="1"/>
          <w:iCs w:val="1"/>
          <w:color w:val="auto"/>
          <w:vertAlign w:val="superscript"/>
        </w:rPr>
        <w:t>1</w:t>
      </w:r>
      <w:r>
        <w:rPr>
          <w:rFonts w:ascii="Arial" w:cs="Arial" w:eastAsia="Arial" w:hAnsi="Arial"/>
          <w:sz w:val="22"/>
          <w:szCs w:val="22"/>
          <w:color w:val="auto"/>
        </w:rPr>
        <w:t>;</w:t>
      </w:r>
      <w:r>
        <w:rPr>
          <w:rFonts w:ascii="Arial" w:cs="Arial" w:eastAsia="Arial" w:hAnsi="Arial"/>
          <w:sz w:val="22"/>
          <w:szCs w:val="22"/>
          <w:i w:val="1"/>
          <w:iCs w:val="1"/>
          <w:color w:val="auto"/>
        </w:rPr>
        <w:t xml:space="preserve"> acquisition related transaction costs</w:t>
      </w:r>
      <w:r>
        <w:rPr>
          <w:rFonts w:ascii="Arial" w:cs="Arial" w:eastAsia="Arial" w:hAnsi="Arial"/>
          <w:sz w:val="28"/>
          <w:szCs w:val="28"/>
          <w:i w:val="1"/>
          <w:iCs w:val="1"/>
          <w:color w:val="auto"/>
          <w:vertAlign w:val="superscript"/>
        </w:rPr>
        <w:t>2</w:t>
      </w:r>
      <w:r>
        <w:rPr>
          <w:rFonts w:ascii="Arial" w:cs="Arial" w:eastAsia="Arial" w:hAnsi="Arial"/>
          <w:sz w:val="22"/>
          <w:szCs w:val="22"/>
          <w:color w:val="auto"/>
        </w:rPr>
        <w:t>;</w:t>
      </w:r>
      <w:r>
        <w:rPr>
          <w:rFonts w:ascii="Arial" w:cs="Arial" w:eastAsia="Arial" w:hAnsi="Arial"/>
          <w:sz w:val="22"/>
          <w:szCs w:val="22"/>
          <w:i w:val="1"/>
          <w:iCs w:val="1"/>
          <w:color w:val="auto"/>
        </w:rPr>
        <w:t xml:space="preserve"> restructuring related expense, net</w:t>
      </w:r>
      <w:r>
        <w:rPr>
          <w:rFonts w:ascii="Arial" w:cs="Arial" w:eastAsia="Arial" w:hAnsi="Arial"/>
          <w:sz w:val="28"/>
          <w:szCs w:val="28"/>
          <w:i w:val="1"/>
          <w:iCs w:val="1"/>
          <w:color w:val="auto"/>
          <w:vertAlign w:val="superscript"/>
        </w:rPr>
        <w:t>3</w:t>
      </w:r>
      <w:r>
        <w:rPr>
          <w:rFonts w:ascii="Arial" w:cs="Arial" w:eastAsia="Arial" w:hAnsi="Arial"/>
          <w:sz w:val="22"/>
          <w:szCs w:val="22"/>
          <w:color w:val="auto"/>
        </w:rPr>
        <w:t>; and</w:t>
      </w:r>
      <w:r>
        <w:rPr>
          <w:rFonts w:ascii="Arial" w:cs="Arial" w:eastAsia="Arial" w:hAnsi="Arial"/>
          <w:sz w:val="22"/>
          <w:szCs w:val="22"/>
          <w:i w:val="1"/>
          <w:iCs w:val="1"/>
          <w:color w:val="auto"/>
        </w:rPr>
        <w:t xml:space="preserve"> charitable foundation contribution</w:t>
      </w:r>
      <w:r>
        <w:rPr>
          <w:rFonts w:ascii="Arial" w:cs="Arial" w:eastAsia="Arial" w:hAnsi="Arial"/>
          <w:sz w:val="28"/>
          <w:szCs w:val="28"/>
          <w:i w:val="1"/>
          <w:iCs w:val="1"/>
          <w:color w:val="auto"/>
          <w:vertAlign w:val="superscript"/>
        </w:rPr>
        <w:t>4</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 Adjusted operating expenses percentage represents adjusted</w:t>
      </w:r>
      <w:r>
        <w:rPr>
          <w:rFonts w:ascii="Arial" w:cs="Arial" w:eastAsia="Arial" w:hAnsi="Arial"/>
          <w:sz w:val="22"/>
          <w:szCs w:val="22"/>
          <w:i w:val="1"/>
          <w:iCs w:val="1"/>
          <w:color w:val="auto"/>
        </w:rPr>
        <w:t xml:space="preserve"> </w:t>
      </w:r>
      <w:r>
        <w:rPr>
          <w:rFonts w:ascii="Arial" w:cs="Arial" w:eastAsia="Arial" w:hAnsi="Arial"/>
          <w:sz w:val="22"/>
          <w:szCs w:val="22"/>
          <w:color w:val="auto"/>
        </w:rPr>
        <w:t>operating expenses divided by revenue.</w:t>
      </w:r>
    </w:p>
    <w:p>
      <w:pPr>
        <w:spacing w:after="0" w:line="67" w:lineRule="exact"/>
        <w:rPr>
          <w:sz w:val="20"/>
          <w:szCs w:val="20"/>
          <w:color w:val="auto"/>
        </w:rPr>
      </w:pPr>
    </w:p>
    <w:p>
      <w:pPr>
        <w:ind w:right="120"/>
        <w:spacing w:after="0" w:line="274" w:lineRule="auto"/>
        <w:rPr>
          <w:sz w:val="20"/>
          <w:szCs w:val="20"/>
          <w:color w:val="auto"/>
        </w:rPr>
      </w:pPr>
      <w:r>
        <w:rPr>
          <w:rFonts w:ascii="Arial" w:cs="Arial" w:eastAsia="Arial" w:hAnsi="Arial"/>
          <w:sz w:val="19"/>
          <w:szCs w:val="19"/>
          <w:color w:val="auto"/>
        </w:rPr>
        <w:t xml:space="preserve">Adjusted operating income is defined as operating income, determined in accordance with GAAP, excluding: </w:t>
      </w:r>
      <w:r>
        <w:rPr>
          <w:rFonts w:ascii="Arial" w:cs="Arial" w:eastAsia="Arial" w:hAnsi="Arial"/>
          <w:sz w:val="19"/>
          <w:szCs w:val="19"/>
          <w:i w:val="1"/>
          <w:iCs w:val="1"/>
          <w:color w:val="auto"/>
        </w:rPr>
        <w:t>acquisition related</w:t>
      </w:r>
      <w:r>
        <w:rPr>
          <w:rFonts w:ascii="Arial" w:cs="Arial" w:eastAsia="Arial" w:hAnsi="Arial"/>
          <w:sz w:val="19"/>
          <w:szCs w:val="19"/>
          <w:color w:val="auto"/>
        </w:rPr>
        <w:t xml:space="preserve"> </w:t>
      </w:r>
      <w:r>
        <w:rPr>
          <w:rFonts w:ascii="Arial" w:cs="Arial" w:eastAsia="Arial" w:hAnsi="Arial"/>
          <w:sz w:val="19"/>
          <w:szCs w:val="19"/>
          <w:i w:val="1"/>
          <w:iCs w:val="1"/>
          <w:color w:val="auto"/>
        </w:rPr>
        <w:t>expenses</w:t>
      </w:r>
      <w:r>
        <w:rPr>
          <w:rFonts w:ascii="Arial" w:cs="Arial" w:eastAsia="Arial" w:hAnsi="Arial"/>
          <w:sz w:val="25"/>
          <w:szCs w:val="25"/>
          <w:i w:val="1"/>
          <w:iCs w:val="1"/>
          <w:color w:val="auto"/>
          <w:vertAlign w:val="superscript"/>
        </w:rPr>
        <w:t>1</w:t>
      </w:r>
      <w:r>
        <w:rPr>
          <w:rFonts w:ascii="Arial" w:cs="Arial" w:eastAsia="Arial" w:hAnsi="Arial"/>
          <w:sz w:val="19"/>
          <w:szCs w:val="19"/>
          <w:color w:val="auto"/>
        </w:rPr>
        <w:t>;</w:t>
      </w:r>
      <w:r>
        <w:rPr>
          <w:rFonts w:ascii="Arial" w:cs="Arial" w:eastAsia="Arial" w:hAnsi="Arial"/>
          <w:sz w:val="19"/>
          <w:szCs w:val="19"/>
          <w:i w:val="1"/>
          <w:iCs w:val="1"/>
          <w:color w:val="auto"/>
        </w:rPr>
        <w:t xml:space="preserve"> acquisition related transaction costs</w:t>
      </w:r>
      <w:r>
        <w:rPr>
          <w:rFonts w:ascii="Arial" w:cs="Arial" w:eastAsia="Arial" w:hAnsi="Arial"/>
          <w:sz w:val="25"/>
          <w:szCs w:val="25"/>
          <w:i w:val="1"/>
          <w:iCs w:val="1"/>
          <w:color w:val="auto"/>
          <w:vertAlign w:val="superscript"/>
        </w:rPr>
        <w:t>2</w:t>
      </w:r>
      <w:r>
        <w:rPr>
          <w:rFonts w:ascii="Arial" w:cs="Arial" w:eastAsia="Arial" w:hAnsi="Arial"/>
          <w:sz w:val="19"/>
          <w:szCs w:val="19"/>
          <w:color w:val="auto"/>
        </w:rPr>
        <w:t>;</w:t>
      </w:r>
      <w:r>
        <w:rPr>
          <w:rFonts w:ascii="Arial" w:cs="Arial" w:eastAsia="Arial" w:hAnsi="Arial"/>
          <w:sz w:val="19"/>
          <w:szCs w:val="19"/>
          <w:i w:val="1"/>
          <w:iCs w:val="1"/>
          <w:color w:val="auto"/>
        </w:rPr>
        <w:t xml:space="preserve"> restructuring related expense, net</w:t>
      </w:r>
      <w:r>
        <w:rPr>
          <w:rFonts w:ascii="Arial" w:cs="Arial" w:eastAsia="Arial" w:hAnsi="Arial"/>
          <w:sz w:val="25"/>
          <w:szCs w:val="25"/>
          <w:i w:val="1"/>
          <w:iCs w:val="1"/>
          <w:color w:val="auto"/>
          <w:vertAlign w:val="superscript"/>
        </w:rPr>
        <w:t>3</w:t>
      </w:r>
      <w:r>
        <w:rPr>
          <w:rFonts w:ascii="Arial" w:cs="Arial" w:eastAsia="Arial" w:hAnsi="Arial"/>
          <w:sz w:val="19"/>
          <w:szCs w:val="19"/>
          <w:color w:val="auto"/>
        </w:rPr>
        <w:t>; and</w:t>
      </w:r>
      <w:r>
        <w:rPr>
          <w:rFonts w:ascii="Arial" w:cs="Arial" w:eastAsia="Arial" w:hAnsi="Arial"/>
          <w:sz w:val="19"/>
          <w:szCs w:val="19"/>
          <w:i w:val="1"/>
          <w:iCs w:val="1"/>
          <w:color w:val="auto"/>
        </w:rPr>
        <w:t xml:space="preserve"> charitable foundation contribution</w:t>
      </w:r>
      <w:r>
        <w:rPr>
          <w:rFonts w:ascii="Arial" w:cs="Arial" w:eastAsia="Arial" w:hAnsi="Arial"/>
          <w:sz w:val="25"/>
          <w:szCs w:val="25"/>
          <w:i w:val="1"/>
          <w:iCs w:val="1"/>
          <w:color w:val="auto"/>
          <w:vertAlign w:val="superscript"/>
        </w:rPr>
        <w:t>4</w:t>
      </w:r>
      <w:r>
        <w:rPr>
          <w:rFonts w:ascii="Arial" w:cs="Arial" w:eastAsia="Arial" w:hAnsi="Arial"/>
          <w:sz w:val="19"/>
          <w:szCs w:val="19"/>
          <w:i w:val="1"/>
          <w:iCs w:val="1"/>
          <w:color w:val="auto"/>
        </w:rPr>
        <w:t xml:space="preserve"> </w:t>
      </w:r>
      <w:r>
        <w:rPr>
          <w:rFonts w:ascii="Arial" w:cs="Arial" w:eastAsia="Arial" w:hAnsi="Arial"/>
          <w:sz w:val="19"/>
          <w:szCs w:val="19"/>
          <w:color w:val="auto"/>
        </w:rPr>
        <w:t>which are described further below. Adjusted operating margin represents adjusted operating income divided by revenue.</w:t>
      </w:r>
    </w:p>
    <w:p>
      <w:pPr>
        <w:spacing w:after="0" w:line="37" w:lineRule="exact"/>
        <w:rPr>
          <w:sz w:val="20"/>
          <w:szCs w:val="20"/>
          <w:color w:val="auto"/>
        </w:rPr>
      </w:pPr>
    </w:p>
    <w:p>
      <w:pPr>
        <w:jc w:val="both"/>
        <w:ind w:right="920"/>
        <w:spacing w:after="0" w:line="242" w:lineRule="auto"/>
        <w:rPr>
          <w:sz w:val="20"/>
          <w:szCs w:val="20"/>
          <w:color w:val="auto"/>
        </w:rPr>
      </w:pPr>
      <w:r>
        <w:rPr>
          <w:rFonts w:ascii="Arial" w:cs="Arial" w:eastAsia="Arial" w:hAnsi="Arial"/>
          <w:sz w:val="21"/>
          <w:szCs w:val="21"/>
          <w:color w:val="auto"/>
        </w:rPr>
        <w:t xml:space="preserve">Adjusted income before income taxes is defined as income before income taxes, determined in accordance with GAAP, excluding: </w:t>
      </w:r>
      <w:r>
        <w:rPr>
          <w:rFonts w:ascii="Arial" w:cs="Arial" w:eastAsia="Arial" w:hAnsi="Arial"/>
          <w:sz w:val="21"/>
          <w:szCs w:val="21"/>
          <w:i w:val="1"/>
          <w:iCs w:val="1"/>
          <w:color w:val="auto"/>
        </w:rPr>
        <w:t>acquisition related expenses</w:t>
      </w:r>
      <w:r>
        <w:rPr>
          <w:rFonts w:ascii="Arial" w:cs="Arial" w:eastAsia="Arial" w:hAnsi="Arial"/>
          <w:sz w:val="27"/>
          <w:szCs w:val="27"/>
          <w:i w:val="1"/>
          <w:iCs w:val="1"/>
          <w:color w:val="auto"/>
          <w:vertAlign w:val="superscript"/>
        </w:rPr>
        <w:t>1</w:t>
      </w:r>
      <w:r>
        <w:rPr>
          <w:rFonts w:ascii="Arial" w:cs="Arial" w:eastAsia="Arial" w:hAnsi="Arial"/>
          <w:sz w:val="21"/>
          <w:szCs w:val="21"/>
          <w:color w:val="auto"/>
        </w:rPr>
        <w:t xml:space="preserve">; </w:t>
      </w:r>
      <w:r>
        <w:rPr>
          <w:rFonts w:ascii="Arial" w:cs="Arial" w:eastAsia="Arial" w:hAnsi="Arial"/>
          <w:sz w:val="21"/>
          <w:szCs w:val="21"/>
          <w:i w:val="1"/>
          <w:iCs w:val="1"/>
          <w:color w:val="auto"/>
        </w:rPr>
        <w:t>acquisition related transaction costs</w:t>
      </w:r>
      <w:r>
        <w:rPr>
          <w:rFonts w:ascii="Arial" w:cs="Arial" w:eastAsia="Arial" w:hAnsi="Arial"/>
          <w:sz w:val="27"/>
          <w:szCs w:val="27"/>
          <w:i w:val="1"/>
          <w:iCs w:val="1"/>
          <w:color w:val="auto"/>
          <w:vertAlign w:val="superscript"/>
        </w:rPr>
        <w:t>2</w:t>
      </w:r>
      <w:r>
        <w:rPr>
          <w:rFonts w:ascii="Arial" w:cs="Arial" w:eastAsia="Arial" w:hAnsi="Arial"/>
          <w:sz w:val="21"/>
          <w:szCs w:val="21"/>
          <w:color w:val="auto"/>
        </w:rPr>
        <w:t xml:space="preserve">; </w:t>
      </w:r>
      <w:r>
        <w:rPr>
          <w:rFonts w:ascii="Arial" w:cs="Arial" w:eastAsia="Arial" w:hAnsi="Arial"/>
          <w:sz w:val="21"/>
          <w:szCs w:val="21"/>
          <w:i w:val="1"/>
          <w:iCs w:val="1"/>
          <w:color w:val="auto"/>
        </w:rPr>
        <w:t>restructuring related expense, net</w:t>
      </w:r>
      <w:r>
        <w:rPr>
          <w:rFonts w:ascii="Arial" w:cs="Arial" w:eastAsia="Arial" w:hAnsi="Arial"/>
          <w:sz w:val="27"/>
          <w:szCs w:val="27"/>
          <w:i w:val="1"/>
          <w:iCs w:val="1"/>
          <w:color w:val="auto"/>
          <w:vertAlign w:val="superscript"/>
        </w:rPr>
        <w:t>3</w:t>
      </w:r>
      <w:r>
        <w:rPr>
          <w:rFonts w:ascii="Arial" w:cs="Arial" w:eastAsia="Arial" w:hAnsi="Arial"/>
          <w:sz w:val="21"/>
          <w:szCs w:val="21"/>
          <w:color w:val="auto"/>
        </w:rPr>
        <w:t xml:space="preserve">; and </w:t>
      </w:r>
      <w:r>
        <w:rPr>
          <w:rFonts w:ascii="Arial" w:cs="Arial" w:eastAsia="Arial" w:hAnsi="Arial"/>
          <w:sz w:val="21"/>
          <w:szCs w:val="21"/>
          <w:i w:val="1"/>
          <w:iCs w:val="1"/>
          <w:color w:val="auto"/>
        </w:rPr>
        <w:t>charitable foundation contribution</w:t>
      </w:r>
      <w:r>
        <w:rPr>
          <w:rFonts w:ascii="Arial" w:cs="Arial" w:eastAsia="Arial" w:hAnsi="Arial"/>
          <w:sz w:val="27"/>
          <w:szCs w:val="27"/>
          <w:i w:val="1"/>
          <w:iCs w:val="1"/>
          <w:color w:val="auto"/>
          <w:vertAlign w:val="superscript"/>
        </w:rPr>
        <w:t>4</w:t>
      </w:r>
      <w:r>
        <w:rPr>
          <w:rFonts w:ascii="Arial" w:cs="Arial" w:eastAsia="Arial" w:hAnsi="Arial"/>
          <w:sz w:val="21"/>
          <w:szCs w:val="21"/>
          <w:i w:val="1"/>
          <w:iCs w:val="1"/>
          <w:color w:val="auto"/>
        </w:rPr>
        <w:t xml:space="preserve"> </w:t>
      </w:r>
      <w:r>
        <w:rPr>
          <w:rFonts w:ascii="Arial" w:cs="Arial" w:eastAsia="Arial" w:hAnsi="Arial"/>
          <w:sz w:val="21"/>
          <w:szCs w:val="21"/>
          <w:color w:val="auto"/>
        </w:rPr>
        <w:t>which are described further below.</w:t>
      </w:r>
    </w:p>
    <w:p>
      <w:pPr>
        <w:spacing w:after="0" w:line="2" w:lineRule="exact"/>
        <w:rPr>
          <w:sz w:val="20"/>
          <w:szCs w:val="20"/>
          <w:color w:val="auto"/>
        </w:rPr>
      </w:pPr>
    </w:p>
    <w:p>
      <w:pPr>
        <w:ind w:right="140"/>
        <w:spacing w:after="0" w:line="225" w:lineRule="auto"/>
        <w:rPr>
          <w:sz w:val="20"/>
          <w:szCs w:val="20"/>
          <w:color w:val="auto"/>
        </w:rPr>
      </w:pPr>
      <w:r>
        <w:rPr>
          <w:rFonts w:ascii="Arial" w:cs="Arial" w:eastAsia="Arial" w:hAnsi="Arial"/>
          <w:sz w:val="22"/>
          <w:szCs w:val="22"/>
          <w:color w:val="auto"/>
        </w:rPr>
        <w:t xml:space="preserve">Adjusted provision for income taxes is defined as provision for income taxes, determined in accordance with GAAP, excluding </w:t>
      </w:r>
      <w:r>
        <w:rPr>
          <w:rFonts w:ascii="Arial" w:cs="Arial" w:eastAsia="Arial" w:hAnsi="Arial"/>
          <w:sz w:val="22"/>
          <w:szCs w:val="22"/>
          <w:i w:val="1"/>
          <w:iCs w:val="1"/>
          <w:color w:val="auto"/>
        </w:rPr>
        <w:t>tax related items</w:t>
      </w:r>
      <w:r>
        <w:rPr>
          <w:rFonts w:ascii="Arial" w:cs="Arial" w:eastAsia="Arial" w:hAnsi="Arial"/>
          <w:sz w:val="28"/>
          <w:szCs w:val="28"/>
          <w:i w:val="1"/>
          <w:iCs w:val="1"/>
          <w:color w:val="auto"/>
          <w:vertAlign w:val="superscript"/>
        </w:rPr>
        <w:t>5</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 Adjusted tax rate represents adjusted provision for income taxes divided by</w:t>
      </w:r>
      <w:r>
        <w:rPr>
          <w:rFonts w:ascii="Arial" w:cs="Arial" w:eastAsia="Arial" w:hAnsi="Arial"/>
          <w:sz w:val="22"/>
          <w:szCs w:val="22"/>
          <w:i w:val="1"/>
          <w:iCs w:val="1"/>
          <w:color w:val="auto"/>
        </w:rPr>
        <w:t xml:space="preserve"> </w:t>
      </w:r>
      <w:r>
        <w:rPr>
          <w:rFonts w:ascii="Arial" w:cs="Arial" w:eastAsia="Arial" w:hAnsi="Arial"/>
          <w:sz w:val="22"/>
          <w:szCs w:val="22"/>
          <w:color w:val="auto"/>
        </w:rPr>
        <w:t>adjusted income before income taxes.</w:t>
      </w:r>
    </w:p>
    <w:p>
      <w:pPr>
        <w:spacing w:after="0" w:line="66"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 xml:space="preserve">Adjusted diluted EPS is defined as diluted EPS, determined in accordance with GAAP, excluding: </w:t>
      </w:r>
      <w:r>
        <w:rPr>
          <w:rFonts w:ascii="Arial" w:cs="Arial" w:eastAsia="Arial" w:hAnsi="Arial"/>
          <w:sz w:val="22"/>
          <w:szCs w:val="22"/>
          <w:i w:val="1"/>
          <w:iCs w:val="1"/>
          <w:color w:val="auto"/>
        </w:rPr>
        <w:t>acquisition related expenses</w:t>
      </w:r>
      <w:r>
        <w:rPr>
          <w:rFonts w:ascii="Arial" w:cs="Arial" w:eastAsia="Arial" w:hAnsi="Arial"/>
          <w:sz w:val="28"/>
          <w:szCs w:val="28"/>
          <w:i w:val="1"/>
          <w:iCs w:val="1"/>
          <w:color w:val="auto"/>
          <w:vertAlign w:val="superscript"/>
        </w:rPr>
        <w:t>1</w:t>
      </w:r>
      <w:r>
        <w:rPr>
          <w:rFonts w:ascii="Arial" w:cs="Arial" w:eastAsia="Arial" w:hAnsi="Arial"/>
          <w:sz w:val="22"/>
          <w:szCs w:val="22"/>
          <w:color w:val="auto"/>
        </w:rPr>
        <w:t xml:space="preserve">; </w:t>
      </w:r>
      <w:r>
        <w:rPr>
          <w:rFonts w:ascii="Arial" w:cs="Arial" w:eastAsia="Arial" w:hAnsi="Arial"/>
          <w:sz w:val="22"/>
          <w:szCs w:val="22"/>
          <w:i w:val="1"/>
          <w:iCs w:val="1"/>
          <w:color w:val="auto"/>
        </w:rPr>
        <w:t>acquisition related transaction costs</w:t>
      </w:r>
      <w:r>
        <w:rPr>
          <w:rFonts w:ascii="Arial" w:cs="Arial" w:eastAsia="Arial" w:hAnsi="Arial"/>
          <w:sz w:val="28"/>
          <w:szCs w:val="28"/>
          <w:i w:val="1"/>
          <w:iCs w:val="1"/>
          <w:color w:val="auto"/>
          <w:vertAlign w:val="superscript"/>
        </w:rPr>
        <w:t>2</w:t>
      </w:r>
      <w:r>
        <w:rPr>
          <w:rFonts w:ascii="Arial" w:cs="Arial" w:eastAsia="Arial" w:hAnsi="Arial"/>
          <w:sz w:val="22"/>
          <w:szCs w:val="22"/>
          <w:color w:val="auto"/>
        </w:rPr>
        <w:t>;</w:t>
      </w:r>
      <w:r>
        <w:rPr>
          <w:rFonts w:ascii="Arial" w:cs="Arial" w:eastAsia="Arial" w:hAnsi="Arial"/>
          <w:sz w:val="22"/>
          <w:szCs w:val="22"/>
          <w:i w:val="1"/>
          <w:iCs w:val="1"/>
          <w:color w:val="auto"/>
        </w:rPr>
        <w:t xml:space="preserve"> restructuring related expense, net</w:t>
      </w:r>
      <w:r>
        <w:rPr>
          <w:rFonts w:ascii="Arial" w:cs="Arial" w:eastAsia="Arial" w:hAnsi="Arial"/>
          <w:sz w:val="28"/>
          <w:szCs w:val="28"/>
          <w:i w:val="1"/>
          <w:iCs w:val="1"/>
          <w:color w:val="auto"/>
          <w:vertAlign w:val="superscript"/>
        </w:rPr>
        <w:t>3</w:t>
      </w:r>
      <w:r>
        <w:rPr>
          <w:rFonts w:ascii="Arial" w:cs="Arial" w:eastAsia="Arial" w:hAnsi="Arial"/>
          <w:sz w:val="22"/>
          <w:szCs w:val="22"/>
          <w:color w:val="auto"/>
        </w:rPr>
        <w:t>;</w:t>
      </w:r>
      <w:r>
        <w:rPr>
          <w:rFonts w:ascii="Arial" w:cs="Arial" w:eastAsia="Arial" w:hAnsi="Arial"/>
          <w:sz w:val="22"/>
          <w:szCs w:val="22"/>
          <w:i w:val="1"/>
          <w:iCs w:val="1"/>
          <w:color w:val="auto"/>
        </w:rPr>
        <w:t xml:space="preserve"> charitable foundation contribution</w:t>
      </w:r>
      <w:r>
        <w:rPr>
          <w:rFonts w:ascii="Arial" w:cs="Arial" w:eastAsia="Arial" w:hAnsi="Arial"/>
          <w:sz w:val="28"/>
          <w:szCs w:val="28"/>
          <w:i w:val="1"/>
          <w:iCs w:val="1"/>
          <w:color w:val="auto"/>
          <w:vertAlign w:val="superscript"/>
        </w:rPr>
        <w:t>4</w:t>
      </w:r>
      <w:r>
        <w:rPr>
          <w:rFonts w:ascii="Arial" w:cs="Arial" w:eastAsia="Arial" w:hAnsi="Arial"/>
          <w:sz w:val="22"/>
          <w:szCs w:val="22"/>
          <w:i w:val="1"/>
          <w:iCs w:val="1"/>
          <w:color w:val="auto"/>
        </w:rPr>
        <w:t xml:space="preserve">; </w:t>
      </w:r>
      <w:r>
        <w:rPr>
          <w:rFonts w:ascii="Arial" w:cs="Arial" w:eastAsia="Arial" w:hAnsi="Arial"/>
          <w:sz w:val="22"/>
          <w:szCs w:val="22"/>
          <w:color w:val="auto"/>
        </w:rPr>
        <w:t>and</w:t>
      </w:r>
      <w:r>
        <w:rPr>
          <w:rFonts w:ascii="Arial" w:cs="Arial" w:eastAsia="Arial" w:hAnsi="Arial"/>
          <w:sz w:val="22"/>
          <w:szCs w:val="22"/>
          <w:i w:val="1"/>
          <w:iCs w:val="1"/>
          <w:color w:val="auto"/>
        </w:rPr>
        <w:t xml:space="preserve"> tax related items</w:t>
      </w:r>
      <w:r>
        <w:rPr>
          <w:rFonts w:ascii="Arial" w:cs="Arial" w:eastAsia="Arial" w:hAnsi="Arial"/>
          <w:sz w:val="28"/>
          <w:szCs w:val="28"/>
          <w:i w:val="1"/>
          <w:iCs w:val="1"/>
          <w:color w:val="auto"/>
          <w:vertAlign w:val="superscript"/>
        </w:rPr>
        <w:t>5</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w:t>
      </w:r>
    </w:p>
    <w:p>
      <w:pPr>
        <w:ind w:right="400"/>
        <w:spacing w:after="0" w:line="319" w:lineRule="auto"/>
        <w:rPr>
          <w:sz w:val="20"/>
          <w:szCs w:val="20"/>
          <w:color w:val="auto"/>
        </w:rPr>
      </w:pPr>
      <w:r>
        <w:rPr>
          <w:rFonts w:ascii="Arial" w:cs="Arial" w:eastAsia="Arial" w:hAnsi="Arial"/>
          <w:sz w:val="19"/>
          <w:szCs w:val="19"/>
          <w:color w:val="auto"/>
        </w:rPr>
        <w:t>Free cash flow is defined as net cash provided by operating activities, determined in accordance with GAAP, less additions to property, plant and equipment, net. Free cash flow margin percentage represents free cash flow divided by revenue.</w:t>
      </w:r>
    </w:p>
    <w:p>
      <w:pPr>
        <w:spacing w:after="0" w:line="1" w:lineRule="exact"/>
        <w:rPr>
          <w:sz w:val="20"/>
          <w:szCs w:val="20"/>
          <w:color w:val="auto"/>
        </w:rPr>
      </w:pPr>
    </w:p>
    <w:p>
      <w:pPr>
        <w:ind w:left="660" w:right="160"/>
        <w:spacing w:after="0" w:line="261" w:lineRule="auto"/>
        <w:rPr>
          <w:sz w:val="20"/>
          <w:szCs w:val="20"/>
          <w:color w:val="auto"/>
        </w:rPr>
      </w:pPr>
      <w:r>
        <w:rPr>
          <w:rFonts w:ascii="Arial" w:cs="Arial" w:eastAsia="Arial" w:hAnsi="Arial"/>
          <w:sz w:val="26"/>
          <w:szCs w:val="26"/>
          <w:i w:val="1"/>
          <w:iCs w:val="1"/>
          <w:color w:val="auto"/>
          <w:vertAlign w:val="superscript"/>
        </w:rPr>
        <w:t>1</w:t>
      </w:r>
      <w:r>
        <w:rPr>
          <w:rFonts w:ascii="Arial" w:cs="Arial" w:eastAsia="Arial" w:hAnsi="Arial"/>
          <w:sz w:val="20"/>
          <w:szCs w:val="20"/>
          <w:i w:val="1"/>
          <w:iCs w:val="1"/>
          <w:color w:val="auto"/>
        </w:rPr>
        <w:t>Acquisition Related Expenses</w:t>
      </w:r>
      <w:r>
        <w:rPr>
          <w:rFonts w:ascii="Arial" w:cs="Arial" w:eastAsia="Arial" w:hAnsi="Arial"/>
          <w:sz w:val="20"/>
          <w:szCs w:val="20"/>
          <w:color w:val="auto"/>
        </w:rPr>
        <w:t>: Expenses incurred as a result of current and prior period acquisitions and primarily</w:t>
      </w:r>
      <w:r>
        <w:rPr>
          <w:rFonts w:ascii="Arial" w:cs="Arial" w:eastAsia="Arial" w:hAnsi="Arial"/>
          <w:sz w:val="20"/>
          <w:szCs w:val="20"/>
          <w:i w:val="1"/>
          <w:iCs w:val="1"/>
          <w:color w:val="auto"/>
        </w:rPr>
        <w:t xml:space="preserve"> </w:t>
      </w:r>
      <w:r>
        <w:rPr>
          <w:rFonts w:ascii="Arial" w:cs="Arial" w:eastAsia="Arial" w:hAnsi="Arial"/>
          <w:sz w:val="20"/>
          <w:szCs w:val="20"/>
          <w:color w:val="auto"/>
        </w:rPr>
        <w:t>include expenses associated with the fair value adjustments to inventory, property, plant and equipment and amortization of acquisition related intangibles, which include acquired intangibles such as purchased technology and customer relationships. Expenses also include severance payments, equity award accelerations, and the fair value adjustment associated with the replacement of share-based awards related to the Linear Technology</w:t>
      </w:r>
    </w:p>
    <w:p>
      <w:pPr>
        <w:sectPr>
          <w:pgSz w:w="11900" w:h="16838" w:orient="portrait"/>
          <w:cols w:equalWidth="0" w:num="1">
            <w:col w:w="11240"/>
          </w:cols>
          <w:pgMar w:left="320" w:top="996" w:right="339" w:bottom="1440" w:gutter="0" w:footer="0" w:header="0"/>
        </w:sectPr>
      </w:pPr>
    </w:p>
    <w:bookmarkStart w:id="7" w:name="page8"/>
    <w:bookmarkEnd w:id="7"/>
    <w:p>
      <w:pPr>
        <w:ind w:left="660" w:right="180"/>
        <w:spacing w:after="0" w:line="263" w:lineRule="auto"/>
        <w:rPr>
          <w:sz w:val="20"/>
          <w:szCs w:val="20"/>
          <w:color w:val="auto"/>
        </w:rPr>
      </w:pPr>
      <w:r>
        <w:rPr>
          <w:rFonts w:ascii="Arial" w:cs="Arial" w:eastAsia="Arial" w:hAnsi="Arial"/>
          <w:sz w:val="22"/>
          <w:szCs w:val="22"/>
          <w:color w:val="auto"/>
        </w:rPr>
        <w:t>Corporation (Linear) acquisition. We excluded these costs from our non-GAAP measures because they relate to specific transactions and are not reflective of our ongoing financial performance.</w:t>
      </w:r>
    </w:p>
    <w:p>
      <w:pPr>
        <w:spacing w:after="0" w:line="40" w:lineRule="exact"/>
        <w:rPr>
          <w:sz w:val="20"/>
          <w:szCs w:val="20"/>
          <w:color w:val="auto"/>
        </w:rPr>
      </w:pPr>
    </w:p>
    <w:p>
      <w:pPr>
        <w:ind w:left="660" w:right="20"/>
        <w:spacing w:after="0" w:line="231" w:lineRule="auto"/>
        <w:rPr>
          <w:sz w:val="20"/>
          <w:szCs w:val="20"/>
          <w:color w:val="auto"/>
        </w:rPr>
      </w:pPr>
      <w:r>
        <w:rPr>
          <w:rFonts w:ascii="Arial" w:cs="Arial" w:eastAsia="Arial" w:hAnsi="Arial"/>
          <w:sz w:val="28"/>
          <w:szCs w:val="28"/>
          <w:i w:val="1"/>
          <w:iCs w:val="1"/>
          <w:color w:val="auto"/>
          <w:vertAlign w:val="superscript"/>
        </w:rPr>
        <w:t>2</w:t>
      </w:r>
      <w:r>
        <w:rPr>
          <w:rFonts w:ascii="Arial" w:cs="Arial" w:eastAsia="Arial" w:hAnsi="Arial"/>
          <w:sz w:val="22"/>
          <w:szCs w:val="22"/>
          <w:i w:val="1"/>
          <w:iCs w:val="1"/>
          <w:color w:val="auto"/>
        </w:rPr>
        <w:t>Acquisition Related Transaction Costs</w:t>
      </w:r>
      <w:r>
        <w:rPr>
          <w:rFonts w:ascii="Arial" w:cs="Arial" w:eastAsia="Arial" w:hAnsi="Arial"/>
          <w:sz w:val="22"/>
          <w:szCs w:val="22"/>
          <w:color w:val="auto"/>
        </w:rPr>
        <w:t>: Costs directly related to the proposed Maxim Integrated Products, Inc.</w:t>
      </w:r>
      <w:r>
        <w:rPr>
          <w:rFonts w:ascii="Arial" w:cs="Arial" w:eastAsia="Arial" w:hAnsi="Arial"/>
          <w:sz w:val="22"/>
          <w:szCs w:val="22"/>
          <w:i w:val="1"/>
          <w:iCs w:val="1"/>
          <w:color w:val="auto"/>
        </w:rPr>
        <w:t xml:space="preserve"> </w:t>
      </w:r>
      <w:r>
        <w:rPr>
          <w:rFonts w:ascii="Arial" w:cs="Arial" w:eastAsia="Arial" w:hAnsi="Arial"/>
          <w:sz w:val="22"/>
          <w:szCs w:val="22"/>
          <w:color w:val="auto"/>
        </w:rPr>
        <w:t>acquisition, including legal, accounting and other professional fees as well as integration-related costs. We excluded these costs from our non-GAAP measures because they relate to a specific transaction and are not reflective of our ongoing financial performance.</w:t>
      </w:r>
    </w:p>
    <w:p>
      <w:pPr>
        <w:spacing w:after="0" w:line="73" w:lineRule="exact"/>
        <w:rPr>
          <w:sz w:val="20"/>
          <w:szCs w:val="20"/>
          <w:color w:val="auto"/>
        </w:rPr>
      </w:pPr>
    </w:p>
    <w:p>
      <w:pPr>
        <w:ind w:left="660" w:right="60"/>
        <w:spacing w:after="0" w:line="235" w:lineRule="auto"/>
        <w:rPr>
          <w:sz w:val="20"/>
          <w:szCs w:val="20"/>
          <w:color w:val="auto"/>
        </w:rPr>
      </w:pPr>
      <w:r>
        <w:rPr>
          <w:rFonts w:ascii="Arial" w:cs="Arial" w:eastAsia="Arial" w:hAnsi="Arial"/>
          <w:sz w:val="28"/>
          <w:szCs w:val="28"/>
          <w:i w:val="1"/>
          <w:iCs w:val="1"/>
          <w:color w:val="auto"/>
          <w:vertAlign w:val="superscript"/>
        </w:rPr>
        <w:t>3</w:t>
      </w:r>
      <w:r>
        <w:rPr>
          <w:rFonts w:ascii="Arial" w:cs="Arial" w:eastAsia="Arial" w:hAnsi="Arial"/>
          <w:sz w:val="22"/>
          <w:szCs w:val="22"/>
          <w:i w:val="1"/>
          <w:iCs w:val="1"/>
          <w:color w:val="auto"/>
        </w:rPr>
        <w:t>Restructuring Related Expense, net</w:t>
      </w:r>
      <w:r>
        <w:rPr>
          <w:rFonts w:ascii="Arial" w:cs="Arial" w:eastAsia="Arial" w:hAnsi="Arial"/>
          <w:sz w:val="22"/>
          <w:szCs w:val="22"/>
          <w:color w:val="auto"/>
        </w:rPr>
        <w:t>: Expenses, net, incurred in connection with facility closures, consolidation of</w:t>
      </w:r>
      <w:r>
        <w:rPr>
          <w:rFonts w:ascii="Arial" w:cs="Arial" w:eastAsia="Arial" w:hAnsi="Arial"/>
          <w:sz w:val="22"/>
          <w:szCs w:val="22"/>
          <w:i w:val="1"/>
          <w:iCs w:val="1"/>
          <w:color w:val="auto"/>
        </w:rPr>
        <w:t xml:space="preserve"> </w:t>
      </w:r>
      <w:r>
        <w:rPr>
          <w:rFonts w:ascii="Arial" w:cs="Arial" w:eastAsia="Arial" w:hAnsi="Arial"/>
          <w:sz w:val="22"/>
          <w:szCs w:val="22"/>
          <w:color w:val="auto"/>
        </w:rPr>
        <w:t>manufacturing facilities, severance, other accelerated stock-based compensation expense and other cost reduction efforts or reorganizational initiatives. We excluded these expenses from our non-GAAP measures because apart from ongoing expense savings as a result of such items, these expenses have no direct correlation to the operation of our business in the future.</w:t>
      </w:r>
    </w:p>
    <w:p>
      <w:pPr>
        <w:spacing w:after="0" w:line="71" w:lineRule="exact"/>
        <w:rPr>
          <w:sz w:val="20"/>
          <w:szCs w:val="20"/>
          <w:color w:val="auto"/>
        </w:rPr>
      </w:pPr>
    </w:p>
    <w:p>
      <w:pPr>
        <w:jc w:val="both"/>
        <w:ind w:left="660" w:right="140"/>
        <w:spacing w:after="0"/>
        <w:rPr>
          <w:sz w:val="20"/>
          <w:szCs w:val="20"/>
          <w:color w:val="auto"/>
        </w:rPr>
      </w:pPr>
      <w:r>
        <w:rPr>
          <w:rFonts w:ascii="Arial" w:cs="Arial" w:eastAsia="Arial" w:hAnsi="Arial"/>
          <w:sz w:val="27"/>
          <w:szCs w:val="27"/>
          <w:i w:val="1"/>
          <w:iCs w:val="1"/>
          <w:color w:val="auto"/>
          <w:vertAlign w:val="superscript"/>
        </w:rPr>
        <w:t>4</w:t>
      </w:r>
      <w:r>
        <w:rPr>
          <w:rFonts w:ascii="Arial" w:cs="Arial" w:eastAsia="Arial" w:hAnsi="Arial"/>
          <w:sz w:val="21"/>
          <w:szCs w:val="21"/>
          <w:i w:val="1"/>
          <w:iCs w:val="1"/>
          <w:color w:val="auto"/>
        </w:rPr>
        <w:t>Charitable Foundation Contribution</w:t>
      </w:r>
      <w:r>
        <w:rPr>
          <w:rFonts w:ascii="Arial" w:cs="Arial" w:eastAsia="Arial" w:hAnsi="Arial"/>
          <w:sz w:val="21"/>
          <w:szCs w:val="21"/>
          <w:color w:val="auto"/>
        </w:rPr>
        <w:t>: Expenses incurred in connection with a one time contribution of registered shares</w:t>
      </w:r>
      <w:r>
        <w:rPr>
          <w:rFonts w:ascii="Arial" w:cs="Arial" w:eastAsia="Arial" w:hAnsi="Arial"/>
          <w:sz w:val="21"/>
          <w:szCs w:val="21"/>
          <w:i w:val="1"/>
          <w:iCs w:val="1"/>
          <w:color w:val="auto"/>
        </w:rPr>
        <w:t xml:space="preserve"> </w:t>
      </w:r>
      <w:r>
        <w:rPr>
          <w:rFonts w:ascii="Arial" w:cs="Arial" w:eastAsia="Arial" w:hAnsi="Arial"/>
          <w:sz w:val="21"/>
          <w:szCs w:val="21"/>
          <w:color w:val="auto"/>
        </w:rPr>
        <w:t>of common stock to the Analog Devices Foundation. We excluded this expense from our non-GAAP measures because this expense has no direct correlation to the operation of our business in the future.</w:t>
      </w:r>
    </w:p>
    <w:p>
      <w:pPr>
        <w:spacing w:after="0" w:line="65" w:lineRule="exact"/>
        <w:rPr>
          <w:sz w:val="20"/>
          <w:szCs w:val="20"/>
          <w:color w:val="auto"/>
        </w:rPr>
      </w:pPr>
    </w:p>
    <w:p>
      <w:pPr>
        <w:ind w:left="660" w:right="20"/>
        <w:spacing w:after="0" w:line="245" w:lineRule="auto"/>
        <w:rPr>
          <w:sz w:val="20"/>
          <w:szCs w:val="20"/>
          <w:color w:val="auto"/>
        </w:rPr>
      </w:pPr>
      <w:r>
        <w:rPr>
          <w:rFonts w:ascii="Arial" w:cs="Arial" w:eastAsia="Arial" w:hAnsi="Arial"/>
          <w:sz w:val="27"/>
          <w:szCs w:val="27"/>
          <w:i w:val="1"/>
          <w:iCs w:val="1"/>
          <w:color w:val="auto"/>
          <w:vertAlign w:val="superscript"/>
        </w:rPr>
        <w:t>5</w:t>
      </w:r>
      <w:r>
        <w:rPr>
          <w:rFonts w:ascii="Arial" w:cs="Arial" w:eastAsia="Arial" w:hAnsi="Arial"/>
          <w:sz w:val="21"/>
          <w:szCs w:val="21"/>
          <w:i w:val="1"/>
          <w:iCs w:val="1"/>
          <w:color w:val="auto"/>
        </w:rPr>
        <w:t>Tax Related Items</w:t>
      </w:r>
      <w:r>
        <w:rPr>
          <w:rFonts w:ascii="Arial" w:cs="Arial" w:eastAsia="Arial" w:hAnsi="Arial"/>
          <w:sz w:val="21"/>
          <w:szCs w:val="21"/>
          <w:color w:val="auto"/>
        </w:rPr>
        <w:t>: Income tax effect of the non-GAAP items discussed above and income tax from certain discrete tax</w:t>
      </w:r>
      <w:r>
        <w:rPr>
          <w:rFonts w:ascii="Arial" w:cs="Arial" w:eastAsia="Arial" w:hAnsi="Arial"/>
          <w:sz w:val="21"/>
          <w:szCs w:val="21"/>
          <w:i w:val="1"/>
          <w:iCs w:val="1"/>
          <w:color w:val="auto"/>
        </w:rPr>
        <w:t xml:space="preserve"> </w:t>
      </w:r>
      <w:r>
        <w:rPr>
          <w:rFonts w:ascii="Arial" w:cs="Arial" w:eastAsia="Arial" w:hAnsi="Arial"/>
          <w:sz w:val="21"/>
          <w:szCs w:val="21"/>
          <w:color w:val="auto"/>
        </w:rPr>
        <w:t>items related to the resolution of the IRS audit of Linear’s pre-acquisition federal income tax returns for fiscal year 2015 through fiscal year 2017, other discrete income tax benefits upon filing of our fiscal 2019 federal income tax return and income tax from prior period tax credits. We excluded these tax related items from our non-GAAP measures because they are not associated with the tax expense on our current operating results.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Analog Devices</w:t>
      </w:r>
    </w:p>
    <w:p>
      <w:pPr>
        <w:spacing w:after="0" w:line="253" w:lineRule="exact"/>
        <w:rPr>
          <w:sz w:val="20"/>
          <w:szCs w:val="20"/>
          <w:color w:val="auto"/>
        </w:rPr>
      </w:pPr>
    </w:p>
    <w:p>
      <w:pPr>
        <w:ind w:right="560"/>
        <w:spacing w:after="0" w:line="312" w:lineRule="auto"/>
        <w:rPr>
          <w:sz w:val="20"/>
          <w:szCs w:val="20"/>
          <w:color w:val="auto"/>
        </w:rPr>
      </w:pPr>
      <w:r>
        <w:rPr>
          <w:rFonts w:ascii="Arial" w:cs="Arial" w:eastAsia="Arial" w:hAnsi="Arial"/>
          <w:sz w:val="19"/>
          <w:szCs w:val="19"/>
          <w:color w:val="auto"/>
        </w:rPr>
        <w:t>Analog Devices (Nasdaq: ADI) is a leading global semiconductor company dedicated to solving the toughest engineering challenges. We enable our customers to interpret the world around us by intelligently bridging the physical and digital with unmatched technologies that sense, measure, power, connect and interpret. Visit http://www.analog.com.</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 Looking Statements</w:t>
      </w:r>
    </w:p>
    <w:p>
      <w:pPr>
        <w:spacing w:after="0" w:line="253" w:lineRule="exact"/>
        <w:rPr>
          <w:sz w:val="20"/>
          <w:szCs w:val="20"/>
          <w:color w:val="auto"/>
        </w:rPr>
      </w:pPr>
    </w:p>
    <w:p>
      <w:pPr>
        <w:spacing w:after="0" w:line="286" w:lineRule="auto"/>
        <w:rPr>
          <w:sz w:val="20"/>
          <w:szCs w:val="20"/>
          <w:color w:val="auto"/>
        </w:rPr>
      </w:pPr>
      <w:r>
        <w:rPr>
          <w:rFonts w:ascii="Arial" w:cs="Arial" w:eastAsia="Arial" w:hAnsi="Arial"/>
          <w:sz w:val="19"/>
          <w:szCs w:val="19"/>
          <w:i w:val="1"/>
          <w:iCs w:val="1"/>
          <w:color w:val="auto"/>
        </w:rPr>
        <w:t>This press release contains forward-looking statements, which address a variety of subjects including, for example, our statements regarding our proposed acquisition of Maxim Integrated Products, Inc. (“Maxim”); the impact of the COVID-19 pandemic on our business, financial condition and results of operations; expected revenue, operating margin, tax rate, earnings per share, and other financial results; expected market trends, market share gains, operating leverage, production and inventory levels; expected customer demand and order rates for our products and expected product offerings; product development; and marketing position.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changes in export classifications, import and export regulations or duties and tariffs; changes in our or Maxim’s estimates</w:t>
      </w:r>
    </w:p>
    <w:p>
      <w:pPr>
        <w:sectPr>
          <w:pgSz w:w="11900" w:h="16838" w:orient="portrait"/>
          <w:cols w:equalWidth="0" w:num="1">
            <w:col w:w="11200"/>
          </w:cols>
          <w:pgMar w:left="320" w:top="996" w:right="379" w:bottom="1440" w:gutter="0" w:footer="0" w:header="0"/>
        </w:sectPr>
      </w:pPr>
    </w:p>
    <w:bookmarkStart w:id="8" w:name="page9"/>
    <w:bookmarkEnd w:id="8"/>
    <w:p>
      <w:pPr>
        <w:spacing w:after="0" w:line="285" w:lineRule="auto"/>
        <w:rPr>
          <w:sz w:val="20"/>
          <w:szCs w:val="20"/>
          <w:color w:val="auto"/>
        </w:rPr>
      </w:pPr>
      <w:r>
        <w:rPr>
          <w:rFonts w:ascii="Arial" w:cs="Arial" w:eastAsia="Arial" w:hAnsi="Arial"/>
          <w:sz w:val="19"/>
          <w:szCs w:val="19"/>
          <w:i w:val="1"/>
          <w:iCs w:val="1"/>
          <w:color w:val="auto"/>
        </w:rPr>
        <w:t>of our respective expected tax rates based on current tax law; our ability to successfully integrate Maxim’s businesses and technologies; the risk that the expected benefits and synergies of the proposed transaction and growth prospects of the combined company may not be fully achieved in a timely manner, or at all; adverse results in litigation matters, including the potential for litigation related to the proposed transaction; the risk that we or Maxim will be unable to retain and hire key personnel; the risk associated with the timing of the closing of the proposed transaction, including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 obtained subject to conditions that are not anticipated; unanticipated difficulties or expenditures relating to the transaction, the response of business partners and retention as a result of the announcement and pendency of the transaction; uncertainty as to the long-term value of our common stock; the diversion of management time on transaction-related matters; our ability to successfully integrate acquired businesses and technologies; and the risk that expected benefits, synergies and growth prospects of acquisitions may not be fully achieved in a timely manner, or at all. For additional information about factors that could cause actual results to differ materially from those described in the forward-looking statements, please refer to our filings with the Securities and Exchange Commission (“SEC”), including the risk factors contained in our most recent Quarterly Report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0" w:lineRule="exact"/>
        <w:rPr>
          <w:sz w:val="20"/>
          <w:szCs w:val="20"/>
          <w:color w:val="auto"/>
        </w:rPr>
      </w:pPr>
    </w:p>
    <w:p>
      <w:pPr>
        <w:spacing w:after="0" w:line="236" w:lineRule="exact"/>
        <w:rPr>
          <w:sz w:val="20"/>
          <w:szCs w:val="20"/>
          <w:color w:val="auto"/>
        </w:rPr>
      </w:pPr>
    </w:p>
    <w:p>
      <w:pPr>
        <w:ind w:right="820"/>
        <w:spacing w:after="0" w:line="263" w:lineRule="auto"/>
        <w:rPr>
          <w:sz w:val="20"/>
          <w:szCs w:val="20"/>
          <w:color w:val="auto"/>
        </w:rPr>
      </w:pPr>
      <w:r>
        <w:rPr>
          <w:rFonts w:ascii="Arial" w:cs="Arial" w:eastAsia="Arial" w:hAnsi="Arial"/>
          <w:sz w:val="22"/>
          <w:szCs w:val="22"/>
          <w:color w:val="auto"/>
        </w:rPr>
        <w:t>Analog Devices and the Analog Devices logo are registered trademarks or trademarks of Analog Devices, Inc. All other trademarks mentioned in this document are the property of their respective owners.</w:t>
      </w:r>
    </w:p>
    <w:p>
      <w:pPr>
        <w:sectPr>
          <w:pgSz w:w="11900" w:h="16838" w:orient="portrait"/>
          <w:cols w:equalWidth="0" w:num="1">
            <w:col w:w="11200"/>
          </w:cols>
          <w:pgMar w:left="320" w:top="901"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8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740" w:type="dxa"/>
            <w:vAlign w:val="bottom"/>
            <w:tcBorders>
              <w:top w:val="single" w:sz="8" w:color="auto"/>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Jul. 31, 2021</w:t>
            </w:r>
          </w:p>
        </w:tc>
        <w:tc>
          <w:tcPr>
            <w:tcW w:w="18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Aug. 1, 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Jul. 31, 2021</w:t>
            </w:r>
          </w:p>
        </w:tc>
        <w:tc>
          <w:tcPr>
            <w:tcW w:w="18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Aug. 1, 2020</w:t>
            </w:r>
          </w:p>
        </w:tc>
      </w:tr>
      <w:tr>
        <w:trPr>
          <w:trHeight w:val="223"/>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1,758,853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1,456,136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4,978,718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4,076,761</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1,575,526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1,409,367</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1,221,184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3,403,192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2,667,394</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770,280</w:t>
            </w:r>
          </w:p>
        </w:tc>
      </w:tr>
      <w:tr>
        <w:trPr>
          <w:trHeight w:val="230"/>
        </w:trPr>
        <w:tc>
          <w:tcPr>
            <w:tcW w:w="5380" w:type="dxa"/>
            <w:vAlign w:val="bottom"/>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206,076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153,753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597,963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494,808</w:t>
            </w:r>
          </w:p>
        </w:tc>
      </w:tr>
      <w:tr>
        <w:trPr>
          <w:trHeight w:val="229"/>
        </w:trPr>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321,448</w:t>
            </w:r>
          </w:p>
        </w:tc>
      </w:tr>
      <w:tr>
        <w:trPr>
          <w:trHeight w:val="230"/>
        </w:trPr>
        <w:tc>
          <w:tcPr>
            <w:tcW w:w="5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Special charges, net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44,286</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1,809,996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1,630,822</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609,646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419,124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1,593,196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1,036,572</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3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44,659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45,914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130,204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144,712</w:t>
            </w:r>
          </w:p>
        </w:tc>
      </w:tr>
      <w:tr>
        <w:trPr>
          <w:trHeight w:val="230"/>
        </w:trPr>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r>
      <w:tr>
        <w:trPr>
          <w:trHeight w:val="229"/>
        </w:trPr>
        <w:tc>
          <w:tcPr>
            <w:tcW w:w="5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r>
      <w:tr>
        <w:trPr>
          <w:trHeight w:val="223"/>
        </w:trPr>
        <w:tc>
          <w:tcPr>
            <w:tcW w:w="5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142,265</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572,278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1,484,881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894,307</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60,072</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1,314,735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834,235</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5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Shares used to compute earnings per common share - basic</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368,476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368,791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368,834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368,417</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per common share - diluted</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371,857</w:t>
            </w:r>
          </w:p>
        </w:tc>
      </w:tr>
      <w:tr>
        <w:trPr>
          <w:trHeight w:val="257"/>
        </w:trPr>
        <w:tc>
          <w:tcPr>
            <w:tcW w:w="5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2.24</w:t>
            </w:r>
          </w:p>
        </w:tc>
      </w:tr>
    </w:tbl>
    <w:p>
      <w:pPr>
        <w:sectPr>
          <w:pgSz w:w="11900" w:h="16838" w:orient="portrait"/>
          <w:cols w:equalWidth="0" w:num="1">
            <w:col w:w="11240"/>
          </w:cols>
          <w:pgMar w:left="320" w:top="891"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2"/>
          </w:tcPr>
          <w:p>
            <w:pPr>
              <w:ind w:left="260"/>
              <w:spacing w:after="0"/>
              <w:rPr>
                <w:sz w:val="20"/>
                <w:szCs w:val="20"/>
                <w:color w:val="auto"/>
              </w:rPr>
            </w:pPr>
            <w:r>
              <w:rPr>
                <w:rFonts w:ascii="Arial" w:cs="Arial" w:eastAsia="Arial" w:hAnsi="Arial"/>
                <w:sz w:val="18"/>
                <w:szCs w:val="18"/>
                <w:b w:val="1"/>
                <w:bCs w:val="1"/>
                <w:color w:val="auto"/>
              </w:rPr>
              <w:t>Jul. 31, 2021</w:t>
            </w:r>
          </w:p>
        </w:tc>
        <w:tc>
          <w:tcPr>
            <w:tcW w:w="340" w:type="dxa"/>
            <w:vAlign w:val="bottom"/>
          </w:tcPr>
          <w:p>
            <w:pPr>
              <w:spacing w:after="0"/>
              <w:rPr>
                <w:sz w:val="20"/>
                <w:szCs w:val="20"/>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Oct. 31, 2020</w:t>
            </w:r>
          </w:p>
        </w:tc>
      </w:tr>
      <w:tr>
        <w:trPr>
          <w:trHeight w:val="223"/>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1,480,701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1,055,860</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823,163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737,536</w:t>
            </w:r>
          </w:p>
        </w:tc>
      </w:tr>
      <w:tr>
        <w:trPr>
          <w:trHeight w:val="22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608,260</w:t>
            </w:r>
          </w:p>
        </w:tc>
      </w:tr>
      <w:tr>
        <w:trPr>
          <w:trHeight w:val="229"/>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116,032</w:t>
            </w:r>
          </w:p>
        </w:tc>
      </w:tr>
      <w:tr>
        <w:trPr>
          <w:trHeight w:val="223"/>
        </w:trPr>
        <w:tc>
          <w:tcPr>
            <w:tcW w:w="6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2,517,688</w:t>
            </w: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Net property, plant and equipment</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1,173,674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1,120,561</w:t>
            </w:r>
          </w:p>
        </w:tc>
      </w:tr>
      <w:tr>
        <w:trPr>
          <w:trHeight w:val="23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86,729</w:t>
            </w: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12,278,898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12,278,425</w:t>
            </w:r>
          </w:p>
        </w:tc>
      </w:tr>
      <w:tr>
        <w:trPr>
          <w:trHeight w:val="23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3,248,802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3,650,280</w:t>
            </w: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1,425,293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1,503,064</w:t>
            </w:r>
          </w:p>
        </w:tc>
      </w:tr>
      <w:tr>
        <w:trPr>
          <w:trHeight w:val="22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311,856</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21,641,190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21,468,603</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1,468,665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1,364,986</w:t>
            </w:r>
          </w:p>
        </w:tc>
      </w:tr>
      <w:tr>
        <w:trPr>
          <w:trHeight w:val="22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Debt, current</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3,824,819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5,145,102</w:t>
            </w:r>
          </w:p>
        </w:tc>
      </w:tr>
      <w:tr>
        <w:trPr>
          <w:trHeight w:val="23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1,919,595</w:t>
            </w: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982,758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1,040,975</w:t>
            </w:r>
          </w:p>
        </w:tc>
      </w:tr>
      <w:tr>
        <w:trPr>
          <w:trHeight w:val="23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12,263,963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11,997,945</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Total liabilities &amp;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21,641,190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21,468,603</w:t>
            </w: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891"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22860</wp:posOffset>
            </wp:positionV>
            <wp:extent cx="3951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45" w:lineRule="exact"/>
        <w:rPr>
          <w:sz w:val="20"/>
          <w:szCs w:val="20"/>
          <w:color w:val="auto"/>
        </w:rPr>
      </w:pPr>
    </w:p>
    <w:p>
      <w:pPr>
        <w:jc w:val="center"/>
        <w:ind w:left="52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1928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16" w:lineRule="exact"/>
        <w:rPr>
          <w:sz w:val="20"/>
          <w:szCs w:val="20"/>
          <w:color w:val="auto"/>
        </w:rPr>
      </w:pPr>
    </w:p>
    <w:p>
      <w:pPr>
        <w:ind w:left="5260"/>
        <w:spacing w:after="0"/>
        <w:tabs>
          <w:tab w:leader="none" w:pos="6820" w:val="left"/>
        </w:tabs>
        <w:rPr>
          <w:sz w:val="20"/>
          <w:szCs w:val="20"/>
          <w:color w:val="auto"/>
        </w:rPr>
      </w:pPr>
      <w:r>
        <w:rPr>
          <w:rFonts w:ascii="Arial" w:cs="Arial" w:eastAsia="Arial" w:hAnsi="Arial"/>
          <w:sz w:val="18"/>
          <w:szCs w:val="18"/>
          <w:b w:val="1"/>
          <w:bCs w:val="1"/>
          <w:color w:val="auto"/>
        </w:rPr>
        <w:t>Jul. 31, 2021</w:t>
      </w:r>
      <w:r>
        <w:rPr>
          <w:sz w:val="20"/>
          <w:szCs w:val="20"/>
          <w:color w:val="auto"/>
        </w:rPr>
        <w:tab/>
      </w:r>
      <w:r>
        <w:rPr>
          <w:rFonts w:ascii="Arial" w:cs="Arial" w:eastAsia="Arial" w:hAnsi="Arial"/>
          <w:sz w:val="16"/>
          <w:szCs w:val="16"/>
          <w:b w:val="1"/>
          <w:bCs w:val="1"/>
          <w:color w:val="auto"/>
        </w:rPr>
        <w:t>Aug. 1, 2020</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17145</wp:posOffset>
            </wp:positionV>
            <wp:extent cx="1954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16"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Jul. 31, 2021</w:t>
      </w:r>
      <w:r>
        <w:rPr>
          <w:sz w:val="20"/>
          <w:szCs w:val="20"/>
          <w:color w:val="auto"/>
        </w:rPr>
        <w:tab/>
      </w:r>
      <w:r>
        <w:rPr>
          <w:rFonts w:ascii="Arial" w:cs="Arial" w:eastAsia="Arial" w:hAnsi="Arial"/>
          <w:sz w:val="16"/>
          <w:szCs w:val="16"/>
          <w:b w:val="1"/>
          <w:bCs w:val="1"/>
          <w:color w:val="auto"/>
        </w:rPr>
        <w:t>Aug. 1, 2020</w:t>
      </w:r>
    </w:p>
    <w:p>
      <w:pPr>
        <w:spacing w:after="0" w:line="27" w:lineRule="exact"/>
        <w:rPr>
          <w:sz w:val="20"/>
          <w:szCs w:val="20"/>
          <w:color w:val="auto"/>
        </w:rPr>
      </w:pPr>
    </w:p>
    <w:p>
      <w:pPr>
        <w:sectPr>
          <w:pgSz w:w="11900" w:h="16838" w:orient="portrait"/>
          <w:cols w:equalWidth="0" w:num="2">
            <w:col w:w="7800" w:space="620"/>
            <w:col w:w="282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503,311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362,665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1,314,735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834,235</w:t>
            </w:r>
          </w:p>
        </w:tc>
      </w:tr>
      <w:tr>
        <w:trPr>
          <w:trHeight w:val="175"/>
        </w:trPr>
        <w:tc>
          <w:tcPr>
            <w:tcW w:w="5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to reconcile net income to net cash provided by</w:t>
            </w: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02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50,162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57,598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158,937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176,722</w:t>
            </w:r>
          </w:p>
        </w:tc>
      </w:tr>
      <w:tr>
        <w:trPr>
          <w:trHeight w:val="229"/>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145,989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143,865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436,734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431,985</w:t>
            </w:r>
          </w:p>
        </w:tc>
      </w:tr>
      <w:tr>
        <w:trPr>
          <w:trHeight w:val="230"/>
        </w:trPr>
        <w:tc>
          <w:tcPr>
            <w:tcW w:w="502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41,687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39,560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118,683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112,961</w:t>
            </w:r>
          </w:p>
        </w:tc>
      </w:tr>
      <w:tr>
        <w:trPr>
          <w:trHeight w:val="229"/>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property, plant and equipment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(13,557)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(13,557)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(24,286)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(7,412)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(72,578)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(42,802)</w:t>
            </w:r>
          </w:p>
        </w:tc>
      </w:tr>
      <w:tr>
        <w:trPr>
          <w:trHeight w:val="229"/>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contribution to charitable foundation</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40,000</w:t>
            </w:r>
          </w:p>
        </w:tc>
      </w:tr>
      <w:tr>
        <w:trPr>
          <w:trHeight w:val="229"/>
        </w:trPr>
        <w:tc>
          <w:tcPr>
            <w:tcW w:w="5020" w:type="dxa"/>
            <w:vAlign w:val="bottom"/>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(14,965)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5,675</w:t>
            </w:r>
          </w:p>
        </w:tc>
      </w:tr>
      <w:tr>
        <w:trPr>
          <w:trHeight w:val="230"/>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(70,422)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(40,950)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(133,644)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(222,887)</w:t>
            </w:r>
          </w:p>
        </w:tc>
      </w:tr>
      <w:tr>
        <w:trPr>
          <w:trHeight w:val="223"/>
        </w:trPr>
        <w:tc>
          <w:tcPr>
            <w:tcW w:w="50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adjustments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126,730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194,535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479,610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501,654</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630,041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557,200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1,794,345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1,335,889</w:t>
            </w:r>
          </w:p>
        </w:tc>
      </w:tr>
      <w:tr>
        <w:trPr>
          <w:trHeight w:val="223"/>
        </w:trPr>
        <w:tc>
          <w:tcPr>
            <w:tcW w:w="5020" w:type="dxa"/>
            <w:vAlign w:val="bottom"/>
          </w:tcPr>
          <w:p>
            <w:pPr>
              <w:ind w:left="160"/>
              <w:spacing w:after="0"/>
              <w:rPr>
                <w:sz w:val="20"/>
                <w:szCs w:val="20"/>
                <w:color w:val="auto"/>
              </w:rPr>
            </w:pPr>
            <w:r>
              <w:rPr>
                <w:rFonts w:ascii="Arial" w:cs="Arial" w:eastAsia="Arial" w:hAnsi="Arial"/>
                <w:sz w:val="18"/>
                <w:szCs w:val="18"/>
                <w:color w:val="auto"/>
              </w:rPr>
              <w:t>Percent of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8"/>
                <w:szCs w:val="18"/>
                <w:color w:val="auto"/>
              </w:rPr>
              <w:t>Proceeds from other investments</w:t>
            </w:r>
          </w:p>
        </w:tc>
        <w:tc>
          <w:tcPr>
            <w:tcW w:w="3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22,215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(86,341)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(20,804)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(212,899)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(135,804)</w:t>
            </w:r>
          </w:p>
        </w:tc>
      </w:tr>
      <w:tr>
        <w:trPr>
          <w:trHeight w:val="229"/>
        </w:trPr>
        <w:tc>
          <w:tcPr>
            <w:tcW w:w="5020" w:type="dxa"/>
            <w:vAlign w:val="bottom"/>
          </w:tcPr>
          <w:p>
            <w:pPr>
              <w:ind w:left="120"/>
              <w:spacing w:after="0"/>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35,714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35,714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for acquisitions, net of cash acquired</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(24,950)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(12,763)</w:t>
            </w:r>
          </w:p>
        </w:tc>
      </w:tr>
      <w:tr>
        <w:trPr>
          <w:trHeight w:val="229"/>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Changes in other assets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(1,214)</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(47,512)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(33,497)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(183,280)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(149,781)</w:t>
            </w:r>
          </w:p>
        </w:tc>
      </w:tr>
      <w:tr>
        <w:trPr>
          <w:trHeight w:val="250"/>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020" w:type="dxa"/>
            <w:vAlign w:val="bottom"/>
          </w:tcPr>
          <w:p>
            <w:pPr>
              <w:ind w:left="120"/>
              <w:spacing w:after="0"/>
              <w:rPr>
                <w:sz w:val="20"/>
                <w:szCs w:val="20"/>
                <w:color w:val="auto"/>
              </w:rPr>
            </w:pPr>
            <w:r>
              <w:rPr>
                <w:rFonts w:ascii="Arial" w:cs="Arial" w:eastAsia="Arial" w:hAnsi="Arial"/>
                <w:sz w:val="18"/>
                <w:szCs w:val="18"/>
                <w:color w:val="auto"/>
              </w:rPr>
              <w:t>Proceeds from debt</w:t>
            </w:r>
          </w:p>
        </w:tc>
        <w:tc>
          <w:tcPr>
            <w:tcW w:w="3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395,646</w:t>
            </w:r>
          </w:p>
        </w:tc>
      </w:tr>
      <w:tr>
        <w:trPr>
          <w:trHeight w:val="230"/>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on revolver</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(350,000)</w:t>
            </w:r>
          </w:p>
        </w:tc>
      </w:tr>
      <w:tr>
        <w:trPr>
          <w:trHeight w:val="230"/>
        </w:trPr>
        <w:tc>
          <w:tcPr>
            <w:tcW w:w="5020" w:type="dxa"/>
            <w:vAlign w:val="bottom"/>
          </w:tcPr>
          <w:p>
            <w:pPr>
              <w:ind w:left="120"/>
              <w:spacing w:after="0"/>
              <w:rPr>
                <w:sz w:val="20"/>
                <w:szCs w:val="20"/>
                <w:color w:val="auto"/>
              </w:rPr>
            </w:pPr>
            <w:r>
              <w:rPr>
                <w:rFonts w:ascii="Arial" w:cs="Arial" w:eastAsia="Arial" w:hAnsi="Arial"/>
                <w:sz w:val="18"/>
                <w:szCs w:val="18"/>
                <w:color w:val="auto"/>
              </w:rPr>
              <w:t>Proceeds from revolver</w:t>
            </w:r>
          </w:p>
        </w:tc>
        <w:tc>
          <w:tcPr>
            <w:tcW w:w="3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350,000</w:t>
            </w:r>
          </w:p>
        </w:tc>
      </w:tr>
      <w:tr>
        <w:trPr>
          <w:trHeight w:val="229"/>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repayments</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(300,000)</w:t>
            </w:r>
          </w:p>
        </w:tc>
      </w:tr>
      <w:tr>
        <w:trPr>
          <w:trHeight w:val="230"/>
        </w:trPr>
        <w:tc>
          <w:tcPr>
            <w:tcW w:w="5020" w:type="dxa"/>
            <w:vAlign w:val="bottom"/>
          </w:tcPr>
          <w:p>
            <w:pPr>
              <w:ind w:left="120"/>
              <w:spacing w:after="0"/>
              <w:rPr>
                <w:sz w:val="20"/>
                <w:szCs w:val="20"/>
                <w:color w:val="auto"/>
              </w:rPr>
            </w:pPr>
            <w:r>
              <w:rPr>
                <w:rFonts w:ascii="Arial" w:cs="Arial" w:eastAsia="Arial" w:hAnsi="Arial"/>
                <w:sz w:val="18"/>
                <w:szCs w:val="18"/>
                <w:color w:val="auto"/>
              </w:rPr>
              <w:t>Dividend payments to shareholders</w:t>
            </w:r>
          </w:p>
        </w:tc>
        <w:tc>
          <w:tcPr>
            <w:tcW w:w="30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(254,506)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(228,798)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(738,114)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(656,558)</w:t>
            </w:r>
          </w:p>
        </w:tc>
      </w:tr>
      <w:tr>
        <w:trPr>
          <w:trHeight w:val="230"/>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(163,281)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(17,651)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(509,152)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(237,265)</w:t>
            </w:r>
          </w:p>
        </w:tc>
      </w:tr>
      <w:tr>
        <w:trPr>
          <w:trHeight w:val="230"/>
        </w:trPr>
        <w:tc>
          <w:tcPr>
            <w:tcW w:w="5020" w:type="dxa"/>
            <w:vAlign w:val="bottom"/>
          </w:tcPr>
          <w:p>
            <w:pPr>
              <w:ind w:left="120"/>
              <w:spacing w:after="0"/>
              <w:rPr>
                <w:sz w:val="20"/>
                <w:szCs w:val="20"/>
                <w:color w:val="auto"/>
              </w:rPr>
            </w:pPr>
            <w:r>
              <w:rPr>
                <w:rFonts w:ascii="Arial" w:cs="Arial" w:eastAsia="Arial" w:hAnsi="Arial"/>
                <w:sz w:val="18"/>
                <w:szCs w:val="18"/>
                <w:color w:val="auto"/>
              </w:rPr>
              <w:t>Proceeds from employee stock plans</w:t>
            </w:r>
          </w:p>
        </w:tc>
        <w:tc>
          <w:tcPr>
            <w:tcW w:w="30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11,676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26,853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55,348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57,750</w:t>
            </w:r>
          </w:p>
        </w:tc>
      </w:tr>
      <w:tr>
        <w:trPr>
          <w:trHeight w:val="229"/>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other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(4,015)</w:t>
            </w: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for financing activities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(406,558)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(219,160)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(1,189,966)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(744,442)</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3,742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276</w:t>
            </w:r>
          </w:p>
        </w:tc>
      </w:tr>
      <w:tr>
        <w:trPr>
          <w:trHeight w:val="250"/>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175,485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305,327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424,841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441,942</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1,305,216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784,937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1,055,860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648,322</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1,480,701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1,090,264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1,480,701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1,090,264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9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TRENDS BY END MARKET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r>
      <w:tr>
        <w:trPr>
          <w:trHeight w:val="223"/>
        </w:trPr>
        <w:tc>
          <w:tcPr>
            <w:tcW w:w="2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July 31, 2021</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August 1, 2020</w:t>
            </w:r>
          </w:p>
        </w:tc>
      </w:tr>
      <w:tr>
        <w:trPr>
          <w:trHeight w:val="223"/>
        </w:trPr>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w:t>
            </w:r>
          </w:p>
        </w:tc>
        <w:tc>
          <w:tcPr>
            <w:tcW w:w="1680" w:type="dxa"/>
            <w:vAlign w:val="bottom"/>
          </w:tcPr>
          <w:p>
            <w:pPr>
              <w:ind w:left="380"/>
              <w:spacing w:after="0" w:line="223" w:lineRule="exact"/>
              <w:rPr>
                <w:sz w:val="20"/>
                <w:szCs w:val="20"/>
                <w:color w:val="auto"/>
              </w:rPr>
            </w:pPr>
            <w:r>
              <w:rPr>
                <w:rFonts w:ascii="Arial" w:cs="Arial" w:eastAsia="Arial" w:hAnsi="Arial"/>
                <w:sz w:val="18"/>
                <w:szCs w:val="18"/>
                <w:b w:val="1"/>
                <w:bCs w:val="1"/>
                <w:color w:val="auto"/>
              </w:rPr>
              <w:t>% of Revenue</w:t>
            </w:r>
            <w:r>
              <w:rPr>
                <w:rFonts w:ascii="Arial" w:cs="Arial" w:eastAsia="Arial" w:hAnsi="Arial"/>
                <w:sz w:val="23"/>
                <w:szCs w:val="23"/>
                <w:b w:val="1"/>
                <w:bCs w:val="1"/>
                <w:i w:val="1"/>
                <w:iCs w:val="1"/>
                <w:color w:val="auto"/>
                <w:vertAlign w:val="superscript"/>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rPr>
              <w:t>Y/Y%</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w:t>
            </w:r>
          </w:p>
        </w:tc>
        <w:tc>
          <w:tcPr>
            <w:tcW w:w="1920" w:type="dxa"/>
            <w:vAlign w:val="bottom"/>
          </w:tcPr>
          <w:p>
            <w:pPr>
              <w:ind w:left="400"/>
              <w:spacing w:after="0" w:line="223" w:lineRule="exact"/>
              <w:rPr>
                <w:sz w:val="20"/>
                <w:szCs w:val="20"/>
                <w:color w:val="auto"/>
              </w:rPr>
            </w:pPr>
            <w:r>
              <w:rPr>
                <w:rFonts w:ascii="Arial" w:cs="Arial" w:eastAsia="Arial" w:hAnsi="Arial"/>
                <w:sz w:val="18"/>
                <w:szCs w:val="18"/>
                <w:b w:val="1"/>
                <w:bCs w:val="1"/>
                <w:color w:val="auto"/>
              </w:rPr>
              <w:t>% of Revenue</w:t>
            </w:r>
            <w:r>
              <w:rPr>
                <w:rFonts w:ascii="Arial" w:cs="Arial" w:eastAsia="Arial" w:hAnsi="Arial"/>
                <w:sz w:val="23"/>
                <w:szCs w:val="23"/>
                <w:b w:val="1"/>
                <w:bCs w:val="1"/>
                <w:i w:val="1"/>
                <w:iCs w:val="1"/>
                <w:color w:val="auto"/>
                <w:vertAlign w:val="superscript"/>
              </w:rPr>
              <w:t>1</w:t>
            </w:r>
          </w:p>
        </w:tc>
      </w:tr>
      <w:tr>
        <w:trPr>
          <w:trHeight w:val="223"/>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1,001,867</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color w:val="auto"/>
                <w:w w:val="94"/>
              </w:rPr>
              <w:t>57%</w:t>
            </w: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778,361</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53%</w:t>
            </w: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288,743</w:t>
            </w:r>
          </w:p>
        </w:tc>
        <w:tc>
          <w:tcPr>
            <w:tcW w:w="100" w:type="dxa"/>
            <w:vAlign w:val="bottom"/>
          </w:tcPr>
          <w:p>
            <w:pPr>
              <w:spacing w:after="0"/>
              <w:rPr>
                <w:sz w:val="19"/>
                <w:szCs w:val="19"/>
                <w:color w:val="auto"/>
              </w:rPr>
            </w:pPr>
          </w:p>
        </w:tc>
        <w:tc>
          <w:tcPr>
            <w:tcW w:w="1680" w:type="dxa"/>
            <w:vAlign w:val="bottom"/>
          </w:tcPr>
          <w:p>
            <w:pPr>
              <w:jc w:val="center"/>
              <w:ind w:left="130"/>
              <w:spacing w:after="0"/>
              <w:rPr>
                <w:sz w:val="20"/>
                <w:szCs w:val="20"/>
                <w:color w:val="auto"/>
              </w:rPr>
            </w:pPr>
            <w:r>
              <w:rPr>
                <w:rFonts w:ascii="Arial" w:cs="Arial" w:eastAsia="Arial" w:hAnsi="Arial"/>
                <w:sz w:val="18"/>
                <w:szCs w:val="18"/>
                <w:color w:val="auto"/>
                <w:w w:val="94"/>
              </w:rPr>
              <w:t>16%</w:t>
            </w:r>
          </w:p>
        </w:tc>
        <w:tc>
          <w:tcPr>
            <w:tcW w:w="1580" w:type="dxa"/>
            <w:vAlign w:val="bottom"/>
            <w:gridSpan w:val="3"/>
          </w:tcPr>
          <w:p>
            <w:pPr>
              <w:jc w:val="center"/>
              <w:ind w:left="250"/>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363,304</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25%</w:t>
            </w:r>
          </w:p>
        </w:tc>
      </w:tr>
      <w:tr>
        <w:trPr>
          <w:trHeight w:val="229"/>
        </w:trPr>
        <w:tc>
          <w:tcPr>
            <w:tcW w:w="2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Automotive</w:t>
            </w:r>
            <w:r>
              <w:rPr>
                <w:rFonts w:ascii="Arial" w:cs="Arial" w:eastAsia="Arial" w:hAnsi="Arial"/>
                <w:sz w:val="23"/>
                <w:szCs w:val="23"/>
                <w:i w:val="1"/>
                <w:iCs w:val="1"/>
                <w:color w:val="auto"/>
                <w:vertAlign w:val="superscript"/>
              </w:rPr>
              <w:t>2</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290,077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4"/>
              </w:rPr>
              <w:t>16%</w:t>
            </w:r>
          </w:p>
        </w:tc>
        <w:tc>
          <w:tcPr>
            <w:tcW w:w="1580" w:type="dxa"/>
            <w:vAlign w:val="bottom"/>
            <w:gridSpan w:val="3"/>
            <w:shd w:val="clear" w:color="auto" w:fill="CCEEFF"/>
          </w:tcPr>
          <w:p>
            <w:pPr>
              <w:jc w:val="center"/>
              <w:ind w:left="250"/>
              <w:spacing w:after="0"/>
              <w:rPr>
                <w:sz w:val="20"/>
                <w:szCs w:val="20"/>
                <w:color w:val="auto"/>
              </w:rPr>
            </w:pPr>
            <w:r>
              <w:rPr>
                <w:rFonts w:ascii="Arial" w:cs="Arial" w:eastAsia="Arial" w:hAnsi="Arial"/>
                <w:sz w:val="18"/>
                <w:szCs w:val="18"/>
                <w:color w:val="auto"/>
                <w:w w:val="88"/>
              </w:rPr>
              <w:t>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161,489</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w:t>
            </w:r>
          </w:p>
        </w:tc>
      </w:tr>
      <w:tr>
        <w:trPr>
          <w:trHeight w:val="230"/>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178,166</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4"/>
              </w:rPr>
              <w:t>10%</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152,982</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11%</w:t>
            </w:r>
          </w:p>
        </w:tc>
      </w:tr>
      <w:tr>
        <w:trPr>
          <w:trHeight w:val="243"/>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1,758,853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9"/>
              </w:rPr>
              <w:t>100%</w:t>
            </w: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9"/>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1,456,136</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100%</w:t>
            </w:r>
          </w:p>
        </w:tc>
      </w:tr>
      <w:tr>
        <w:trPr>
          <w:trHeight w:val="20"/>
        </w:trPr>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393"/>
        </w:trPr>
        <w:tc>
          <w:tcPr>
            <w:tcW w:w="2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r>
      <w:tr>
        <w:trPr>
          <w:trHeight w:val="223"/>
        </w:trPr>
        <w:tc>
          <w:tcPr>
            <w:tcW w:w="2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July 31, 2021</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August 1, 2020</w:t>
            </w:r>
          </w:p>
        </w:tc>
      </w:tr>
      <w:tr>
        <w:trPr>
          <w:trHeight w:val="223"/>
        </w:trPr>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w:t>
            </w:r>
          </w:p>
        </w:tc>
        <w:tc>
          <w:tcPr>
            <w:tcW w:w="1680" w:type="dxa"/>
            <w:vAlign w:val="bottom"/>
          </w:tcPr>
          <w:p>
            <w:pPr>
              <w:ind w:left="420"/>
              <w:spacing w:after="0" w:line="223" w:lineRule="exact"/>
              <w:rPr>
                <w:sz w:val="20"/>
                <w:szCs w:val="20"/>
                <w:color w:val="auto"/>
              </w:rPr>
            </w:pPr>
            <w:r>
              <w:rPr>
                <w:rFonts w:ascii="Arial" w:cs="Arial" w:eastAsia="Arial" w:hAnsi="Arial"/>
                <w:sz w:val="18"/>
                <w:szCs w:val="18"/>
                <w:b w:val="1"/>
                <w:bCs w:val="1"/>
                <w:color w:val="auto"/>
              </w:rPr>
              <w:t>% of revenue</w:t>
            </w:r>
            <w:r>
              <w:rPr>
                <w:rFonts w:ascii="Arial" w:cs="Arial" w:eastAsia="Arial" w:hAnsi="Arial"/>
                <w:sz w:val="23"/>
                <w:szCs w:val="23"/>
                <w:b w:val="1"/>
                <w:bCs w:val="1"/>
                <w:i w:val="1"/>
                <w:iCs w:val="1"/>
                <w:color w:val="auto"/>
                <w:vertAlign w:val="superscript"/>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rPr>
              <w:t>Y/Y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w:t>
            </w:r>
          </w:p>
        </w:tc>
        <w:tc>
          <w:tcPr>
            <w:tcW w:w="1920" w:type="dxa"/>
            <w:vAlign w:val="bottom"/>
          </w:tcPr>
          <w:p>
            <w:pPr>
              <w:ind w:left="420"/>
              <w:spacing w:after="0" w:line="223" w:lineRule="exact"/>
              <w:rPr>
                <w:sz w:val="20"/>
                <w:szCs w:val="20"/>
                <w:color w:val="auto"/>
              </w:rPr>
            </w:pPr>
            <w:r>
              <w:rPr>
                <w:rFonts w:ascii="Arial" w:cs="Arial" w:eastAsia="Arial" w:hAnsi="Arial"/>
                <w:sz w:val="18"/>
                <w:szCs w:val="18"/>
                <w:b w:val="1"/>
                <w:bCs w:val="1"/>
                <w:color w:val="auto"/>
              </w:rPr>
              <w:t>% of revenue</w:t>
            </w:r>
            <w:r>
              <w:rPr>
                <w:rFonts w:ascii="Arial" w:cs="Arial" w:eastAsia="Arial" w:hAnsi="Arial"/>
                <w:sz w:val="23"/>
                <w:szCs w:val="23"/>
                <w:b w:val="1"/>
                <w:bCs w:val="1"/>
                <w:i w:val="1"/>
                <w:iCs w:val="1"/>
                <w:color w:val="auto"/>
                <w:vertAlign w:val="superscript"/>
              </w:rPr>
              <w:t>1</w:t>
            </w:r>
          </w:p>
        </w:tc>
      </w:tr>
      <w:tr>
        <w:trPr>
          <w:trHeight w:val="223"/>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2,829,648</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ind w:left="130"/>
              <w:spacing w:after="0"/>
              <w:rPr>
                <w:sz w:val="20"/>
                <w:szCs w:val="20"/>
                <w:color w:val="auto"/>
              </w:rPr>
            </w:pPr>
            <w:r>
              <w:rPr>
                <w:rFonts w:ascii="Arial" w:cs="Arial" w:eastAsia="Arial" w:hAnsi="Arial"/>
                <w:sz w:val="18"/>
                <w:szCs w:val="18"/>
                <w:color w:val="auto"/>
                <w:w w:val="94"/>
              </w:rPr>
              <w:t>57%</w:t>
            </w: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2,184,413</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54%</w:t>
            </w: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847,632</w:t>
            </w:r>
          </w:p>
        </w:tc>
        <w:tc>
          <w:tcPr>
            <w:tcW w:w="100" w:type="dxa"/>
            <w:vAlign w:val="bottom"/>
          </w:tcPr>
          <w:p>
            <w:pPr>
              <w:spacing w:after="0"/>
              <w:rPr>
                <w:sz w:val="19"/>
                <w:szCs w:val="19"/>
                <w:color w:val="auto"/>
              </w:rPr>
            </w:pPr>
          </w:p>
        </w:tc>
        <w:tc>
          <w:tcPr>
            <w:tcW w:w="1680" w:type="dxa"/>
            <w:vAlign w:val="bottom"/>
          </w:tcPr>
          <w:p>
            <w:pPr>
              <w:jc w:val="center"/>
              <w:ind w:left="130"/>
              <w:spacing w:after="0"/>
              <w:rPr>
                <w:sz w:val="20"/>
                <w:szCs w:val="20"/>
                <w:color w:val="auto"/>
              </w:rPr>
            </w:pPr>
            <w:r>
              <w:rPr>
                <w:rFonts w:ascii="Arial" w:cs="Arial" w:eastAsia="Arial" w:hAnsi="Arial"/>
                <w:sz w:val="18"/>
                <w:szCs w:val="18"/>
                <w:color w:val="auto"/>
                <w:w w:val="94"/>
              </w:rPr>
              <w:t>17%</w:t>
            </w:r>
          </w:p>
        </w:tc>
        <w:tc>
          <w:tcPr>
            <w:tcW w:w="1580" w:type="dxa"/>
            <w:vAlign w:val="bottom"/>
            <w:gridSpan w:val="3"/>
          </w:tcPr>
          <w:p>
            <w:pPr>
              <w:jc w:val="center"/>
              <w:ind w:left="250"/>
              <w:spacing w:after="0"/>
              <w:rPr>
                <w:sz w:val="20"/>
                <w:szCs w:val="20"/>
                <w:color w:val="auto"/>
              </w:rPr>
            </w:pPr>
            <w:r>
              <w:rPr>
                <w:rFonts w:ascii="Arial" w:cs="Arial" w:eastAsia="Arial" w:hAnsi="Arial"/>
                <w:sz w:val="18"/>
                <w:szCs w:val="18"/>
                <w:color w:val="auto"/>
                <w:w w:val="94"/>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880,633</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22%</w:t>
            </w:r>
          </w:p>
        </w:tc>
      </w:tr>
      <w:tr>
        <w:trPr>
          <w:trHeight w:val="230"/>
        </w:trPr>
        <w:tc>
          <w:tcPr>
            <w:tcW w:w="2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Automotive</w:t>
            </w:r>
            <w:r>
              <w:rPr>
                <w:rFonts w:ascii="Arial" w:cs="Arial" w:eastAsia="Arial" w:hAnsi="Arial"/>
                <w:sz w:val="23"/>
                <w:szCs w:val="23"/>
                <w:i w:val="1"/>
                <w:iCs w:val="1"/>
                <w:color w:val="auto"/>
                <w:vertAlign w:val="superscript"/>
              </w:rPr>
              <w:t>2</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793,443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4"/>
              </w:rPr>
              <w:t>16%</w:t>
            </w:r>
          </w:p>
        </w:tc>
        <w:tc>
          <w:tcPr>
            <w:tcW w:w="1580" w:type="dxa"/>
            <w:vAlign w:val="bottom"/>
            <w:gridSpan w:val="3"/>
            <w:shd w:val="clear" w:color="auto" w:fill="CCEEFF"/>
          </w:tcPr>
          <w:p>
            <w:pPr>
              <w:jc w:val="center"/>
              <w:ind w:left="250"/>
              <w:spacing w:after="0"/>
              <w:rPr>
                <w:sz w:val="20"/>
                <w:szCs w:val="20"/>
                <w:color w:val="auto"/>
              </w:rPr>
            </w:pPr>
            <w:r>
              <w:rPr>
                <w:rFonts w:ascii="Arial" w:cs="Arial" w:eastAsia="Arial" w:hAnsi="Arial"/>
                <w:sz w:val="18"/>
                <w:szCs w:val="18"/>
                <w:color w:val="auto"/>
                <w:w w:val="88"/>
              </w:rPr>
              <w:t>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548,002</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w:t>
            </w:r>
          </w:p>
        </w:tc>
      </w:tr>
      <w:tr>
        <w:trPr>
          <w:trHeight w:val="230"/>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507,995</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4"/>
              </w:rPr>
              <w:t>10%</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88"/>
              </w:rPr>
              <w:t>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463,713</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11%</w:t>
            </w:r>
          </w:p>
        </w:tc>
      </w:tr>
      <w:tr>
        <w:trPr>
          <w:trHeight w:val="24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4,978,718</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9"/>
              </w:rPr>
              <w:t>100%</w:t>
            </w:r>
          </w:p>
        </w:tc>
        <w:tc>
          <w:tcPr>
            <w:tcW w:w="1580" w:type="dxa"/>
            <w:vAlign w:val="bottom"/>
            <w:gridSpan w:val="3"/>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99"/>
              </w:rPr>
              <w:t>22%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4,076,761</w:t>
            </w: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100%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20" w:hanging="194"/>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sum of the individual percentages may not equal the total due to rounding.</w:t>
      </w:r>
    </w:p>
    <w:p>
      <w:pPr>
        <w:spacing w:after="0" w:line="23" w:lineRule="exact"/>
        <w:rPr>
          <w:rFonts w:ascii="Arial" w:cs="Arial" w:eastAsia="Arial" w:hAnsi="Arial"/>
          <w:sz w:val="18"/>
          <w:szCs w:val="18"/>
          <w:color w:val="auto"/>
        </w:rPr>
      </w:pPr>
    </w:p>
    <w:p>
      <w:pPr>
        <w:ind w:left="220" w:hanging="194"/>
        <w:spacing w:after="0"/>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$24.1 million of revenue immediately recognized in the third quarter of fiscal 2021 from an intellectual property licensing agreement.</w:t>
      </w:r>
    </w:p>
    <w:p>
      <w:pPr>
        <w:sectPr>
          <w:pgSz w:w="11900" w:h="16838" w:orient="portrait"/>
          <w:cols w:equalWidth="0" w:num="1">
            <w:col w:w="11240"/>
          </w:cols>
          <w:pgMar w:left="320" w:top="89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GAAP TO NON-GAAP RESULTS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22860</wp:posOffset>
            </wp:positionV>
            <wp:extent cx="4354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p>
      <w:pPr>
        <w:spacing w:after="0" w:line="49" w:lineRule="exact"/>
        <w:rPr>
          <w:sz w:val="20"/>
          <w:szCs w:val="20"/>
          <w:color w:val="auto"/>
        </w:rPr>
      </w:pPr>
    </w:p>
    <w:p>
      <w:pPr>
        <w:jc w:val="center"/>
        <w:ind w:left="46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20320</wp:posOffset>
            </wp:positionV>
            <wp:extent cx="2143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6" w:lineRule="exact"/>
        <w:rPr>
          <w:sz w:val="20"/>
          <w:szCs w:val="20"/>
          <w:color w:val="auto"/>
        </w:rPr>
      </w:pPr>
    </w:p>
    <w:p>
      <w:pPr>
        <w:ind w:left="4760"/>
        <w:spacing w:after="0"/>
        <w:tabs>
          <w:tab w:leader="none" w:pos="6500" w:val="left"/>
        </w:tabs>
        <w:rPr>
          <w:sz w:val="20"/>
          <w:szCs w:val="20"/>
          <w:color w:val="auto"/>
        </w:rPr>
      </w:pPr>
      <w:r>
        <w:rPr>
          <w:rFonts w:ascii="Arial" w:cs="Arial" w:eastAsia="Arial" w:hAnsi="Arial"/>
          <w:sz w:val="16"/>
          <w:szCs w:val="16"/>
          <w:b w:val="1"/>
          <w:bCs w:val="1"/>
          <w:color w:val="auto"/>
        </w:rPr>
        <w:t>Jul. 31, 2021</w:t>
      </w:r>
      <w:r>
        <w:rPr>
          <w:sz w:val="20"/>
          <w:szCs w:val="20"/>
          <w:color w:val="auto"/>
        </w:rPr>
        <w:tab/>
      </w:r>
      <w:r>
        <w:rPr>
          <w:rFonts w:ascii="Arial" w:cs="Arial" w:eastAsia="Arial" w:hAnsi="Arial"/>
          <w:sz w:val="14"/>
          <w:szCs w:val="14"/>
          <w:b w:val="1"/>
          <w:bCs w:val="1"/>
          <w:color w:val="auto"/>
        </w:rPr>
        <w:t>Aug. 1, 2020</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20320</wp:posOffset>
            </wp:positionV>
            <wp:extent cx="2143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6"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b w:val="1"/>
          <w:bCs w:val="1"/>
          <w:color w:val="auto"/>
        </w:rPr>
        <w:t>Jul. 31, 2021</w:t>
      </w:r>
      <w:r>
        <w:rPr>
          <w:sz w:val="20"/>
          <w:szCs w:val="20"/>
          <w:color w:val="auto"/>
        </w:rPr>
        <w:tab/>
      </w:r>
      <w:r>
        <w:rPr>
          <w:rFonts w:ascii="Arial" w:cs="Arial" w:eastAsia="Arial" w:hAnsi="Arial"/>
          <w:sz w:val="14"/>
          <w:szCs w:val="14"/>
          <w:b w:val="1"/>
          <w:bCs w:val="1"/>
          <w:color w:val="auto"/>
        </w:rPr>
        <w:t>Aug. 1, 2020</w:t>
      </w:r>
    </w:p>
    <w:p>
      <w:pPr>
        <w:spacing w:after="0" w:line="26" w:lineRule="exact"/>
        <w:rPr>
          <w:sz w:val="20"/>
          <w:szCs w:val="20"/>
          <w:color w:val="auto"/>
        </w:rPr>
      </w:pPr>
    </w:p>
    <w:p>
      <w:pPr>
        <w:sectPr>
          <w:pgSz w:w="11900" w:h="16838" w:orient="portrait"/>
          <w:cols w:equalWidth="0" w:num="2">
            <w:col w:w="7520" w:space="720"/>
            <w:col w:w="300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1,221,184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972,578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3,403,192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2,667,394</w:t>
            </w:r>
          </w:p>
        </w:tc>
      </w:tr>
      <w:tr>
        <w:trPr>
          <w:trHeight w:val="230"/>
        </w:trPr>
        <w:tc>
          <w:tcPr>
            <w:tcW w:w="4380" w:type="dxa"/>
            <w:vAlign w:val="bottom"/>
          </w:tcPr>
          <w:p>
            <w:pPr>
              <w:ind w:left="100"/>
              <w:spacing w:after="0"/>
              <w:rPr>
                <w:sz w:val="20"/>
                <w:szCs w:val="20"/>
                <w:color w:val="auto"/>
              </w:rPr>
            </w:pPr>
            <w:r>
              <w:rPr>
                <w:rFonts w:ascii="Arial" w:cs="Arial" w:eastAsia="Arial" w:hAnsi="Arial"/>
                <w:sz w:val="16"/>
                <w:szCs w:val="16"/>
                <w:color w:val="auto"/>
              </w:rPr>
              <w:t>Gross margin percentage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65.4 %</w:t>
            </w:r>
          </w:p>
        </w:tc>
      </w:tr>
      <w:tr>
        <w:trPr>
          <w:trHeight w:val="229"/>
        </w:trPr>
        <w:tc>
          <w:tcPr>
            <w:tcW w:w="4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37,945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45,222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123,653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134,633</w:t>
            </w:r>
          </w:p>
        </w:tc>
      </w:tr>
      <w:tr>
        <w:trPr>
          <w:trHeight w:val="223"/>
        </w:trPr>
        <w:tc>
          <w:tcPr>
            <w:tcW w:w="4380" w:type="dxa"/>
            <w:vAlign w:val="bottom"/>
          </w:tcPr>
          <w:p>
            <w:pPr>
              <w:ind w:left="20"/>
              <w:spacing w:after="0"/>
              <w:rPr>
                <w:sz w:val="20"/>
                <w:szCs w:val="20"/>
                <w:color w:val="auto"/>
              </w:rPr>
            </w:pPr>
            <w:r>
              <w:rPr>
                <w:rFonts w:ascii="Arial" w:cs="Arial" w:eastAsia="Arial" w:hAnsi="Arial"/>
                <w:sz w:val="16"/>
                <w:szCs w:val="16"/>
                <w:color w:val="auto"/>
              </w:rPr>
              <w:t>Adjusted gross margin</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1,259,129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1,017,800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3,526,845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2,802,027</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4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Adjusted gross margin percentage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68.7 %</w:t>
            </w:r>
          </w:p>
        </w:tc>
      </w:tr>
      <w:tr>
        <w:trPr>
          <w:trHeight w:val="257"/>
        </w:trPr>
        <w:tc>
          <w:tcPr>
            <w:tcW w:w="4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611,538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553,454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1,809,996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1,630,822</w:t>
            </w:r>
          </w:p>
        </w:tc>
      </w:tr>
      <w:tr>
        <w:trPr>
          <w:trHeight w:val="229"/>
        </w:trPr>
        <w:tc>
          <w:tcPr>
            <w:tcW w:w="4380" w:type="dxa"/>
            <w:vAlign w:val="bottom"/>
          </w:tcPr>
          <w:p>
            <w:pPr>
              <w:ind w:left="100"/>
              <w:spacing w:after="0"/>
              <w:rPr>
                <w:sz w:val="20"/>
                <w:szCs w:val="20"/>
                <w:color w:val="auto"/>
              </w:rPr>
            </w:pPr>
            <w:r>
              <w:rPr>
                <w:rFonts w:ascii="Arial" w:cs="Arial" w:eastAsia="Arial" w:hAnsi="Arial"/>
                <w:sz w:val="16"/>
                <w:szCs w:val="16"/>
                <w:color w:val="auto"/>
              </w:rPr>
              <w:t>Percent of revenue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40.0 %</w:t>
            </w:r>
          </w:p>
        </w:tc>
      </w:tr>
      <w:tr>
        <w:trPr>
          <w:trHeight w:val="230"/>
        </w:trPr>
        <w:tc>
          <w:tcPr>
            <w:tcW w:w="4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(109,434)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(110,460)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(329,637)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(333,298)</w:t>
            </w:r>
          </w:p>
        </w:tc>
      </w:tr>
      <w:tr>
        <w:trPr>
          <w:trHeight w:val="229"/>
        </w:trPr>
        <w:tc>
          <w:tcPr>
            <w:tcW w:w="4380" w:type="dxa"/>
            <w:vAlign w:val="bottom"/>
          </w:tcPr>
          <w:p>
            <w:pPr>
              <w:ind w:left="260"/>
              <w:spacing w:after="0"/>
              <w:rPr>
                <w:sz w:val="20"/>
                <w:szCs w:val="20"/>
                <w:color w:val="auto"/>
              </w:rPr>
            </w:pPr>
            <w:r>
              <w:rPr>
                <w:rFonts w:ascii="Arial" w:cs="Arial" w:eastAsia="Arial" w:hAnsi="Arial"/>
                <w:sz w:val="16"/>
                <w:szCs w:val="16"/>
                <w:color w:val="auto"/>
              </w:rPr>
              <w:t>Acquisition related transaction costs</w:t>
            </w:r>
          </w:p>
        </w:tc>
        <w:tc>
          <w:tcPr>
            <w:tcW w:w="40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(18,326)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(9,121)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(56,570)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(9,121)</w:t>
            </w:r>
          </w:p>
        </w:tc>
      </w:tr>
      <w:tr>
        <w:trPr>
          <w:trHeight w:val="229"/>
        </w:trPr>
        <w:tc>
          <w:tcPr>
            <w:tcW w:w="4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Charitable foundation contribution</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(40,000)</w:t>
            </w:r>
          </w:p>
        </w:tc>
      </w:tr>
      <w:tr>
        <w:trPr>
          <w:trHeight w:val="230"/>
        </w:trPr>
        <w:tc>
          <w:tcPr>
            <w:tcW w:w="43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Restructuring related expense, net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8,938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(31,830)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8,189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(44,287)</w:t>
            </w: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operating expenses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492,716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402,043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1,431,978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1,204,116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380" w:type="dxa"/>
            <w:vAlign w:val="bottom"/>
          </w:tcPr>
          <w:p>
            <w:pPr>
              <w:ind w:left="100"/>
              <w:spacing w:after="0"/>
              <w:rPr>
                <w:sz w:val="20"/>
                <w:szCs w:val="20"/>
                <w:color w:val="auto"/>
              </w:rPr>
            </w:pPr>
            <w:r>
              <w:rPr>
                <w:rFonts w:ascii="Arial" w:cs="Arial" w:eastAsia="Arial" w:hAnsi="Arial"/>
                <w:sz w:val="16"/>
                <w:szCs w:val="16"/>
                <w:color w:val="auto"/>
              </w:rPr>
              <w:t>Adjusted operating expenses percentage</w:t>
            </w:r>
          </w:p>
        </w:tc>
        <w:tc>
          <w:tcPr>
            <w:tcW w:w="4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28.0 %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27.6 %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28.8 %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29.5 %</w:t>
            </w:r>
          </w:p>
        </w:tc>
      </w:tr>
      <w:tr>
        <w:trPr>
          <w:trHeight w:val="256"/>
        </w:trPr>
        <w:tc>
          <w:tcPr>
            <w:tcW w:w="43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609,646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419,124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1,593,196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1,036,572</w:t>
            </w:r>
          </w:p>
        </w:tc>
      </w:tr>
      <w:tr>
        <w:trPr>
          <w:trHeight w:val="229"/>
        </w:trPr>
        <w:tc>
          <w:tcPr>
            <w:tcW w:w="4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margin</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25.4 %</w:t>
            </w:r>
          </w:p>
        </w:tc>
      </w:tr>
      <w:tr>
        <w:trPr>
          <w:trHeight w:val="229"/>
        </w:trPr>
        <w:tc>
          <w:tcPr>
            <w:tcW w:w="4380" w:type="dxa"/>
            <w:vAlign w:val="bottom"/>
          </w:tcPr>
          <w:p>
            <w:pPr>
              <w:ind w:left="260"/>
              <w:spacing w:after="0"/>
              <w:rPr>
                <w:sz w:val="20"/>
                <w:szCs w:val="20"/>
                <w:color w:val="auto"/>
              </w:rPr>
            </w:pPr>
            <w:r>
              <w:rPr>
                <w:rFonts w:ascii="Arial" w:cs="Arial" w:eastAsia="Arial" w:hAnsi="Arial"/>
                <w:sz w:val="16"/>
                <w:szCs w:val="16"/>
                <w:color w:val="auto"/>
              </w:rPr>
              <w:t>Acquisition related expenses</w:t>
            </w:r>
          </w:p>
        </w:tc>
        <w:tc>
          <w:tcPr>
            <w:tcW w:w="4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147,379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155,682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453,290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467,931</w:t>
            </w:r>
          </w:p>
        </w:tc>
      </w:tr>
      <w:tr>
        <w:trPr>
          <w:trHeight w:val="230"/>
        </w:trPr>
        <w:tc>
          <w:tcPr>
            <w:tcW w:w="4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related transaction costs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18,326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56,570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9,121</w:t>
            </w:r>
          </w:p>
        </w:tc>
      </w:tr>
      <w:tr>
        <w:trPr>
          <w:trHeight w:val="229"/>
        </w:trPr>
        <w:tc>
          <w:tcPr>
            <w:tcW w:w="4380" w:type="dxa"/>
            <w:vAlign w:val="bottom"/>
          </w:tcPr>
          <w:p>
            <w:pPr>
              <w:ind w:left="260"/>
              <w:spacing w:after="0"/>
              <w:rPr>
                <w:sz w:val="20"/>
                <w:szCs w:val="20"/>
                <w:color w:val="auto"/>
              </w:rPr>
            </w:pPr>
            <w:r>
              <w:rPr>
                <w:rFonts w:ascii="Arial" w:cs="Arial" w:eastAsia="Arial" w:hAnsi="Arial"/>
                <w:sz w:val="16"/>
                <w:szCs w:val="16"/>
                <w:color w:val="auto"/>
              </w:rPr>
              <w:t>Charitable foundation contribution</w:t>
            </w:r>
          </w:p>
        </w:tc>
        <w:tc>
          <w:tcPr>
            <w:tcW w:w="4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40,000</w:t>
            </w:r>
          </w:p>
        </w:tc>
      </w:tr>
      <w:tr>
        <w:trPr>
          <w:trHeight w:val="230"/>
        </w:trPr>
        <w:tc>
          <w:tcPr>
            <w:tcW w:w="4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Restructuring related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(8,938)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31,830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(8,189)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44,287</w:t>
            </w:r>
          </w:p>
        </w:tc>
      </w:tr>
      <w:tr>
        <w:trPr>
          <w:trHeight w:val="223"/>
        </w:trPr>
        <w:tc>
          <w:tcPr>
            <w:tcW w:w="4380" w:type="dxa"/>
            <w:vAlign w:val="bottom"/>
          </w:tcPr>
          <w:p>
            <w:pPr>
              <w:ind w:left="20"/>
              <w:spacing w:after="0"/>
              <w:rPr>
                <w:sz w:val="20"/>
                <w:szCs w:val="20"/>
                <w:color w:val="auto"/>
              </w:rPr>
            </w:pPr>
            <w:r>
              <w:rPr>
                <w:rFonts w:ascii="Arial" w:cs="Arial" w:eastAsia="Arial" w:hAnsi="Arial"/>
                <w:sz w:val="16"/>
                <w:szCs w:val="16"/>
                <w:color w:val="auto"/>
              </w:rPr>
              <w:t>Adjusted operating income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766,413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615,757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2,094,867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1,597,911</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Adjusted operating margin</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39.2 %</w:t>
            </w:r>
          </w:p>
        </w:tc>
      </w:tr>
      <w:tr>
        <w:trPr>
          <w:trHeight w:val="256"/>
        </w:trPr>
        <w:tc>
          <w:tcPr>
            <w:tcW w:w="4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68,967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170,146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60,072</w:t>
            </w:r>
          </w:p>
        </w:tc>
      </w:tr>
      <w:tr>
        <w:trPr>
          <w:trHeight w:val="230"/>
        </w:trPr>
        <w:tc>
          <w:tcPr>
            <w:tcW w:w="43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Tax related items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20,686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55,217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66,466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105,364</w:t>
            </w: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provision for income taxes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89,653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65,581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236,612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165,436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572,278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373,029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1,484,881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894,307</w:t>
            </w:r>
          </w:p>
        </w:tc>
      </w:tr>
      <w:tr>
        <w:trPr>
          <w:trHeight w:val="230"/>
        </w:trPr>
        <w:tc>
          <w:tcPr>
            <w:tcW w:w="4380" w:type="dxa"/>
            <w:vAlign w:val="bottom"/>
          </w:tcPr>
          <w:p>
            <w:pPr>
              <w:ind w:left="100"/>
              <w:spacing w:after="0"/>
              <w:rPr>
                <w:sz w:val="20"/>
                <w:szCs w:val="20"/>
                <w:color w:val="auto"/>
              </w:rPr>
            </w:pPr>
            <w:r>
              <w:rPr>
                <w:rFonts w:ascii="Arial" w:cs="Arial" w:eastAsia="Arial" w:hAnsi="Arial"/>
                <w:sz w:val="16"/>
                <w:szCs w:val="16"/>
                <w:color w:val="auto"/>
              </w:rPr>
              <w:t>Effective tax rate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30"/>
        </w:trPr>
        <w:tc>
          <w:tcPr>
            <w:tcW w:w="4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147,379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155,682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453,290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467,931</w:t>
            </w:r>
          </w:p>
        </w:tc>
      </w:tr>
      <w:tr>
        <w:trPr>
          <w:trHeight w:val="229"/>
        </w:trPr>
        <w:tc>
          <w:tcPr>
            <w:tcW w:w="4380" w:type="dxa"/>
            <w:vAlign w:val="bottom"/>
          </w:tcPr>
          <w:p>
            <w:pPr>
              <w:ind w:left="260"/>
              <w:spacing w:after="0"/>
              <w:rPr>
                <w:sz w:val="20"/>
                <w:szCs w:val="20"/>
                <w:color w:val="auto"/>
              </w:rPr>
            </w:pPr>
            <w:r>
              <w:rPr>
                <w:rFonts w:ascii="Arial" w:cs="Arial" w:eastAsia="Arial" w:hAnsi="Arial"/>
                <w:sz w:val="16"/>
                <w:szCs w:val="16"/>
                <w:color w:val="auto"/>
              </w:rPr>
              <w:t>Acquisition related transaction costs</w:t>
            </w:r>
          </w:p>
        </w:tc>
        <w:tc>
          <w:tcPr>
            <w:tcW w:w="4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18,326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9,121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56,570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9,121</w:t>
            </w:r>
          </w:p>
        </w:tc>
      </w:tr>
      <w:tr>
        <w:trPr>
          <w:trHeight w:val="230"/>
        </w:trPr>
        <w:tc>
          <w:tcPr>
            <w:tcW w:w="4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Charitable foundation contribution</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40,000</w:t>
            </w:r>
          </w:p>
        </w:tc>
      </w:tr>
      <w:tr>
        <w:trPr>
          <w:trHeight w:val="230"/>
        </w:trPr>
        <w:tc>
          <w:tcPr>
            <w:tcW w:w="43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Restructuring related expense, net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(8,938)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31,830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(8,189)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44,287</w:t>
            </w: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income before income taxes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729,045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569,662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1,986,552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1,455,646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80" w:type="dxa"/>
            <w:vAlign w:val="bottom"/>
          </w:tcPr>
          <w:p>
            <w:pPr>
              <w:ind w:left="100"/>
              <w:spacing w:after="0"/>
              <w:rPr>
                <w:sz w:val="20"/>
                <w:szCs w:val="20"/>
                <w:color w:val="auto"/>
              </w:rPr>
            </w:pPr>
            <w:r>
              <w:rPr>
                <w:rFonts w:ascii="Arial" w:cs="Arial" w:eastAsia="Arial" w:hAnsi="Arial"/>
                <w:sz w:val="16"/>
                <w:szCs w:val="16"/>
                <w:color w:val="auto"/>
              </w:rPr>
              <w:t>Adjusted tax rate</w:t>
            </w:r>
          </w:p>
        </w:tc>
        <w:tc>
          <w:tcPr>
            <w:tcW w:w="4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12.3 %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11.5 %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11.9 %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11.4 %</w:t>
            </w:r>
          </w:p>
        </w:tc>
      </w:tr>
      <w:tr>
        <w:trPr>
          <w:trHeight w:val="257"/>
        </w:trPr>
        <w:tc>
          <w:tcPr>
            <w:tcW w:w="43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2.24</w:t>
            </w:r>
          </w:p>
        </w:tc>
      </w:tr>
      <w:tr>
        <w:trPr>
          <w:trHeight w:val="229"/>
        </w:trPr>
        <w:tc>
          <w:tcPr>
            <w:tcW w:w="4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1.26</w:t>
            </w:r>
          </w:p>
        </w:tc>
      </w:tr>
      <w:tr>
        <w:trPr>
          <w:trHeight w:val="230"/>
        </w:trPr>
        <w:tc>
          <w:tcPr>
            <w:tcW w:w="4380" w:type="dxa"/>
            <w:vAlign w:val="bottom"/>
          </w:tcPr>
          <w:p>
            <w:pPr>
              <w:ind w:left="260"/>
              <w:spacing w:after="0"/>
              <w:rPr>
                <w:sz w:val="20"/>
                <w:szCs w:val="20"/>
                <w:color w:val="auto"/>
              </w:rPr>
            </w:pPr>
            <w:r>
              <w:rPr>
                <w:rFonts w:ascii="Arial" w:cs="Arial" w:eastAsia="Arial" w:hAnsi="Arial"/>
                <w:sz w:val="16"/>
                <w:szCs w:val="16"/>
                <w:color w:val="auto"/>
              </w:rPr>
              <w:t>Acquisition related transaction costs</w:t>
            </w:r>
          </w:p>
        </w:tc>
        <w:tc>
          <w:tcPr>
            <w:tcW w:w="4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0.02</w:t>
            </w:r>
          </w:p>
        </w:tc>
      </w:tr>
      <w:tr>
        <w:trPr>
          <w:trHeight w:val="230"/>
        </w:trPr>
        <w:tc>
          <w:tcPr>
            <w:tcW w:w="4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Charitable foundation contribution</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0.11</w:t>
            </w:r>
          </w:p>
        </w:tc>
      </w:tr>
      <w:tr>
        <w:trPr>
          <w:trHeight w:val="229"/>
        </w:trPr>
        <w:tc>
          <w:tcPr>
            <w:tcW w:w="4380" w:type="dxa"/>
            <w:vAlign w:val="bottom"/>
          </w:tcPr>
          <w:p>
            <w:pPr>
              <w:ind w:left="260"/>
              <w:spacing w:after="0"/>
              <w:rPr>
                <w:sz w:val="20"/>
                <w:szCs w:val="20"/>
                <w:color w:val="auto"/>
              </w:rPr>
            </w:pPr>
            <w:r>
              <w:rPr>
                <w:rFonts w:ascii="Arial" w:cs="Arial" w:eastAsia="Arial" w:hAnsi="Arial"/>
                <w:sz w:val="16"/>
                <w:szCs w:val="16"/>
                <w:color w:val="auto"/>
              </w:rPr>
              <w:t>Restructuring related expense, net</w:t>
            </w:r>
          </w:p>
        </w:tc>
        <w:tc>
          <w:tcPr>
            <w:tcW w:w="40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0.12</w:t>
            </w:r>
          </w:p>
        </w:tc>
      </w:tr>
      <w:tr>
        <w:trPr>
          <w:trHeight w:val="230"/>
        </w:trPr>
        <w:tc>
          <w:tcPr>
            <w:tcW w:w="4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Tax related items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(0.28)</w:t>
            </w:r>
          </w:p>
        </w:tc>
      </w:tr>
      <w:tr>
        <w:trPr>
          <w:trHeight w:val="223"/>
        </w:trPr>
        <w:tc>
          <w:tcPr>
            <w:tcW w:w="438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3.47</w:t>
            </w:r>
          </w:p>
        </w:tc>
      </w:tr>
      <w:tr>
        <w:trPr>
          <w:trHeight w:val="21"/>
        </w:trPr>
        <w:tc>
          <w:tcPr>
            <w:tcW w:w="4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 share amounts may not equal the total due to rounding.</w:t>
      </w:r>
    </w:p>
    <w:p>
      <w:pPr>
        <w:sectPr>
          <w:pgSz w:w="11900" w:h="16838" w:orient="portrait"/>
          <w:cols w:equalWidth="0" w:num="1">
            <w:col w:w="11240"/>
          </w:cols>
          <w:pgMar w:left="320" w:top="688"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CASH PROVIDED BY OPERATING ACTIVITIES TO FREE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30"/>
              <w:spacing w:after="0" w:line="189" w:lineRule="exact"/>
              <w:rPr>
                <w:sz w:val="20"/>
                <w:szCs w:val="20"/>
                <w:color w:val="auto"/>
              </w:rPr>
            </w:pPr>
            <w:r>
              <w:rPr>
                <w:rFonts w:ascii="Arial" w:cs="Arial" w:eastAsia="Arial" w:hAnsi="Arial"/>
                <w:sz w:val="18"/>
                <w:szCs w:val="18"/>
                <w:b w:val="1"/>
                <w:bCs w:val="1"/>
                <w:color w:val="auto"/>
                <w:w w:val="92"/>
              </w:rPr>
              <w:t>Trailing Twelve</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5"/>
            <w:vMerge w:val="restart"/>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Months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Jul. 31, 2021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Jul. 31, 2021</w:t>
            </w: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May 1, 2021</w:t>
            </w: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Jan. 30, 2021</w:t>
            </w: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Oct 31, 2020</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6,505,013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1,758,853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1,661,407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1,558,458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1,526,295</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2,466,941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630,041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736,361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427,941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672,598</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Revenue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(242,787)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(86,341)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(59,170)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(67,388)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(29,888)</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2,224,154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543,700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677,191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360,553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642,710</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PROJECTED GAAP TO NON-GAAP RESULTS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580" w:type="dxa"/>
            <w:vAlign w:val="bottom"/>
          </w:tcPr>
          <w:p>
            <w:pPr>
              <w:spacing w:after="0"/>
              <w:rPr>
                <w:sz w:val="21"/>
                <w:szCs w:val="21"/>
                <w:color w:val="auto"/>
              </w:rPr>
            </w:pPr>
          </w:p>
        </w:tc>
        <w:tc>
          <w:tcPr>
            <w:tcW w:w="6620" w:type="dxa"/>
            <w:vAlign w:val="bottom"/>
            <w:tcBorders>
              <w:top w:val="single" w:sz="8" w:color="auto"/>
              <w:bottom w:val="single" w:sz="8" w:color="auto"/>
            </w:tcBorders>
            <w:gridSpan w:val="3"/>
          </w:tcPr>
          <w:p>
            <w:pPr>
              <w:ind w:left="1800"/>
              <w:spacing w:after="0"/>
              <w:rPr>
                <w:sz w:val="20"/>
                <w:szCs w:val="20"/>
                <w:color w:val="auto"/>
              </w:rPr>
            </w:pPr>
            <w:r>
              <w:rPr>
                <w:rFonts w:ascii="Arial" w:cs="Arial" w:eastAsia="Arial" w:hAnsi="Arial"/>
                <w:sz w:val="18"/>
                <w:szCs w:val="18"/>
                <w:b w:val="1"/>
                <w:bCs w:val="1"/>
                <w:color w:val="auto"/>
              </w:rPr>
              <w:t>Three Months Ending October 30, 2021</w:t>
            </w:r>
          </w:p>
        </w:tc>
      </w:tr>
      <w:tr>
        <w:trPr>
          <w:trHeight w:val="264"/>
        </w:trPr>
        <w:tc>
          <w:tcPr>
            <w:tcW w:w="4580" w:type="dxa"/>
            <w:vAlign w:val="bottom"/>
          </w:tcPr>
          <w:p>
            <w:pPr>
              <w:spacing w:after="0"/>
              <w:rPr>
                <w:sz w:val="22"/>
                <w:szCs w:val="22"/>
                <w:color w:val="auto"/>
              </w:rPr>
            </w:pPr>
          </w:p>
        </w:tc>
        <w:tc>
          <w:tcPr>
            <w:tcW w:w="3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Reported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Adjusted</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$1.78 Billion</w:t>
            </w:r>
          </w:p>
        </w:tc>
        <w:tc>
          <w:tcPr>
            <w:tcW w:w="100" w:type="dxa"/>
            <w:vAlign w:val="bottom"/>
            <w:tcBorders>
              <w:top w:val="single" w:sz="8" w:color="CCEEFF"/>
            </w:tcBorders>
            <w:shd w:val="clear" w:color="auto" w:fill="CCEEFF"/>
          </w:tcPr>
          <w:p>
            <w:pPr>
              <w:spacing w:after="0"/>
              <w:rPr>
                <w:sz w:val="19"/>
                <w:szCs w:val="19"/>
                <w:color w:val="auto"/>
              </w:rPr>
            </w:pPr>
          </w:p>
        </w:tc>
        <w:tc>
          <w:tcPr>
            <w:tcW w:w="3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$1.78 Billion</w:t>
            </w:r>
          </w:p>
        </w:tc>
      </w:tr>
      <w:tr>
        <w:trPr>
          <w:trHeight w:val="230"/>
        </w:trPr>
        <w:tc>
          <w:tcPr>
            <w:tcW w:w="4580" w:type="dxa"/>
            <w:vAlign w:val="bottom"/>
          </w:tcPr>
          <w:p>
            <w:pPr>
              <w:spacing w:after="0"/>
              <w:rPr>
                <w:sz w:val="19"/>
                <w:szCs w:val="19"/>
                <w:color w:val="auto"/>
              </w:rPr>
            </w:pPr>
          </w:p>
        </w:tc>
        <w:tc>
          <w:tcPr>
            <w:tcW w:w="33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 $70 Million)</w:t>
            </w:r>
          </w:p>
        </w:tc>
        <w:tc>
          <w:tcPr>
            <w:tcW w:w="3260" w:type="dxa"/>
            <w:vAlign w:val="bottom"/>
          </w:tcPr>
          <w:p>
            <w:pPr>
              <w:jc w:val="center"/>
              <w:spacing w:after="0"/>
              <w:rPr>
                <w:sz w:val="20"/>
                <w:szCs w:val="20"/>
                <w:color w:val="auto"/>
              </w:rPr>
            </w:pPr>
            <w:r>
              <w:rPr>
                <w:rFonts w:ascii="Arial" w:cs="Arial" w:eastAsia="Arial" w:hAnsi="Arial"/>
                <w:sz w:val="18"/>
                <w:szCs w:val="18"/>
                <w:color w:val="auto"/>
                <w:w w:val="97"/>
              </w:rPr>
              <w:t>(+/- $70 Million)</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34.2%</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43.7% (1)</w:t>
            </w:r>
          </w:p>
        </w:tc>
      </w:tr>
      <w:tr>
        <w:trPr>
          <w:trHeight w:val="229"/>
        </w:trPr>
        <w:tc>
          <w:tcPr>
            <w:tcW w:w="4580" w:type="dxa"/>
            <w:vAlign w:val="bottom"/>
          </w:tcPr>
          <w:p>
            <w:pPr>
              <w:spacing w:after="0"/>
              <w:rPr>
                <w:sz w:val="19"/>
                <w:szCs w:val="19"/>
                <w:color w:val="auto"/>
              </w:rPr>
            </w:pPr>
          </w:p>
        </w:tc>
        <w:tc>
          <w:tcPr>
            <w:tcW w:w="3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(+/-140 bps)</w:t>
            </w:r>
          </w:p>
        </w:tc>
        <w:tc>
          <w:tcPr>
            <w:tcW w:w="3260" w:type="dxa"/>
            <w:vAlign w:val="bottom"/>
          </w:tcPr>
          <w:p>
            <w:pPr>
              <w:jc w:val="center"/>
              <w:spacing w:after="0"/>
              <w:rPr>
                <w:sz w:val="20"/>
                <w:szCs w:val="20"/>
                <w:color w:val="auto"/>
              </w:rPr>
            </w:pPr>
            <w:r>
              <w:rPr>
                <w:rFonts w:ascii="Arial" w:cs="Arial" w:eastAsia="Arial" w:hAnsi="Arial"/>
                <w:sz w:val="18"/>
                <w:szCs w:val="18"/>
                <w:color w:val="auto"/>
                <w:w w:val="92"/>
              </w:rPr>
              <w:t>(+/-100 bps)</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w:t>
            </w:r>
          </w:p>
        </w:tc>
        <w:tc>
          <w:tcPr>
            <w:tcW w:w="3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 $43 Million</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 $43 Million</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Tax rate</w:t>
            </w:r>
          </w:p>
        </w:tc>
        <w:tc>
          <w:tcPr>
            <w:tcW w:w="3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11% to 13%</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11% to 13% (2)</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$1.33</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$1.72 (3)</w:t>
            </w:r>
          </w:p>
        </w:tc>
      </w:tr>
      <w:tr>
        <w:trPr>
          <w:trHeight w:val="230"/>
        </w:trPr>
        <w:tc>
          <w:tcPr>
            <w:tcW w:w="458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3"/>
              </w:rPr>
              <w:t>(+/- $0.11)</w:t>
            </w:r>
          </w:p>
        </w:tc>
        <w:tc>
          <w:tcPr>
            <w:tcW w:w="1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3"/>
              </w:rPr>
              <w:t>(+/- $0.11)</w:t>
            </w:r>
          </w:p>
        </w:tc>
      </w:tr>
    </w:tbl>
    <w:p>
      <w:pPr>
        <w:spacing w:after="0" w:line="322" w:lineRule="exact"/>
        <w:rPr>
          <w:sz w:val="20"/>
          <w:szCs w:val="20"/>
          <w:color w:val="auto"/>
        </w:rPr>
      </w:pPr>
    </w:p>
    <w:p>
      <w:pPr>
        <w:ind w:right="140" w:firstLine="8"/>
        <w:spacing w:after="0" w:line="271"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$169 million of adjustments related to acquisition related expenses and acquisition related transaction costs as previously defined in the Non-GAAP Financial Information section of this press release. This excludes acquisition related transaction costs that are contingent upon closing of the proposed Maxim Integrated Products, Inc. acquisition as we cannot reasonably predict the timing of this transaction.</w:t>
      </w:r>
    </w:p>
    <w:p>
      <w:pPr>
        <w:ind w:right="500" w:firstLine="8"/>
        <w:spacing w:after="0" w:line="250"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$23 million of tax effects associated with the adjustments for acquisition related expenses and acquisition related transaction costs noted above.</w:t>
      </w:r>
    </w:p>
    <w:p>
      <w:pPr>
        <w:ind w:firstLine="8"/>
        <w:spacing w:after="0" w:line="260"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$0.39 of adjustments related to the net impact of acquisition related expenses and acquisition related transaction costs, as well as the tax effects on those items.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(ADI-WEB)</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more information, please contact: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Analog Devices,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Mr. Michael Lucarelli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Sr. Director of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781-461-3282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investor.relations@analog.com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Media Contacts: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Teneo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Ms. Andrea Calise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917-826-3804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andrea.calise@teneo.com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Teneo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Ms. Megan Fenton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917-860-0356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megan.fenton@teneo.com</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2021-08-18T06:06:20Z</dcterms:created>
  <dcterms:modified xsi:type="dcterms:W3CDTF">2021-08-18T06:06:20Z</dcterms:modified>
</cp:coreProperties>
</file>