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20" w:lineRule="exact"/>
        <w:rPr>
          <w:sz w:val="24"/>
          <w:szCs w:val="24"/>
          <w:color w:val="auto"/>
        </w:rPr>
      </w:pPr>
    </w:p>
    <w:p>
      <w:pPr>
        <w:jc w:val="right"/>
        <w:ind w:right="3919"/>
        <w:spacing w:after="0"/>
        <w:rPr>
          <w:sz w:val="20"/>
          <w:szCs w:val="20"/>
          <w:color w:val="auto"/>
        </w:rPr>
      </w:pPr>
      <w:r>
        <w:rPr>
          <w:rFonts w:ascii="Arial" w:cs="Arial" w:eastAsia="Arial" w:hAnsi="Arial"/>
          <w:sz w:val="16"/>
          <w:szCs w:val="16"/>
          <w:b w:val="1"/>
          <w:bCs w:val="1"/>
          <w:color w:val="auto"/>
        </w:rPr>
        <w:t>SCHEDULE 14A</w:t>
      </w:r>
    </w:p>
    <w:p>
      <w:pPr>
        <w:spacing w:after="0" w:line="39" w:lineRule="exact"/>
        <w:rPr>
          <w:sz w:val="24"/>
          <w:szCs w:val="24"/>
          <w:color w:val="auto"/>
        </w:rPr>
      </w:pPr>
    </w:p>
    <w:p>
      <w:pPr>
        <w:jc w:val="right"/>
        <w:ind w:right="3959"/>
        <w:spacing w:after="0"/>
        <w:rPr>
          <w:sz w:val="20"/>
          <w:szCs w:val="20"/>
          <w:color w:val="auto"/>
        </w:rPr>
      </w:pPr>
      <w:r>
        <w:rPr>
          <w:rFonts w:ascii="Arial" w:cs="Arial" w:eastAsia="Arial" w:hAnsi="Arial"/>
          <w:sz w:val="16"/>
          <w:szCs w:val="16"/>
          <w:b w:val="1"/>
          <w:bCs w:val="1"/>
          <w:color w:val="auto"/>
        </w:rPr>
        <w:t>(Rule 14a-101)</w:t>
      </w:r>
    </w:p>
    <w:p>
      <w:pPr>
        <w:spacing w:after="0" w:line="120"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40"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SCHEDULE 14A INFORMATION</w:t>
      </w:r>
    </w:p>
    <w:p>
      <w:pPr>
        <w:spacing w:after="0" w:line="140" w:lineRule="exact"/>
        <w:rPr>
          <w:sz w:val="24"/>
          <w:szCs w:val="24"/>
          <w:color w:val="auto"/>
        </w:rPr>
      </w:pPr>
    </w:p>
    <w:p>
      <w:pPr>
        <w:jc w:val="right"/>
        <w:ind w:right="22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35"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Exchange Act of 1934</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(Amendment No. )</w:t>
      </w:r>
    </w:p>
    <w:p>
      <w:pPr>
        <w:spacing w:after="0" w:line="249" w:lineRule="exact"/>
        <w:rPr>
          <w:sz w:val="24"/>
          <w:szCs w:val="24"/>
          <w:color w:val="auto"/>
        </w:rPr>
      </w:pPr>
    </w:p>
    <w:p>
      <w:pPr>
        <w:spacing w:after="0" w:line="184" w:lineRule="exact"/>
        <w:tabs>
          <w:tab w:leader="none" w:pos="184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184" w:lineRule="exact"/>
        <w:tabs>
          <w:tab w:leader="none" w:pos="314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75"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270" w:lineRule="exact"/>
        <w:rPr>
          <w:sz w:val="24"/>
          <w:szCs w:val="24"/>
          <w:color w:val="auto"/>
        </w:rPr>
      </w:pPr>
    </w:p>
    <w:p>
      <w:pPr>
        <w:ind w:left="420" w:hanging="41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270" w:lineRule="exact"/>
        <w:rPr>
          <w:sz w:val="24"/>
          <w:szCs w:val="24"/>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270" w:lineRule="exact"/>
        <w:rPr>
          <w:rFonts w:ascii="MS PGothic" w:cs="MS PGothic" w:eastAsia="MS PGothic" w:hAnsi="MS PGothic"/>
          <w:sz w:val="18"/>
          <w:szCs w:val="18"/>
          <w:color w:val="auto"/>
        </w:rPr>
      </w:pPr>
    </w:p>
    <w:p>
      <w:pPr>
        <w:ind w:left="420" w:hanging="41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§240.14a-12</w:t>
      </w:r>
    </w:p>
    <w:p>
      <w:pPr>
        <w:spacing w:after="0" w:line="33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ind w:left="4280"/>
        <w:spacing w:after="0"/>
        <w:rPr>
          <w:sz w:val="20"/>
          <w:szCs w:val="20"/>
          <w:color w:val="auto"/>
        </w:rPr>
      </w:pPr>
      <w:r>
        <w:rPr>
          <w:rFonts w:ascii="Arial" w:cs="Arial" w:eastAsia="Arial" w:hAnsi="Arial"/>
          <w:sz w:val="13"/>
          <w:szCs w:val="13"/>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ind w:left="3580"/>
        <w:spacing w:after="0"/>
        <w:rPr>
          <w:sz w:val="20"/>
          <w:szCs w:val="20"/>
          <w:color w:val="auto"/>
        </w:rPr>
      </w:pPr>
      <w:r>
        <w:rPr>
          <w:rFonts w:ascii="Arial" w:cs="Arial" w:eastAsia="Arial" w:hAnsi="Arial"/>
          <w:sz w:val="13"/>
          <w:szCs w:val="13"/>
          <w:i w:val="1"/>
          <w:iCs w:val="1"/>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all boxes that apply):</w:t>
      </w:r>
    </w:p>
    <w:p>
      <w:pPr>
        <w:spacing w:after="0" w:line="140" w:lineRule="exact"/>
        <w:rPr>
          <w:sz w:val="24"/>
          <w:szCs w:val="24"/>
          <w:color w:val="auto"/>
        </w:rPr>
      </w:pPr>
    </w:p>
    <w:p>
      <w:pPr>
        <w:ind w:left="480" w:hanging="474"/>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135" w:lineRule="exact"/>
        <w:rPr>
          <w:sz w:val="24"/>
          <w:szCs w:val="24"/>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135" w:lineRule="exact"/>
        <w:rPr>
          <w:rFonts w:ascii="MS PGothic" w:cs="MS PGothic" w:eastAsia="MS PGothic" w:hAnsi="MS PGothic"/>
          <w:sz w:val="18"/>
          <w:szCs w:val="18"/>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19"/>
          </w:cols>
          <w:pgMar w:left="340" w:top="1178" w:right="1440" w:bottom="1440" w:gutter="0" w:footer="0" w:header="0"/>
        </w:sectPr>
      </w:pPr>
    </w:p>
    <w:bookmarkStart w:id="1" w:name="page2"/>
    <w:bookmarkEnd w:id="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6995160" cy="9060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8"/>
          <w:szCs w:val="58"/>
          <w:color w:val="auto"/>
        </w:rPr>
        <w:t>Mission</w:t>
      </w: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23"/>
          <w:szCs w:val="23"/>
          <w:color w:val="auto"/>
        </w:rPr>
        <w:t xml:space="preserve">The most exciting development in technology today is the </w:t>
      </w:r>
      <w:r>
        <w:rPr>
          <w:rFonts w:ascii="Arial" w:cs="Arial" w:eastAsia="Arial" w:hAnsi="Arial"/>
          <w:sz w:val="23"/>
          <w:szCs w:val="23"/>
          <w:b w:val="1"/>
          <w:bCs w:val="1"/>
          <w:color w:val="0067B3"/>
        </w:rPr>
        <w:t>dawning of the Intelligent Edge era</w:t>
      </w:r>
      <w:r>
        <w:rPr>
          <w:rFonts w:ascii="Arial" w:cs="Arial" w:eastAsia="Arial" w:hAnsi="Arial"/>
          <w:sz w:val="23"/>
          <w:szCs w:val="23"/>
          <w:color w:val="auto"/>
        </w:rPr>
        <w:t>, where pervasive sensing, AI-driven edge computing, and ubiquitous connectivity are combing in smart, connected systems that enable new capabilities, applications, and markets.</w:t>
      </w:r>
    </w:p>
    <w:p>
      <w:pPr>
        <w:spacing w:after="0" w:line="45" w:lineRule="exact"/>
        <w:rPr>
          <w:sz w:val="20"/>
          <w:szCs w:val="20"/>
          <w:color w:val="auto"/>
        </w:rPr>
      </w:pPr>
    </w:p>
    <w:p>
      <w:pPr>
        <w:ind w:right="160"/>
        <w:spacing w:after="0" w:line="266" w:lineRule="auto"/>
        <w:rPr>
          <w:sz w:val="20"/>
          <w:szCs w:val="20"/>
          <w:color w:val="auto"/>
        </w:rPr>
      </w:pPr>
      <w:r>
        <w:rPr>
          <w:rFonts w:ascii="Arial" w:cs="Arial" w:eastAsia="Arial" w:hAnsi="Arial"/>
          <w:sz w:val="23"/>
          <w:szCs w:val="23"/>
          <w:color w:val="auto"/>
        </w:rPr>
        <w:t xml:space="preserve">ADI is at the center of this new era, providing the intelligent sensing and connectivity on which it depends. Leveraging our strong position at the </w:t>
      </w:r>
      <w:r>
        <w:rPr>
          <w:rFonts w:ascii="Arial" w:cs="Arial" w:eastAsia="Arial" w:hAnsi="Arial"/>
          <w:sz w:val="23"/>
          <w:szCs w:val="23"/>
          <w:b w:val="1"/>
          <w:bCs w:val="1"/>
          <w:color w:val="0067B3"/>
        </w:rPr>
        <w:t>boundary between the physical and digital worlds</w:t>
      </w:r>
      <w:r>
        <w:rPr>
          <w:rFonts w:ascii="Arial" w:cs="Arial" w:eastAsia="Arial" w:hAnsi="Arial"/>
          <w:sz w:val="23"/>
          <w:szCs w:val="23"/>
          <w:color w:val="auto"/>
        </w:rPr>
        <w:t xml:space="preserve">, innovation capabilities, and domain expertise, ADI is </w:t>
      </w:r>
      <w:r>
        <w:rPr>
          <w:rFonts w:ascii="Arial" w:cs="Arial" w:eastAsia="Arial" w:hAnsi="Arial"/>
          <w:sz w:val="23"/>
          <w:szCs w:val="23"/>
          <w:b w:val="1"/>
          <w:bCs w:val="1"/>
          <w:color w:val="0067B3"/>
        </w:rPr>
        <w:t>working closely with customers</w:t>
      </w:r>
      <w:r>
        <w:rPr>
          <w:rFonts w:ascii="Arial" w:cs="Arial" w:eastAsia="Arial" w:hAnsi="Arial"/>
          <w:sz w:val="23"/>
          <w:szCs w:val="23"/>
          <w:color w:val="auto"/>
        </w:rPr>
        <w:t xml:space="preserve"> to bring intelligence to the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775335</wp:posOffset>
            </wp:positionV>
            <wp:extent cx="6172200" cy="379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3797300"/>
                    </a:xfrm>
                    <a:prstGeom prst="rect">
                      <a:avLst/>
                    </a:prstGeom>
                    <a:noFill/>
                  </pic:spPr>
                </pic:pic>
              </a:graphicData>
            </a:graphic>
          </wp:anchor>
        </w:drawing>
      </w:r>
    </w:p>
    <w:p>
      <w:pPr>
        <w:sectPr>
          <w:pgSz w:w="11900" w:h="16838" w:orient="portrait"/>
          <w:cols w:equalWidth="0" w:num="1">
            <w:col w:w="11080"/>
          </w:cols>
          <w:pgMar w:left="320" w:top="1126" w:right="499" w:bottom="1440" w:gutter="0" w:footer="0" w:header="0"/>
        </w:sectPr>
      </w:pPr>
    </w:p>
    <w:bookmarkStart w:id="3" w:name="page4"/>
    <w:bookmarkEnd w:id="3"/>
    <w:p>
      <w:pPr>
        <w:spacing w:after="0"/>
        <w:rPr>
          <w:sz w:val="20"/>
          <w:szCs w:val="20"/>
          <w:color w:val="auto"/>
        </w:rPr>
      </w:pPr>
      <w:r>
        <w:rPr>
          <w:rFonts w:ascii="Arial" w:cs="Arial" w:eastAsia="Arial" w:hAnsi="Arial"/>
          <w:sz w:val="58"/>
          <w:szCs w:val="58"/>
          <w:color w:val="auto"/>
        </w:rPr>
        <w:t>Letter from our CEO and Chair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Dear Fellow Shareholders,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am extremely proud to share that ADI deftly navigated 2022’s turbulence to deliver record-breaking financial results once again. Our outstanding growth and profitability this year are an extension of the long-term market success we have achieved through an unyielding commitment to innovation, operational excellence, and our customers’ success. We continued investing in 2022 in the R&amp;D, manufacturing capabilities, and partnerships that deepen our value to our customers and enable us to capture more of the emerging secular opportunities at the Intelligent Edge. As a result, we enter 2023 with strong momentum and believe we are as well-positioned for the future as we have ever been.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Results and Strategic Progress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combination of ADI’s unparalleled portfolio of high-performance analog, digital, and software solutions, world-class engineering and applications domain expertise, and customer-first mentality drove revenue and margins to new high-water marks in fiscal 2022. We delivered an exceptional $ 12 billion in revenue, operating cash flow of $ 4.5 billion, and free cash flow of $3.8 billion after investing a record $699 million in capital expenditures (CapEx). Further, we exceeded our commitment to return 100% of free cash flow, returning $4.6 billion through share repurchases and dividends.</w:t>
      </w:r>
    </w:p>
    <w:p>
      <w:pPr>
        <w:spacing w:after="0" w:line="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made tremendous progress integrating Maxim in 2022, surpassing our integration timeline goals and accelerating the pace at which we are securing the benefits of the acquisition. The combination of our organic R&amp;D, complementary portfolios, and combined capabilities is enabling us to deliver everything from industry-leading components to sophisticated, software-defined platforms that solve higher-order challenges for our customers. We have simultaneously invested in our go-to-market capabilities to make it easier than ever before for our customers to access our components and solutions in the ways that make the most sense for their businesses and needs. Importantly, we are capturing the full, increasing value of our innovations.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CapEx investments have allowed us to further leverage the power of our internal/external hybrid manufacturing model to deliver solutions from 7 nanometers to 7 micrometers in a resilient and responsive supply chain. During a time of unprecedented supply constraints in our industry, we are proud that our foresight and efforts have further strengthened our customer relationships and created numerous new opportunities to grow our business.</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ADI’s Vision 2030, which we launched at our Investor Day in April 2022, set more ambitious goals for growth and profitability, and we are well on the way to achieving them.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2030</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Advances in pervasive sensing, AI-driven edge computing, and ubiquitous connectivity are coalescing in smarter and more connected systems in autonomous factories, cars, healthcare, and more. ADI’s investments over the past decade have built upon our foundation at the boundary between the physical and digital worlds to take maximum advantage of the emerging Intelligent Edge opportunity for our customers, large and small, across every market segment.</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we are delivering O-RAN-compliant radio units for superior 5G connectivity; wireless battery management systems that enable rapid battery configuration and extend the mileage and lifetimes of electric vehicle battery packs; vital sign monitoring solutions for clinical-grade healthcare outside of clinical settings; and factory automation solutions for next-generation, agile manufacturing environments important in emerging applications such as personalized medicine. Our Apollo software-defined, high-speed signal chain platform is enabling innumerable applications for our broad market customers and is the latest example of how we are accelerating our customers’ time to market by meeting them at their software application layer. By connecting humanity, addressing climate change, democratizing access to healthcare, and enabling a safer, more efficient future of manufacturing, we are living out our corporate purpose, and expanding the ESG ideal from risk management to market opportunity.</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closing, I thank our amazing employees, partners, and customers whose skill, creativity, and dedication during 2022 have set us up for another strong year of collaboration and growth. I also thank you, our shareholders, for your continued investment in and support of ADI on this journey. We look forward to capitalizing on our portfolio and people investments to capture the incredible Intelligent Edge opportunity and continue building an ADI franchise and brand synonymous with innovation, customer success, and superior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2177415" cy="85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67B3"/>
        </w:rPr>
        <w:t>VINCENT ROCHE</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Chief Executive Officer and Chair of the Board of Directors</w:t>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160"/>
        <w:spacing w:after="0"/>
        <w:rPr>
          <w:sz w:val="20"/>
          <w:szCs w:val="20"/>
          <w:color w:val="auto"/>
        </w:rPr>
      </w:pPr>
      <w:r>
        <w:rPr>
          <w:rFonts w:ascii="Arial" w:cs="Arial" w:eastAsia="Arial" w:hAnsi="Arial"/>
          <w:sz w:val="16"/>
          <w:szCs w:val="16"/>
          <w:color w:val="0067B3"/>
        </w:rPr>
        <w:t>2023 Proxy Statement</w:t>
      </w:r>
    </w:p>
    <w:p>
      <w:pPr>
        <w:sectPr>
          <w:pgSz w:w="11900" w:h="16838" w:orient="portrait"/>
          <w:cols w:equalWidth="0" w:num="1">
            <w:col w:w="11220"/>
          </w:cols>
          <w:pgMar w:left="320" w:top="1126" w:right="359" w:bottom="1440" w:gutter="0" w:footer="0" w:header="0"/>
          <w:type w:val="continuous"/>
        </w:sectPr>
      </w:pPr>
    </w:p>
    <w:bookmarkStart w:id="4" w:name="page5"/>
    <w:bookmarkEnd w:id="4"/>
    <w:p>
      <w:pPr>
        <w:ind w:right="3320"/>
        <w:spacing w:after="0" w:line="263" w:lineRule="auto"/>
        <w:rPr>
          <w:sz w:val="20"/>
          <w:szCs w:val="20"/>
          <w:color w:val="auto"/>
        </w:rPr>
      </w:pPr>
      <w:r>
        <w:rPr>
          <w:rFonts w:ascii="Arial" w:cs="Arial" w:eastAsia="Arial" w:hAnsi="Arial"/>
          <w:sz w:val="58"/>
          <w:szCs w:val="58"/>
          <w:color w:val="auto"/>
        </w:rPr>
        <w:t>Notice of 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1534160" cy="7020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160" cy="7020560"/>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DATE AND TIME</w:t>
      </w:r>
    </w:p>
    <w:p>
      <w:pPr>
        <w:spacing w:after="0" w:line="117" w:lineRule="exact"/>
        <w:rPr>
          <w:sz w:val="20"/>
          <w:szCs w:val="20"/>
          <w:color w:val="auto"/>
        </w:rPr>
      </w:pPr>
    </w:p>
    <w:p>
      <w:pPr>
        <w:ind w:left="20" w:right="80"/>
        <w:spacing w:after="0" w:line="287" w:lineRule="auto"/>
        <w:rPr>
          <w:sz w:val="20"/>
          <w:szCs w:val="20"/>
          <w:color w:val="auto"/>
        </w:rPr>
      </w:pPr>
      <w:r>
        <w:rPr>
          <w:rFonts w:ascii="Arial" w:cs="Arial" w:eastAsia="Arial" w:hAnsi="Arial"/>
          <w:sz w:val="18"/>
          <w:szCs w:val="18"/>
          <w:color w:val="auto"/>
        </w:rPr>
        <w:t>Wednesday, March 8, 2023 9:00 a.m. local time</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PLACE</w:t>
      </w:r>
    </w:p>
    <w:p>
      <w:pPr>
        <w:spacing w:after="0" w:line="117" w:lineRule="exact"/>
        <w:rPr>
          <w:sz w:val="20"/>
          <w:szCs w:val="20"/>
          <w:color w:val="auto"/>
        </w:rPr>
      </w:pPr>
    </w:p>
    <w:p>
      <w:pPr>
        <w:ind w:left="20" w:right="700"/>
        <w:spacing w:after="0" w:line="318" w:lineRule="auto"/>
        <w:rPr>
          <w:sz w:val="20"/>
          <w:szCs w:val="20"/>
          <w:color w:val="auto"/>
        </w:rPr>
      </w:pPr>
      <w:r>
        <w:rPr>
          <w:rFonts w:ascii="Arial" w:cs="Arial" w:eastAsia="Arial" w:hAnsi="Arial"/>
          <w:sz w:val="17"/>
          <w:szCs w:val="17"/>
          <w:color w:val="auto"/>
        </w:rPr>
        <w:t>125 Summer Street Boston, MA 02110</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RECORD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Tuesday, January 3,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280"/>
        <w:spacing w:after="0" w:line="309" w:lineRule="auto"/>
        <w:rPr>
          <w:sz w:val="20"/>
          <w:szCs w:val="20"/>
          <w:color w:val="auto"/>
        </w:rPr>
      </w:pPr>
      <w:r>
        <w:rPr>
          <w:rFonts w:ascii="Arial" w:cs="Arial" w:eastAsia="Arial" w:hAnsi="Arial"/>
          <w:sz w:val="23"/>
          <w:szCs w:val="23"/>
          <w:b w:val="1"/>
          <w:bCs w:val="1"/>
          <w:color w:val="auto"/>
        </w:rPr>
        <w:t>How to vote: Your vote is important</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INTERNET</w:t>
      </w:r>
    </w:p>
    <w:p>
      <w:pPr>
        <w:spacing w:after="0" w:line="117"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Go to www.proxyvote.com You will need the 16-digit control number that appears on your proxy card or the Notice.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TELEPHONE</w:t>
      </w:r>
    </w:p>
    <w:p>
      <w:pPr>
        <w:spacing w:after="0" w:line="117"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Call 1-800-690-6903 You will need the 16-digit control number that appears on your proxy card or the Notice.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VOTE BY MAIL</w:t>
      </w:r>
    </w:p>
    <w:p>
      <w:pPr>
        <w:spacing w:after="0" w:line="117"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Mark, sign, date, and mail your proxy card or your voting instruction form. No postage is required if mailed in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Items of Business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2023 Annual Meeting of Shareholders of Analog Devices, Inc. (ADI), or Annual Meeting, will be held at our offices located at 125 Summer Street, Boston, Massachusetts 02110, on Wednesday, March 8, 2023 at 9:00 a.m. local time. At the Annual Meeting, shareholders will consider and vote on the following matters:</w:t>
      </w:r>
    </w:p>
    <w:p>
      <w:pPr>
        <w:spacing w:after="0" w:line="29" w:lineRule="exact"/>
        <w:rPr>
          <w:sz w:val="20"/>
          <w:szCs w:val="20"/>
          <w:color w:val="auto"/>
        </w:rPr>
      </w:pPr>
    </w:p>
    <w:p>
      <w:pPr>
        <w:ind w:left="260" w:right="280" w:hanging="254"/>
        <w:spacing w:after="0" w:line="286"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elect the 11 director nominees named in this Proxy Statement to our Board of Directors, each to serve for a term expiring at the next annual meeting of shareholders;</w:t>
      </w:r>
    </w:p>
    <w:p>
      <w:pPr>
        <w:spacing w:after="0" w:line="20" w:lineRule="exact"/>
        <w:rPr>
          <w:rFonts w:ascii="Arial" w:cs="Arial" w:eastAsia="Arial" w:hAnsi="Arial"/>
          <w:sz w:val="16"/>
          <w:szCs w:val="16"/>
          <w:b w:val="1"/>
          <w:bCs w:val="1"/>
          <w:color w:val="0067B3"/>
        </w:rPr>
      </w:pPr>
    </w:p>
    <w:p>
      <w:pPr>
        <w:ind w:left="260" w:right="80" w:hanging="254"/>
        <w:spacing w:after="0" w:line="275"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 xml:space="preserve">To approve, by a non-binding “say-on-pay” vote, the compensation of our named executive officers,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executive compensation tables and accompanying narrative disclosures in this Proxy Statement;</w:t>
      </w:r>
    </w:p>
    <w:p>
      <w:pPr>
        <w:spacing w:after="0" w:line="15" w:lineRule="exact"/>
        <w:rPr>
          <w:rFonts w:ascii="Arial" w:cs="Arial" w:eastAsia="Arial" w:hAnsi="Arial"/>
          <w:sz w:val="16"/>
          <w:szCs w:val="16"/>
          <w:b w:val="1"/>
          <w:bCs w:val="1"/>
          <w:color w:val="0067B3"/>
        </w:rPr>
      </w:pPr>
    </w:p>
    <w:p>
      <w:pPr>
        <w:ind w:left="260" w:right="880" w:hanging="254"/>
        <w:spacing w:after="0" w:line="299"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hold a non-binding “say-on-frequency” vote regarding the frequency of future advisory votes on the compensation of our named executive officers; and</w:t>
      </w:r>
    </w:p>
    <w:p>
      <w:pPr>
        <w:ind w:left="260" w:right="320" w:hanging="254"/>
        <w:spacing w:after="0" w:line="304" w:lineRule="auto"/>
        <w:tabs>
          <w:tab w:leader="none" w:pos="285" w:val="left"/>
        </w:tabs>
        <w:numPr>
          <w:ilvl w:val="0"/>
          <w:numId w:val="6"/>
        </w:numPr>
        <w:rPr>
          <w:rFonts w:ascii="Arial" w:cs="Arial" w:eastAsia="Arial" w:hAnsi="Arial"/>
          <w:sz w:val="16"/>
          <w:szCs w:val="16"/>
          <w:b w:val="1"/>
          <w:bCs w:val="1"/>
          <w:color w:val="0067B3"/>
        </w:rPr>
      </w:pPr>
      <w:r>
        <w:rPr>
          <w:rFonts w:ascii="Arial" w:cs="Arial" w:eastAsia="Arial" w:hAnsi="Arial"/>
          <w:sz w:val="16"/>
          <w:szCs w:val="16"/>
          <w:color w:val="auto"/>
        </w:rPr>
        <w:t>To ratify the selection of Ernst &amp; Young LLP as our independent registered public accounting firm for the fiscal year ending October 28, 2023.</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will also act on any other business that may properly come before the Annual Meeting.</w:t>
      </w:r>
    </w:p>
    <w:p>
      <w:pPr>
        <w:spacing w:after="0" w:line="12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Board of Directors recommends that you vote FOR each director nominee included in Proposal 1, FOR each of Proposals 2 and 4, and for an advisory vote every 1 YEAR in Proposal 3. The full text of these proposals is set forth in this Proxy Statement.</w:t>
      </w:r>
    </w:p>
    <w:p>
      <w:pPr>
        <w:spacing w:after="0" w:line="77"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Beginning on January 20, 2023, we will mail to our shareholders a Notice of Internet Availability of Proxy Materials, or Notice, which contains instructions on how to access our proxy materials and vote online. The Notice also contains instructions on how each of our shareholders can receive a paper copy of our proxy materials, including this Proxy Statement, our 2022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8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Shareholders of record at the close of business on the record date of January 3, 2023 are entitled to vote at the Annual Meeting.</w:t>
      </w:r>
    </w:p>
    <w:p>
      <w:pPr>
        <w:spacing w:after="0" w:line="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Your vote is important no matter how many shares you own, and we encourage you to vote promptly whether or not you plan to attend the Annual Meeting.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1722755"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0067B3"/>
        </w:rPr>
        <w:t>JANENE ASGEIRSSON</w:t>
      </w:r>
    </w:p>
    <w:p>
      <w:pPr>
        <w:spacing w:after="0" w:line="27" w:lineRule="exact"/>
        <w:rPr>
          <w:sz w:val="20"/>
          <w:szCs w:val="20"/>
          <w:color w:val="auto"/>
        </w:rPr>
      </w:pPr>
    </w:p>
    <w:p>
      <w:pPr>
        <w:ind w:left="1880" w:right="2420"/>
        <w:spacing w:after="0" w:line="266" w:lineRule="auto"/>
        <w:rPr>
          <w:sz w:val="20"/>
          <w:szCs w:val="20"/>
          <w:color w:val="auto"/>
        </w:rPr>
      </w:pPr>
      <w:r>
        <w:rPr>
          <w:rFonts w:ascii="Arial" w:cs="Arial" w:eastAsia="Arial" w:hAnsi="Arial"/>
          <w:sz w:val="18"/>
          <w:szCs w:val="18"/>
          <w:color w:val="auto"/>
        </w:rPr>
        <w:t>Chief Legal Officer, Chief Risk Officer and Secretary January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539178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91785" cy="7200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40" w:right="240"/>
        <w:spacing w:after="0" w:line="291" w:lineRule="auto"/>
        <w:rPr>
          <w:sz w:val="20"/>
          <w:szCs w:val="20"/>
          <w:color w:val="auto"/>
        </w:rPr>
      </w:pPr>
      <w:r>
        <w:rPr>
          <w:rFonts w:ascii="Arial" w:cs="Arial" w:eastAsia="Arial" w:hAnsi="Arial"/>
          <w:sz w:val="17"/>
          <w:szCs w:val="17"/>
          <w:color w:val="0067B3"/>
        </w:rPr>
        <w:t>Important Notice Regarding the Availability of Proxy Materials for the Annual Meeting of Shareholders to be Held on March 8, 2023: This Proxy Statement and the 2022 Annual Report are available for viewing, printing and downloading at https://investor.analog.com/financial-info/annual-reports.</w:t>
      </w:r>
    </w:p>
    <w:p>
      <w:pPr>
        <w:sectPr>
          <w:pgSz w:w="11900" w:h="16838" w:orient="portrait"/>
          <w:cols w:equalWidth="0" w:num="2">
            <w:col w:w="2280" w:space="480"/>
            <w:col w:w="8440"/>
          </w:cols>
          <w:pgMar w:left="320" w:top="1126" w:right="379" w:bottom="1440" w:gutter="0" w:footer="0" w:header="0"/>
          <w:type w:val="continuous"/>
        </w:sectPr>
      </w:pPr>
    </w:p>
    <w:bookmarkStart w:id="5" w:name="page6"/>
    <w:bookmarkEnd w:id="5"/>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1597025</wp:posOffset>
            </wp:positionH>
            <wp:positionV relativeFrom="page">
              <wp:posOffset>911860</wp:posOffset>
            </wp:positionV>
            <wp:extent cx="889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4114800"/>
                    </a:xfrm>
                    <a:prstGeom prst="rect">
                      <a:avLst/>
                    </a:prstGeom>
                    <a:noFill/>
                  </pic:spPr>
                </pic:pic>
              </a:graphicData>
            </a:graphic>
          </wp:anchor>
        </w:drawing>
      </w:r>
    </w:p>
    <w:p>
      <w:pPr>
        <w:ind w:right="380"/>
        <w:spacing w:after="0" w:line="296" w:lineRule="auto"/>
        <w:rPr>
          <w:sz w:val="20"/>
          <w:szCs w:val="20"/>
          <w:color w:val="auto"/>
        </w:rPr>
      </w:pPr>
      <w:r>
        <w:rPr>
          <w:rFonts w:ascii="Arial" w:cs="Arial" w:eastAsia="Arial" w:hAnsi="Arial"/>
          <w:sz w:val="18"/>
          <w:szCs w:val="18"/>
          <w:b w:val="1"/>
          <w:bCs w:val="1"/>
          <w:color w:val="0067B3"/>
        </w:rPr>
        <w:t>DURING THE ANNUAL MEETING</w:t>
      </w:r>
    </w:p>
    <w:p>
      <w:pPr>
        <w:spacing w:after="0" w:line="2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For details on voting your shares during the Annual Meeting, see </w:t>
      </w:r>
      <w:r>
        <w:rPr>
          <w:rFonts w:ascii="Arial" w:cs="Arial" w:eastAsia="Arial" w:hAnsi="Arial"/>
          <w:sz w:val="17"/>
          <w:szCs w:val="17"/>
          <w:i w:val="1"/>
          <w:iCs w:val="1"/>
          <w:color w:val="auto"/>
        </w:rPr>
        <w:t>Q&amp;A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Annual Meeting and Voting </w:t>
      </w:r>
      <w:r>
        <w:rPr>
          <w:rFonts w:ascii="Arial" w:cs="Arial" w:eastAsia="Arial" w:hAnsi="Arial"/>
          <w:sz w:val="17"/>
          <w:szCs w:val="17"/>
          <w:color w:val="auto"/>
        </w:rPr>
        <w:t>on page 88.</w:t>
      </w:r>
    </w:p>
    <w:p>
      <w:pPr>
        <w:spacing w:after="0" w:line="5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Web links throughout this document are provided for convenience only, and the content on the referenced websites does not constitute a part of this Proxy Statement.</w:t>
      </w:r>
    </w:p>
    <w:p>
      <w:pPr>
        <w:spacing w:after="0" w:line="5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sum and/or computation of individual numerical amounts or percentages disclosed in this Proxy Statement may not equal the total due to rounding.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1"/>
          <w:szCs w:val="41"/>
          <w:b w:val="1"/>
          <w:bCs w:val="1"/>
          <w:color w:val="0067B3"/>
        </w:rPr>
        <w:t>Forward-Looking Statements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new or improved innovative solutions, products, and technologies; the effects of business, economic, political, legal, and regulatory impacts or conflicts upon our global operations; manufacturing delays, product availability, and supply chain disruptions; recruiting or retaining our key personnel and making changes to our compensation programs; our future liquidity, capital needs and capital expenditures; our future market position, expected competitive changes in the marketplace and changes in demand and supply for our products; our ability to pay dividends or repurchase stock; our ability to service our outstanding debt; our expected tax rate; our ability to successfully integrate acquired businesses and technologies, including the acquired business, operations and employees of Maxim Integrated Products, Inc.; environment, social and governance related goals and commitments;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Proxy Statement,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80"/>
        <w:spacing w:after="0"/>
        <w:rPr>
          <w:sz w:val="20"/>
          <w:szCs w:val="20"/>
          <w:color w:val="auto"/>
        </w:rPr>
      </w:pPr>
      <w:r>
        <w:rPr>
          <w:rFonts w:ascii="Arial" w:cs="Arial" w:eastAsia="Arial" w:hAnsi="Arial"/>
          <w:sz w:val="16"/>
          <w:szCs w:val="16"/>
          <w:color w:val="0067B3"/>
        </w:rPr>
        <w:t>2023 Proxy Statement</w:t>
      </w:r>
    </w:p>
    <w:p>
      <w:pPr>
        <w:sectPr>
          <w:pgSz w:w="11900" w:h="16838" w:orient="portrait"/>
          <w:cols w:equalWidth="0" w:num="2">
            <w:col w:w="2020" w:space="440"/>
            <w:col w:w="8360"/>
          </w:cols>
          <w:pgMar w:left="340" w:top="1410" w:right="739" w:bottom="1440" w:gutter="0" w:footer="0" w:header="0"/>
        </w:sectPr>
      </w:pPr>
    </w:p>
    <w:bookmarkStart w:id="6" w:name="page7"/>
    <w:bookmarkEnd w:id="6"/>
    <w:p>
      <w:pPr>
        <w:spacing w:after="0" w:line="150" w:lineRule="exact"/>
        <w:rPr>
          <w:sz w:val="20"/>
          <w:szCs w:val="20"/>
          <w:color w:val="auto"/>
        </w:rPr>
      </w:pPr>
    </w:p>
    <w:p>
      <w:pPr>
        <w:spacing w:after="0"/>
        <w:rPr>
          <w:sz w:val="20"/>
          <w:szCs w:val="20"/>
          <w:color w:val="auto"/>
        </w:rPr>
      </w:pPr>
      <w:r>
        <w:rPr>
          <w:rFonts w:ascii="Arial" w:cs="Arial" w:eastAsia="Arial" w:hAnsi="Arial"/>
          <w:sz w:val="58"/>
          <w:szCs w:val="5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3446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Highlights</w:t>
            </w:r>
          </w:p>
        </w:tc>
        <w:tc>
          <w:tcPr>
            <w:tcW w:w="520" w:type="dxa"/>
            <w:vAlign w:val="bottom"/>
          </w:tcPr>
          <w:p>
            <w:pPr>
              <w:ind w:left="100"/>
              <w:spacing w:after="0"/>
              <w:rPr>
                <w:sz w:val="20"/>
                <w:szCs w:val="20"/>
                <w:color w:val="auto"/>
              </w:rPr>
            </w:pPr>
            <w:r>
              <w:rPr>
                <w:rFonts w:ascii="Arial" w:cs="Arial" w:eastAsia="Arial" w:hAnsi="Arial"/>
                <w:sz w:val="18"/>
                <w:szCs w:val="18"/>
                <w:color w:val="auto"/>
              </w:rPr>
              <w:t>1</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411"/>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Proxy Summary</w:t>
            </w:r>
          </w:p>
        </w:tc>
        <w:tc>
          <w:tcPr>
            <w:tcW w:w="520" w:type="dxa"/>
            <w:vAlign w:val="bottom"/>
          </w:tcPr>
          <w:p>
            <w:pPr>
              <w:ind w:left="100"/>
              <w:spacing w:after="0"/>
              <w:rPr>
                <w:sz w:val="20"/>
                <w:szCs w:val="20"/>
                <w:color w:val="auto"/>
              </w:rPr>
            </w:pPr>
            <w:r>
              <w:rPr>
                <w:rFonts w:ascii="Arial" w:cs="Arial" w:eastAsia="Arial" w:hAnsi="Arial"/>
                <w:sz w:val="18"/>
                <w:szCs w:val="18"/>
                <w:color w:val="auto"/>
              </w:rPr>
              <w:t>7</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411"/>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Board of Directors</w:t>
            </w:r>
          </w:p>
        </w:tc>
        <w:tc>
          <w:tcPr>
            <w:tcW w:w="520" w:type="dxa"/>
            <w:vAlign w:val="bottom"/>
          </w:tcPr>
          <w:p>
            <w:pPr>
              <w:ind w:left="100"/>
              <w:spacing w:after="0"/>
              <w:rPr>
                <w:sz w:val="20"/>
                <w:szCs w:val="20"/>
                <w:color w:val="auto"/>
              </w:rPr>
            </w:pPr>
            <w:r>
              <w:rPr>
                <w:rFonts w:ascii="Arial" w:cs="Arial" w:eastAsia="Arial" w:hAnsi="Arial"/>
                <w:sz w:val="18"/>
                <w:szCs w:val="18"/>
                <w:color w:val="auto"/>
              </w:rPr>
              <w:t>17</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492"/>
        </w:trPr>
        <w:tc>
          <w:tcPr>
            <w:tcW w:w="4920" w:type="dxa"/>
            <w:vAlign w:val="bottom"/>
          </w:tcPr>
          <w:p>
            <w:pPr>
              <w:ind w:left="440"/>
              <w:spacing w:after="0"/>
              <w:rPr>
                <w:sz w:val="20"/>
                <w:szCs w:val="20"/>
                <w:color w:val="auto"/>
              </w:rPr>
            </w:pPr>
            <w:r>
              <w:rPr>
                <w:rFonts w:ascii="Arial" w:cs="Arial" w:eastAsia="Arial" w:hAnsi="Arial"/>
                <w:sz w:val="22"/>
                <w:szCs w:val="22"/>
                <w:b w:val="1"/>
                <w:bCs w:val="1"/>
                <w:color w:val="0067B3"/>
              </w:rPr>
              <w:t>Proposal 1 — Election of Directors</w:t>
            </w:r>
          </w:p>
        </w:tc>
        <w:tc>
          <w:tcPr>
            <w:tcW w:w="520" w:type="dxa"/>
            <w:vAlign w:val="bottom"/>
          </w:tcPr>
          <w:p>
            <w:pPr>
              <w:ind w:left="100"/>
              <w:spacing w:after="0"/>
              <w:rPr>
                <w:sz w:val="20"/>
                <w:szCs w:val="20"/>
                <w:color w:val="auto"/>
              </w:rPr>
            </w:pPr>
            <w:r>
              <w:rPr>
                <w:rFonts w:ascii="Arial" w:cs="Arial" w:eastAsia="Arial" w:hAnsi="Arial"/>
                <w:sz w:val="18"/>
                <w:szCs w:val="18"/>
                <w:color w:val="auto"/>
              </w:rPr>
              <w:t>17</w:t>
            </w:r>
          </w:p>
        </w:tc>
      </w:tr>
      <w:tr>
        <w:trPr>
          <w:trHeight w:val="109"/>
        </w:trPr>
        <w:tc>
          <w:tcPr>
            <w:tcW w:w="4920" w:type="dxa"/>
            <w:vAlign w:val="bottom"/>
            <w:tcBorders>
              <w:bottom w:val="single" w:sz="8" w:color="0067B3"/>
            </w:tcBorders>
          </w:tcPr>
          <w:p>
            <w:pPr>
              <w:spacing w:after="0"/>
              <w:rPr>
                <w:sz w:val="9"/>
                <w:szCs w:val="9"/>
                <w:color w:val="auto"/>
              </w:rPr>
            </w:pPr>
          </w:p>
        </w:tc>
        <w:tc>
          <w:tcPr>
            <w:tcW w:w="520" w:type="dxa"/>
            <w:vAlign w:val="bottom"/>
            <w:tcBorders>
              <w:bottom w:val="single" w:sz="8" w:color="0067B3"/>
            </w:tcBorders>
          </w:tcPr>
          <w:p>
            <w:pPr>
              <w:spacing w:after="0"/>
              <w:rPr>
                <w:sz w:val="9"/>
                <w:szCs w:val="9"/>
                <w:color w:val="auto"/>
              </w:rPr>
            </w:pPr>
          </w:p>
        </w:tc>
      </w:tr>
      <w:tr>
        <w:trPr>
          <w:trHeight w:val="348"/>
        </w:trPr>
        <w:tc>
          <w:tcPr>
            <w:tcW w:w="4920" w:type="dxa"/>
            <w:vAlign w:val="bottom"/>
          </w:tcPr>
          <w:p>
            <w:pPr>
              <w:ind w:left="20"/>
              <w:spacing w:after="0"/>
              <w:rPr>
                <w:sz w:val="20"/>
                <w:szCs w:val="20"/>
                <w:color w:val="auto"/>
              </w:rPr>
            </w:pPr>
            <w:r>
              <w:rPr>
                <w:rFonts w:ascii="Arial" w:cs="Arial" w:eastAsia="Arial" w:hAnsi="Arial"/>
                <w:sz w:val="18"/>
                <w:szCs w:val="18"/>
                <w:color w:val="auto"/>
              </w:rPr>
              <w:t>Election Process</w:t>
            </w:r>
          </w:p>
        </w:tc>
        <w:tc>
          <w:tcPr>
            <w:tcW w:w="520" w:type="dxa"/>
            <w:vAlign w:val="bottom"/>
          </w:tcPr>
          <w:p>
            <w:pPr>
              <w:ind w:left="100"/>
              <w:spacing w:after="0"/>
              <w:rPr>
                <w:sz w:val="20"/>
                <w:szCs w:val="20"/>
                <w:color w:val="auto"/>
              </w:rPr>
            </w:pPr>
            <w:r>
              <w:rPr>
                <w:rFonts w:ascii="Arial" w:cs="Arial" w:eastAsia="Arial" w:hAnsi="Arial"/>
                <w:sz w:val="18"/>
                <w:szCs w:val="18"/>
                <w:color w:val="auto"/>
              </w:rPr>
              <w:t>17</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Director Criteria, Qualifications and Experience</w:t>
            </w:r>
          </w:p>
        </w:tc>
        <w:tc>
          <w:tcPr>
            <w:tcW w:w="520" w:type="dxa"/>
            <w:vAlign w:val="bottom"/>
          </w:tcPr>
          <w:p>
            <w:pPr>
              <w:ind w:left="100"/>
              <w:spacing w:after="0"/>
              <w:rPr>
                <w:sz w:val="20"/>
                <w:szCs w:val="20"/>
                <w:color w:val="auto"/>
              </w:rPr>
            </w:pPr>
            <w:r>
              <w:rPr>
                <w:rFonts w:ascii="Arial" w:cs="Arial" w:eastAsia="Arial" w:hAnsi="Arial"/>
                <w:sz w:val="18"/>
                <w:szCs w:val="18"/>
                <w:color w:val="auto"/>
              </w:rPr>
              <w:t>18</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Director Biographies</w:t>
            </w:r>
          </w:p>
        </w:tc>
        <w:tc>
          <w:tcPr>
            <w:tcW w:w="520" w:type="dxa"/>
            <w:vAlign w:val="bottom"/>
          </w:tcPr>
          <w:p>
            <w:pPr>
              <w:ind w:left="100"/>
              <w:spacing w:after="0"/>
              <w:rPr>
                <w:sz w:val="20"/>
                <w:szCs w:val="20"/>
                <w:color w:val="auto"/>
              </w:rPr>
            </w:pPr>
            <w:r>
              <w:rPr>
                <w:rFonts w:ascii="Arial" w:cs="Arial" w:eastAsia="Arial" w:hAnsi="Arial"/>
                <w:sz w:val="18"/>
                <w:szCs w:val="18"/>
                <w:color w:val="auto"/>
              </w:rPr>
              <w:t>20</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Determination of Independence</w:t>
            </w:r>
          </w:p>
        </w:tc>
        <w:tc>
          <w:tcPr>
            <w:tcW w:w="520" w:type="dxa"/>
            <w:vAlign w:val="bottom"/>
          </w:tcPr>
          <w:p>
            <w:pPr>
              <w:ind w:left="100"/>
              <w:spacing w:after="0"/>
              <w:rPr>
                <w:sz w:val="20"/>
                <w:szCs w:val="20"/>
                <w:color w:val="auto"/>
              </w:rPr>
            </w:pPr>
            <w:r>
              <w:rPr>
                <w:rFonts w:ascii="Arial" w:cs="Arial" w:eastAsia="Arial" w:hAnsi="Arial"/>
                <w:sz w:val="18"/>
                <w:szCs w:val="18"/>
                <w:color w:val="auto"/>
              </w:rPr>
              <w:t>27</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Director Candidates</w:t>
            </w:r>
          </w:p>
        </w:tc>
        <w:tc>
          <w:tcPr>
            <w:tcW w:w="520" w:type="dxa"/>
            <w:vAlign w:val="bottom"/>
          </w:tcPr>
          <w:p>
            <w:pPr>
              <w:ind w:left="100"/>
              <w:spacing w:after="0"/>
              <w:rPr>
                <w:sz w:val="20"/>
                <w:szCs w:val="20"/>
                <w:color w:val="auto"/>
              </w:rPr>
            </w:pPr>
            <w:r>
              <w:rPr>
                <w:rFonts w:ascii="Arial" w:cs="Arial" w:eastAsia="Arial" w:hAnsi="Arial"/>
                <w:sz w:val="18"/>
                <w:szCs w:val="18"/>
                <w:color w:val="auto"/>
              </w:rPr>
              <w:t>28</w:t>
            </w:r>
          </w:p>
        </w:tc>
      </w:tr>
      <w:tr>
        <w:trPr>
          <w:trHeight w:val="548"/>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Corporate Governance</w:t>
            </w:r>
          </w:p>
        </w:tc>
        <w:tc>
          <w:tcPr>
            <w:tcW w:w="520" w:type="dxa"/>
            <w:vAlign w:val="bottom"/>
          </w:tcPr>
          <w:p>
            <w:pPr>
              <w:ind w:left="100"/>
              <w:spacing w:after="0"/>
              <w:rPr>
                <w:sz w:val="20"/>
                <w:szCs w:val="20"/>
                <w:color w:val="auto"/>
              </w:rPr>
            </w:pPr>
            <w:r>
              <w:rPr>
                <w:rFonts w:ascii="Arial" w:cs="Arial" w:eastAsia="Arial" w:hAnsi="Arial"/>
                <w:sz w:val="18"/>
                <w:szCs w:val="18"/>
                <w:color w:val="auto"/>
              </w:rPr>
              <w:t>29</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348"/>
        </w:trPr>
        <w:tc>
          <w:tcPr>
            <w:tcW w:w="4920" w:type="dxa"/>
            <w:vAlign w:val="bottom"/>
          </w:tcPr>
          <w:p>
            <w:pPr>
              <w:ind w:left="20"/>
              <w:spacing w:after="0"/>
              <w:rPr>
                <w:sz w:val="20"/>
                <w:szCs w:val="20"/>
                <w:color w:val="auto"/>
              </w:rPr>
            </w:pPr>
            <w:r>
              <w:rPr>
                <w:rFonts w:ascii="Arial" w:cs="Arial" w:eastAsia="Arial" w:hAnsi="Arial"/>
                <w:sz w:val="18"/>
                <w:szCs w:val="18"/>
                <w:color w:val="auto"/>
              </w:rPr>
              <w:t>Board Policies and Practices</w:t>
            </w:r>
          </w:p>
        </w:tc>
        <w:tc>
          <w:tcPr>
            <w:tcW w:w="520" w:type="dxa"/>
            <w:vAlign w:val="bottom"/>
          </w:tcPr>
          <w:p>
            <w:pPr>
              <w:ind w:left="100"/>
              <w:spacing w:after="0"/>
              <w:rPr>
                <w:sz w:val="20"/>
                <w:szCs w:val="20"/>
                <w:color w:val="auto"/>
              </w:rPr>
            </w:pPr>
            <w:r>
              <w:rPr>
                <w:rFonts w:ascii="Arial" w:cs="Arial" w:eastAsia="Arial" w:hAnsi="Arial"/>
                <w:sz w:val="18"/>
                <w:szCs w:val="18"/>
                <w:color w:val="auto"/>
              </w:rPr>
              <w:t>29</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Board and Committee Structure</w:t>
            </w:r>
          </w:p>
        </w:tc>
        <w:tc>
          <w:tcPr>
            <w:tcW w:w="520" w:type="dxa"/>
            <w:vAlign w:val="bottom"/>
          </w:tcPr>
          <w:p>
            <w:pPr>
              <w:ind w:left="100"/>
              <w:spacing w:after="0"/>
              <w:rPr>
                <w:sz w:val="20"/>
                <w:szCs w:val="20"/>
                <w:color w:val="auto"/>
              </w:rPr>
            </w:pPr>
            <w:r>
              <w:rPr>
                <w:rFonts w:ascii="Arial" w:cs="Arial" w:eastAsia="Arial" w:hAnsi="Arial"/>
                <w:sz w:val="18"/>
                <w:szCs w:val="18"/>
                <w:color w:val="auto"/>
              </w:rPr>
              <w:t>30</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Oversight by Our Board</w:t>
            </w:r>
          </w:p>
        </w:tc>
        <w:tc>
          <w:tcPr>
            <w:tcW w:w="520" w:type="dxa"/>
            <w:vAlign w:val="bottom"/>
          </w:tcPr>
          <w:p>
            <w:pPr>
              <w:ind w:left="100"/>
              <w:spacing w:after="0"/>
              <w:rPr>
                <w:sz w:val="20"/>
                <w:szCs w:val="20"/>
                <w:color w:val="auto"/>
              </w:rPr>
            </w:pPr>
            <w:r>
              <w:rPr>
                <w:rFonts w:ascii="Arial" w:cs="Arial" w:eastAsia="Arial" w:hAnsi="Arial"/>
                <w:sz w:val="18"/>
                <w:szCs w:val="18"/>
                <w:color w:val="auto"/>
              </w:rPr>
              <w:t>36</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Other Governance Matters</w:t>
            </w:r>
          </w:p>
        </w:tc>
        <w:tc>
          <w:tcPr>
            <w:tcW w:w="520" w:type="dxa"/>
            <w:vAlign w:val="bottom"/>
          </w:tcPr>
          <w:p>
            <w:pPr>
              <w:ind w:left="100"/>
              <w:spacing w:after="0"/>
              <w:rPr>
                <w:sz w:val="20"/>
                <w:szCs w:val="20"/>
                <w:color w:val="auto"/>
              </w:rPr>
            </w:pPr>
            <w:r>
              <w:rPr>
                <w:rFonts w:ascii="Arial" w:cs="Arial" w:eastAsia="Arial" w:hAnsi="Arial"/>
                <w:sz w:val="18"/>
                <w:szCs w:val="18"/>
                <w:color w:val="auto"/>
              </w:rPr>
              <w:t>40</w:t>
            </w:r>
          </w:p>
        </w:tc>
      </w:tr>
      <w:tr>
        <w:trPr>
          <w:trHeight w:val="548"/>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Director Compensation</w:t>
            </w:r>
          </w:p>
        </w:tc>
        <w:tc>
          <w:tcPr>
            <w:tcW w:w="520" w:type="dxa"/>
            <w:vAlign w:val="bottom"/>
          </w:tcPr>
          <w:p>
            <w:pPr>
              <w:ind w:left="100"/>
              <w:spacing w:after="0"/>
              <w:rPr>
                <w:sz w:val="20"/>
                <w:szCs w:val="20"/>
                <w:color w:val="auto"/>
              </w:rPr>
            </w:pPr>
            <w:r>
              <w:rPr>
                <w:rFonts w:ascii="Arial" w:cs="Arial" w:eastAsia="Arial" w:hAnsi="Arial"/>
                <w:sz w:val="18"/>
                <w:szCs w:val="18"/>
                <w:color w:val="auto"/>
              </w:rPr>
              <w:t>42</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348"/>
        </w:trPr>
        <w:tc>
          <w:tcPr>
            <w:tcW w:w="4920" w:type="dxa"/>
            <w:vAlign w:val="bottom"/>
          </w:tcPr>
          <w:p>
            <w:pPr>
              <w:ind w:left="20"/>
              <w:spacing w:after="0"/>
              <w:rPr>
                <w:sz w:val="20"/>
                <w:szCs w:val="20"/>
                <w:color w:val="auto"/>
              </w:rPr>
            </w:pPr>
            <w:r>
              <w:rPr>
                <w:rFonts w:ascii="Arial" w:cs="Arial" w:eastAsia="Arial" w:hAnsi="Arial"/>
                <w:sz w:val="18"/>
                <w:szCs w:val="18"/>
                <w:color w:val="auto"/>
              </w:rPr>
              <w:t>Annual Director Compensation</w:t>
            </w:r>
          </w:p>
        </w:tc>
        <w:tc>
          <w:tcPr>
            <w:tcW w:w="520" w:type="dxa"/>
            <w:vAlign w:val="bottom"/>
          </w:tcPr>
          <w:p>
            <w:pPr>
              <w:ind w:left="100"/>
              <w:spacing w:after="0"/>
              <w:rPr>
                <w:sz w:val="20"/>
                <w:szCs w:val="20"/>
                <w:color w:val="auto"/>
              </w:rPr>
            </w:pPr>
            <w:r>
              <w:rPr>
                <w:rFonts w:ascii="Arial" w:cs="Arial" w:eastAsia="Arial" w:hAnsi="Arial"/>
                <w:sz w:val="18"/>
                <w:szCs w:val="18"/>
                <w:color w:val="auto"/>
              </w:rPr>
              <w:t>42</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Fiscal Year 2022 Director Compensation</w:t>
            </w:r>
          </w:p>
        </w:tc>
        <w:tc>
          <w:tcPr>
            <w:tcW w:w="520" w:type="dxa"/>
            <w:vAlign w:val="bottom"/>
          </w:tcPr>
          <w:p>
            <w:pPr>
              <w:ind w:left="100"/>
              <w:spacing w:after="0"/>
              <w:rPr>
                <w:sz w:val="20"/>
                <w:szCs w:val="20"/>
                <w:color w:val="auto"/>
              </w:rPr>
            </w:pPr>
            <w:r>
              <w:rPr>
                <w:rFonts w:ascii="Arial" w:cs="Arial" w:eastAsia="Arial" w:hAnsi="Arial"/>
                <w:sz w:val="18"/>
                <w:szCs w:val="18"/>
                <w:color w:val="auto"/>
              </w:rPr>
              <w:t>43</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Stock Ownership Guidelines for Non-Employee Directors</w:t>
            </w:r>
          </w:p>
        </w:tc>
        <w:tc>
          <w:tcPr>
            <w:tcW w:w="520" w:type="dxa"/>
            <w:vAlign w:val="bottom"/>
          </w:tcPr>
          <w:p>
            <w:pPr>
              <w:ind w:left="100"/>
              <w:spacing w:after="0"/>
              <w:rPr>
                <w:sz w:val="20"/>
                <w:szCs w:val="20"/>
                <w:color w:val="auto"/>
              </w:rPr>
            </w:pPr>
            <w:r>
              <w:rPr>
                <w:rFonts w:ascii="Arial" w:cs="Arial" w:eastAsia="Arial" w:hAnsi="Arial"/>
                <w:sz w:val="18"/>
                <w:szCs w:val="18"/>
                <w:color w:val="auto"/>
              </w:rPr>
              <w:t>44</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Equity Award Grant Date Policy for Non-Employee Directors</w:t>
            </w:r>
          </w:p>
        </w:tc>
        <w:tc>
          <w:tcPr>
            <w:tcW w:w="520" w:type="dxa"/>
            <w:vAlign w:val="bottom"/>
          </w:tcPr>
          <w:p>
            <w:pPr>
              <w:ind w:left="100"/>
              <w:spacing w:after="0"/>
              <w:rPr>
                <w:sz w:val="20"/>
                <w:szCs w:val="20"/>
                <w:color w:val="auto"/>
              </w:rPr>
            </w:pPr>
            <w:r>
              <w:rPr>
                <w:rFonts w:ascii="Arial" w:cs="Arial" w:eastAsia="Arial" w:hAnsi="Arial"/>
                <w:sz w:val="18"/>
                <w:szCs w:val="18"/>
                <w:color w:val="auto"/>
              </w:rPr>
              <w:t>45</w:t>
            </w:r>
          </w:p>
        </w:tc>
      </w:tr>
      <w:tr>
        <w:trPr>
          <w:trHeight w:val="549"/>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Leadership Team</w:t>
            </w:r>
          </w:p>
        </w:tc>
        <w:tc>
          <w:tcPr>
            <w:tcW w:w="520" w:type="dxa"/>
            <w:vAlign w:val="bottom"/>
          </w:tcPr>
          <w:p>
            <w:pPr>
              <w:ind w:left="100"/>
              <w:spacing w:after="0"/>
              <w:rPr>
                <w:sz w:val="20"/>
                <w:szCs w:val="20"/>
                <w:color w:val="auto"/>
              </w:rPr>
            </w:pPr>
            <w:r>
              <w:rPr>
                <w:rFonts w:ascii="Arial" w:cs="Arial" w:eastAsia="Arial" w:hAnsi="Arial"/>
                <w:sz w:val="18"/>
                <w:szCs w:val="18"/>
                <w:color w:val="auto"/>
              </w:rPr>
              <w:t>46</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348"/>
        </w:trPr>
        <w:tc>
          <w:tcPr>
            <w:tcW w:w="4920" w:type="dxa"/>
            <w:vAlign w:val="bottom"/>
          </w:tcPr>
          <w:p>
            <w:pPr>
              <w:ind w:left="20"/>
              <w:spacing w:after="0"/>
              <w:rPr>
                <w:sz w:val="20"/>
                <w:szCs w:val="20"/>
                <w:color w:val="auto"/>
              </w:rPr>
            </w:pPr>
            <w:r>
              <w:rPr>
                <w:rFonts w:ascii="Arial" w:cs="Arial" w:eastAsia="Arial" w:hAnsi="Arial"/>
                <w:sz w:val="18"/>
                <w:szCs w:val="18"/>
                <w:color w:val="auto"/>
              </w:rPr>
              <w:t>Leadership Team</w:t>
            </w:r>
          </w:p>
        </w:tc>
        <w:tc>
          <w:tcPr>
            <w:tcW w:w="520" w:type="dxa"/>
            <w:vAlign w:val="bottom"/>
          </w:tcPr>
          <w:p>
            <w:pPr>
              <w:ind w:left="100"/>
              <w:spacing w:after="0"/>
              <w:rPr>
                <w:sz w:val="20"/>
                <w:szCs w:val="20"/>
                <w:color w:val="auto"/>
              </w:rPr>
            </w:pPr>
            <w:r>
              <w:rPr>
                <w:rFonts w:ascii="Arial" w:cs="Arial" w:eastAsia="Arial" w:hAnsi="Arial"/>
                <w:sz w:val="18"/>
                <w:szCs w:val="18"/>
                <w:color w:val="auto"/>
              </w:rPr>
              <w:t>46</w:t>
            </w:r>
          </w:p>
        </w:tc>
      </w:tr>
      <w:tr>
        <w:trPr>
          <w:trHeight w:val="549"/>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Executive Compensation</w:t>
            </w:r>
          </w:p>
        </w:tc>
        <w:tc>
          <w:tcPr>
            <w:tcW w:w="520" w:type="dxa"/>
            <w:vAlign w:val="bottom"/>
          </w:tcPr>
          <w:p>
            <w:pPr>
              <w:ind w:left="100"/>
              <w:spacing w:after="0"/>
              <w:rPr>
                <w:sz w:val="20"/>
                <w:szCs w:val="20"/>
                <w:color w:val="auto"/>
              </w:rPr>
            </w:pPr>
            <w:r>
              <w:rPr>
                <w:rFonts w:ascii="Arial" w:cs="Arial" w:eastAsia="Arial" w:hAnsi="Arial"/>
                <w:sz w:val="18"/>
                <w:szCs w:val="18"/>
                <w:color w:val="auto"/>
              </w:rPr>
              <w:t>48</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465"/>
        </w:trPr>
        <w:tc>
          <w:tcPr>
            <w:tcW w:w="4920" w:type="dxa"/>
            <w:vAlign w:val="bottom"/>
          </w:tcPr>
          <w:p>
            <w:pPr>
              <w:ind w:left="440"/>
              <w:spacing w:after="0"/>
              <w:rPr>
                <w:sz w:val="20"/>
                <w:szCs w:val="20"/>
                <w:color w:val="auto"/>
              </w:rPr>
            </w:pPr>
            <w:r>
              <w:rPr>
                <w:rFonts w:ascii="Arial" w:cs="Arial" w:eastAsia="Arial" w:hAnsi="Arial"/>
                <w:sz w:val="22"/>
                <w:szCs w:val="22"/>
                <w:b w:val="1"/>
                <w:bCs w:val="1"/>
                <w:color w:val="0067B3"/>
              </w:rPr>
              <w:t>Proposal 2 — Advisory Approval of the</w:t>
            </w:r>
          </w:p>
        </w:tc>
        <w:tc>
          <w:tcPr>
            <w:tcW w:w="520" w:type="dxa"/>
            <w:vAlign w:val="bottom"/>
          </w:tcPr>
          <w:p>
            <w:pPr>
              <w:spacing w:after="0"/>
              <w:rPr>
                <w:sz w:val="24"/>
                <w:szCs w:val="24"/>
                <w:color w:val="auto"/>
              </w:rPr>
            </w:pPr>
          </w:p>
        </w:tc>
      </w:tr>
      <w:tr>
        <w:trPr>
          <w:trHeight w:val="257"/>
        </w:trPr>
        <w:tc>
          <w:tcPr>
            <w:tcW w:w="4920" w:type="dxa"/>
            <w:vAlign w:val="bottom"/>
          </w:tcPr>
          <w:p>
            <w:pPr>
              <w:ind w:left="440"/>
              <w:spacing w:after="0"/>
              <w:rPr>
                <w:sz w:val="20"/>
                <w:szCs w:val="20"/>
                <w:color w:val="auto"/>
              </w:rPr>
            </w:pPr>
            <w:r>
              <w:rPr>
                <w:rFonts w:ascii="Arial" w:cs="Arial" w:eastAsia="Arial" w:hAnsi="Arial"/>
                <w:sz w:val="22"/>
                <w:szCs w:val="22"/>
                <w:b w:val="1"/>
                <w:bCs w:val="1"/>
                <w:color w:val="0067B3"/>
              </w:rPr>
              <w:t>Compensation of ADI’s Named Executive</w:t>
            </w:r>
          </w:p>
        </w:tc>
        <w:tc>
          <w:tcPr>
            <w:tcW w:w="520" w:type="dxa"/>
            <w:vAlign w:val="bottom"/>
          </w:tcPr>
          <w:p>
            <w:pPr>
              <w:spacing w:after="0"/>
              <w:rPr>
                <w:sz w:val="22"/>
                <w:szCs w:val="22"/>
                <w:color w:val="auto"/>
              </w:rPr>
            </w:pPr>
          </w:p>
        </w:tc>
      </w:tr>
      <w:tr>
        <w:trPr>
          <w:trHeight w:val="297"/>
        </w:trPr>
        <w:tc>
          <w:tcPr>
            <w:tcW w:w="4920" w:type="dxa"/>
            <w:vAlign w:val="bottom"/>
          </w:tcPr>
          <w:p>
            <w:pPr>
              <w:ind w:left="440"/>
              <w:spacing w:after="0"/>
              <w:rPr>
                <w:sz w:val="20"/>
                <w:szCs w:val="20"/>
                <w:color w:val="auto"/>
              </w:rPr>
            </w:pPr>
            <w:r>
              <w:rPr>
                <w:rFonts w:ascii="Arial" w:cs="Arial" w:eastAsia="Arial" w:hAnsi="Arial"/>
                <w:sz w:val="22"/>
                <w:szCs w:val="22"/>
                <w:b w:val="1"/>
                <w:bCs w:val="1"/>
                <w:color w:val="0067B3"/>
              </w:rPr>
              <w:t>Officers</w:t>
            </w:r>
          </w:p>
        </w:tc>
        <w:tc>
          <w:tcPr>
            <w:tcW w:w="520" w:type="dxa"/>
            <w:vAlign w:val="bottom"/>
          </w:tcPr>
          <w:p>
            <w:pPr>
              <w:ind w:left="100"/>
              <w:spacing w:after="0"/>
              <w:rPr>
                <w:sz w:val="20"/>
                <w:szCs w:val="20"/>
                <w:color w:val="auto"/>
              </w:rPr>
            </w:pPr>
            <w:r>
              <w:rPr>
                <w:rFonts w:ascii="Arial" w:cs="Arial" w:eastAsia="Arial" w:hAnsi="Arial"/>
                <w:sz w:val="18"/>
                <w:szCs w:val="18"/>
                <w:color w:val="auto"/>
              </w:rPr>
              <w:t>48</w:t>
            </w:r>
          </w:p>
        </w:tc>
      </w:tr>
      <w:tr>
        <w:trPr>
          <w:trHeight w:val="109"/>
        </w:trPr>
        <w:tc>
          <w:tcPr>
            <w:tcW w:w="4920" w:type="dxa"/>
            <w:vAlign w:val="bottom"/>
            <w:tcBorders>
              <w:bottom w:val="single" w:sz="8" w:color="0067B3"/>
            </w:tcBorders>
          </w:tcPr>
          <w:p>
            <w:pPr>
              <w:spacing w:after="0"/>
              <w:rPr>
                <w:sz w:val="9"/>
                <w:szCs w:val="9"/>
                <w:color w:val="auto"/>
              </w:rPr>
            </w:pPr>
          </w:p>
        </w:tc>
        <w:tc>
          <w:tcPr>
            <w:tcW w:w="520" w:type="dxa"/>
            <w:vAlign w:val="bottom"/>
            <w:tcBorders>
              <w:bottom w:val="single" w:sz="8" w:color="0067B3"/>
            </w:tcBorders>
          </w:tcPr>
          <w:p>
            <w:pPr>
              <w:spacing w:after="0"/>
              <w:rPr>
                <w:sz w:val="9"/>
                <w:szCs w:val="9"/>
                <w:color w:val="auto"/>
              </w:rPr>
            </w:pPr>
          </w:p>
        </w:tc>
      </w:tr>
      <w:tr>
        <w:trPr>
          <w:trHeight w:val="349"/>
        </w:trPr>
        <w:tc>
          <w:tcPr>
            <w:tcW w:w="4920" w:type="dxa"/>
            <w:vAlign w:val="bottom"/>
          </w:tcPr>
          <w:p>
            <w:pPr>
              <w:ind w:left="20"/>
              <w:spacing w:after="0"/>
              <w:rPr>
                <w:sz w:val="20"/>
                <w:szCs w:val="20"/>
                <w:color w:val="auto"/>
              </w:rPr>
            </w:pPr>
            <w:r>
              <w:rPr>
                <w:rFonts w:ascii="Arial" w:cs="Arial" w:eastAsia="Arial" w:hAnsi="Arial"/>
                <w:sz w:val="18"/>
                <w:szCs w:val="18"/>
                <w:color w:val="auto"/>
              </w:rPr>
              <w:t>Compensation Discussion and Analysis</w:t>
            </w:r>
          </w:p>
        </w:tc>
        <w:tc>
          <w:tcPr>
            <w:tcW w:w="520" w:type="dxa"/>
            <w:vAlign w:val="bottom"/>
          </w:tcPr>
          <w:p>
            <w:pPr>
              <w:ind w:left="100"/>
              <w:spacing w:after="0"/>
              <w:rPr>
                <w:sz w:val="20"/>
                <w:szCs w:val="20"/>
                <w:color w:val="auto"/>
              </w:rPr>
            </w:pPr>
            <w:r>
              <w:rPr>
                <w:rFonts w:ascii="Arial" w:cs="Arial" w:eastAsia="Arial" w:hAnsi="Arial"/>
                <w:sz w:val="18"/>
                <w:szCs w:val="18"/>
                <w:color w:val="auto"/>
              </w:rPr>
              <w:t>49</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Compensation and Talent Committee Report</w:t>
            </w:r>
          </w:p>
        </w:tc>
        <w:tc>
          <w:tcPr>
            <w:tcW w:w="520" w:type="dxa"/>
            <w:vAlign w:val="bottom"/>
          </w:tcPr>
          <w:p>
            <w:pPr>
              <w:ind w:left="100"/>
              <w:spacing w:after="0"/>
              <w:rPr>
                <w:sz w:val="20"/>
                <w:szCs w:val="20"/>
                <w:color w:val="auto"/>
              </w:rPr>
            </w:pPr>
            <w:r>
              <w:rPr>
                <w:rFonts w:ascii="Arial" w:cs="Arial" w:eastAsia="Arial" w:hAnsi="Arial"/>
                <w:sz w:val="18"/>
                <w:szCs w:val="18"/>
                <w:color w:val="auto"/>
              </w:rPr>
              <w:t>67</w:t>
            </w:r>
          </w:p>
        </w:tc>
      </w:tr>
      <w:tr>
        <w:trPr>
          <w:trHeight w:val="463"/>
        </w:trPr>
        <w:tc>
          <w:tcPr>
            <w:tcW w:w="4920" w:type="dxa"/>
            <w:vAlign w:val="bottom"/>
          </w:tcPr>
          <w:p>
            <w:pPr>
              <w:ind w:left="20"/>
              <w:spacing w:after="0"/>
              <w:rPr>
                <w:sz w:val="20"/>
                <w:szCs w:val="20"/>
                <w:color w:val="auto"/>
              </w:rPr>
            </w:pPr>
            <w:r>
              <w:rPr>
                <w:rFonts w:ascii="Arial" w:cs="Arial" w:eastAsia="Arial" w:hAnsi="Arial"/>
                <w:sz w:val="18"/>
                <w:szCs w:val="18"/>
                <w:color w:val="auto"/>
              </w:rPr>
              <w:t>Compensation and Talent Committee Interlocks and</w:t>
            </w:r>
          </w:p>
        </w:tc>
        <w:tc>
          <w:tcPr>
            <w:tcW w:w="520" w:type="dxa"/>
            <w:vAlign w:val="bottom"/>
          </w:tcPr>
          <w:p>
            <w:pPr>
              <w:spacing w:after="0"/>
              <w:rPr>
                <w:sz w:val="24"/>
                <w:szCs w:val="24"/>
                <w:color w:val="auto"/>
              </w:rPr>
            </w:pPr>
          </w:p>
        </w:tc>
      </w:t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Insider Participation</w:t>
            </w:r>
          </w:p>
        </w:tc>
        <w:tc>
          <w:tcPr>
            <w:tcW w:w="520" w:type="dxa"/>
            <w:vAlign w:val="bottom"/>
          </w:tcPr>
          <w:p>
            <w:pPr>
              <w:ind w:left="100"/>
              <w:spacing w:after="0"/>
              <w:rPr>
                <w:sz w:val="20"/>
                <w:szCs w:val="20"/>
                <w:color w:val="auto"/>
              </w:rPr>
            </w:pPr>
            <w:r>
              <w:rPr>
                <w:rFonts w:ascii="Arial" w:cs="Arial" w:eastAsia="Arial" w:hAnsi="Arial"/>
                <w:sz w:val="18"/>
                <w:szCs w:val="18"/>
                <w:color w:val="auto"/>
              </w:rPr>
              <w:t>68</w:t>
            </w:r>
          </w:p>
        </w:tc>
      </w:tr>
      <w:tr>
        <w:trPr>
          <w:trHeight w:val="485"/>
        </w:trPr>
        <w:tc>
          <w:tcPr>
            <w:tcW w:w="4920" w:type="dxa"/>
            <w:vAlign w:val="bottom"/>
          </w:tcPr>
          <w:p>
            <w:pPr>
              <w:ind w:left="20"/>
              <w:spacing w:after="0"/>
              <w:rPr>
                <w:sz w:val="20"/>
                <w:szCs w:val="20"/>
                <w:color w:val="auto"/>
              </w:rPr>
            </w:pPr>
            <w:r>
              <w:rPr>
                <w:rFonts w:ascii="Arial" w:cs="Arial" w:eastAsia="Arial" w:hAnsi="Arial"/>
                <w:sz w:val="18"/>
                <w:szCs w:val="18"/>
                <w:color w:val="auto"/>
              </w:rPr>
              <w:t>Compensation Tables</w:t>
            </w:r>
          </w:p>
        </w:tc>
        <w:tc>
          <w:tcPr>
            <w:tcW w:w="520" w:type="dxa"/>
            <w:vAlign w:val="bottom"/>
          </w:tcPr>
          <w:p>
            <w:pPr>
              <w:ind w:left="100"/>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-7981950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-1724025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Audit Matters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80</w:t>
            </w:r>
          </w:p>
        </w:tc>
      </w:tr>
      <w:tr>
        <w:trPr>
          <w:trHeight w:val="109"/>
        </w:trPr>
        <w:tc>
          <w:tcPr>
            <w:tcW w:w="5020" w:type="dxa"/>
            <w:vAlign w:val="bottom"/>
            <w:tcBorders>
              <w:bottom w:val="single" w:sz="8" w:color="939598"/>
            </w:tcBorders>
          </w:tcPr>
          <w:p>
            <w:pPr>
              <w:spacing w:after="0"/>
              <w:rPr>
                <w:sz w:val="9"/>
                <w:szCs w:val="9"/>
                <w:color w:val="auto"/>
              </w:rPr>
            </w:pPr>
          </w:p>
        </w:tc>
        <w:tc>
          <w:tcPr>
            <w:tcW w:w="420" w:type="dxa"/>
            <w:vAlign w:val="bottom"/>
            <w:tcBorders>
              <w:bottom w:val="single" w:sz="8" w:color="939598"/>
            </w:tcBorders>
          </w:tcPr>
          <w:p>
            <w:pPr>
              <w:spacing w:after="0"/>
              <w:rPr>
                <w:sz w:val="9"/>
                <w:szCs w:val="9"/>
                <w:color w:val="auto"/>
              </w:rPr>
            </w:pPr>
          </w:p>
        </w:tc>
      </w:tr>
      <w:tr>
        <w:trPr>
          <w:trHeight w:val="465"/>
        </w:trPr>
        <w:tc>
          <w:tcPr>
            <w:tcW w:w="5020" w:type="dxa"/>
            <w:vAlign w:val="bottom"/>
          </w:tcPr>
          <w:p>
            <w:pPr>
              <w:ind w:left="440"/>
              <w:spacing w:after="0"/>
              <w:rPr>
                <w:sz w:val="20"/>
                <w:szCs w:val="20"/>
                <w:color w:val="auto"/>
              </w:rPr>
            </w:pPr>
            <w:r>
              <w:rPr>
                <w:rFonts w:ascii="Arial" w:cs="Arial" w:eastAsia="Arial" w:hAnsi="Arial"/>
                <w:sz w:val="22"/>
                <w:szCs w:val="22"/>
                <w:b w:val="1"/>
                <w:bCs w:val="1"/>
                <w:color w:val="0067B3"/>
                <w:w w:val="98"/>
              </w:rPr>
              <w:t>Proposal 4 — Ratification of the Selection of</w:t>
            </w:r>
          </w:p>
        </w:tc>
        <w:tc>
          <w:tcPr>
            <w:tcW w:w="420" w:type="dxa"/>
            <w:vAlign w:val="bottom"/>
          </w:tcPr>
          <w:p>
            <w:pPr>
              <w:spacing w:after="0"/>
              <w:rPr>
                <w:sz w:val="24"/>
                <w:szCs w:val="24"/>
                <w:color w:val="auto"/>
              </w:rPr>
            </w:pPr>
          </w:p>
        </w:tc>
      </w:tr>
      <w:tr>
        <w:trPr>
          <w:trHeight w:val="256"/>
        </w:trPr>
        <w:tc>
          <w:tcPr>
            <w:tcW w:w="5020" w:type="dxa"/>
            <w:vAlign w:val="bottom"/>
          </w:tcPr>
          <w:p>
            <w:pPr>
              <w:ind w:left="440"/>
              <w:spacing w:after="0"/>
              <w:rPr>
                <w:sz w:val="20"/>
                <w:szCs w:val="20"/>
                <w:color w:val="auto"/>
              </w:rPr>
            </w:pPr>
            <w:r>
              <w:rPr>
                <w:rFonts w:ascii="Arial" w:cs="Arial" w:eastAsia="Arial" w:hAnsi="Arial"/>
                <w:sz w:val="22"/>
                <w:szCs w:val="22"/>
                <w:b w:val="1"/>
                <w:bCs w:val="1"/>
                <w:color w:val="0067B3"/>
              </w:rPr>
              <w:t>Ernst &amp; Young LLP as Independent</w:t>
            </w:r>
          </w:p>
        </w:tc>
        <w:tc>
          <w:tcPr>
            <w:tcW w:w="420" w:type="dxa"/>
            <w:vAlign w:val="bottom"/>
          </w:tcPr>
          <w:p>
            <w:pPr>
              <w:spacing w:after="0"/>
              <w:rPr>
                <w:sz w:val="22"/>
                <w:szCs w:val="22"/>
                <w:color w:val="auto"/>
              </w:rPr>
            </w:pPr>
          </w:p>
        </w:tc>
      </w:tr>
      <w:tr>
        <w:trPr>
          <w:trHeight w:val="257"/>
        </w:trPr>
        <w:tc>
          <w:tcPr>
            <w:tcW w:w="5020" w:type="dxa"/>
            <w:vAlign w:val="bottom"/>
          </w:tcPr>
          <w:p>
            <w:pPr>
              <w:ind w:left="440"/>
              <w:spacing w:after="0"/>
              <w:rPr>
                <w:sz w:val="20"/>
                <w:szCs w:val="20"/>
                <w:color w:val="auto"/>
              </w:rPr>
            </w:pPr>
            <w:r>
              <w:rPr>
                <w:rFonts w:ascii="Arial" w:cs="Arial" w:eastAsia="Arial" w:hAnsi="Arial"/>
                <w:sz w:val="22"/>
                <w:szCs w:val="22"/>
                <w:b w:val="1"/>
                <w:bCs w:val="1"/>
                <w:color w:val="0067B3"/>
              </w:rPr>
              <w:t>Registered Public Accounting Firm for the</w:t>
            </w:r>
          </w:p>
        </w:tc>
        <w:tc>
          <w:tcPr>
            <w:tcW w:w="420" w:type="dxa"/>
            <w:vAlign w:val="bottom"/>
          </w:tcPr>
          <w:p>
            <w:pPr>
              <w:spacing w:after="0"/>
              <w:rPr>
                <w:sz w:val="22"/>
                <w:szCs w:val="22"/>
                <w:color w:val="auto"/>
              </w:rPr>
            </w:pPr>
          </w:p>
        </w:tc>
      </w:tr>
      <w:tr>
        <w:trPr>
          <w:trHeight w:val="257"/>
        </w:trPr>
        <w:tc>
          <w:tcPr>
            <w:tcW w:w="5020" w:type="dxa"/>
            <w:vAlign w:val="bottom"/>
          </w:tcPr>
          <w:p>
            <w:pPr>
              <w:ind w:left="440"/>
              <w:spacing w:after="0"/>
              <w:rPr>
                <w:sz w:val="20"/>
                <w:szCs w:val="20"/>
                <w:color w:val="auto"/>
              </w:rPr>
            </w:pPr>
            <w:r>
              <w:rPr>
                <w:rFonts w:ascii="Arial" w:cs="Arial" w:eastAsia="Arial" w:hAnsi="Arial"/>
                <w:sz w:val="22"/>
                <w:szCs w:val="22"/>
                <w:b w:val="1"/>
                <w:bCs w:val="1"/>
                <w:color w:val="0067B3"/>
              </w:rPr>
              <w:t>Company’s Fiscal Year Ending October 28,</w:t>
            </w:r>
          </w:p>
        </w:tc>
        <w:tc>
          <w:tcPr>
            <w:tcW w:w="420" w:type="dxa"/>
            <w:vAlign w:val="bottom"/>
          </w:tcPr>
          <w:p>
            <w:pPr>
              <w:spacing w:after="0"/>
              <w:rPr>
                <w:sz w:val="22"/>
                <w:szCs w:val="22"/>
                <w:color w:val="auto"/>
              </w:rPr>
            </w:pPr>
          </w:p>
        </w:tc>
      </w:tr>
      <w:tr>
        <w:trPr>
          <w:trHeight w:val="297"/>
        </w:trPr>
        <w:tc>
          <w:tcPr>
            <w:tcW w:w="5020" w:type="dxa"/>
            <w:vAlign w:val="bottom"/>
          </w:tcPr>
          <w:p>
            <w:pPr>
              <w:ind w:left="440"/>
              <w:spacing w:after="0"/>
              <w:rPr>
                <w:sz w:val="20"/>
                <w:szCs w:val="20"/>
                <w:color w:val="auto"/>
              </w:rPr>
            </w:pPr>
            <w:r>
              <w:rPr>
                <w:rFonts w:ascii="Arial" w:cs="Arial" w:eastAsia="Arial" w:hAnsi="Arial"/>
                <w:sz w:val="22"/>
                <w:szCs w:val="22"/>
                <w:b w:val="1"/>
                <w:bCs w:val="1"/>
                <w:color w:val="0067B3"/>
              </w:rPr>
              <w:t>2023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80</w:t>
            </w:r>
          </w:p>
        </w:tc>
      </w:tr>
      <w:tr>
        <w:trPr>
          <w:trHeight w:val="109"/>
        </w:trPr>
        <w:tc>
          <w:tcPr>
            <w:tcW w:w="5020" w:type="dxa"/>
            <w:vAlign w:val="bottom"/>
            <w:tcBorders>
              <w:bottom w:val="single" w:sz="8" w:color="0067B3"/>
            </w:tcBorders>
          </w:tcPr>
          <w:p>
            <w:pPr>
              <w:spacing w:after="0"/>
              <w:rPr>
                <w:sz w:val="9"/>
                <w:szCs w:val="9"/>
                <w:color w:val="auto"/>
              </w:rPr>
            </w:pPr>
          </w:p>
        </w:tc>
        <w:tc>
          <w:tcPr>
            <w:tcW w:w="420" w:type="dxa"/>
            <w:vAlign w:val="bottom"/>
            <w:tcBorders>
              <w:bottom w:val="single" w:sz="8" w:color="006098"/>
            </w:tcBorders>
          </w:tcPr>
          <w:p>
            <w:pPr>
              <w:spacing w:after="0"/>
              <w:rPr>
                <w:sz w:val="9"/>
                <w:szCs w:val="9"/>
                <w:color w:val="auto"/>
              </w:rPr>
            </w:pPr>
          </w:p>
        </w:tc>
      </w:tr>
      <w:tr>
        <w:trPr>
          <w:trHeight w:val="348"/>
        </w:trPr>
        <w:tc>
          <w:tcPr>
            <w:tcW w:w="5020" w:type="dxa"/>
            <w:vAlign w:val="bottom"/>
          </w:tcPr>
          <w:p>
            <w:pPr>
              <w:ind w:left="20"/>
              <w:spacing w:after="0"/>
              <w:rPr>
                <w:sz w:val="20"/>
                <w:szCs w:val="20"/>
                <w:color w:val="auto"/>
              </w:rPr>
            </w:pPr>
            <w:r>
              <w:rPr>
                <w:rFonts w:ascii="Arial" w:cs="Arial" w:eastAsia="Arial" w:hAnsi="Arial"/>
                <w:sz w:val="18"/>
                <w:szCs w:val="18"/>
                <w:color w:val="auto"/>
              </w:rPr>
              <w:t>Overview</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80</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Fees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81</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Audit Committee’s Pre-Approval Policy and Procedures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82</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82</w:t>
            </w:r>
          </w:p>
        </w:tc>
      </w:tr>
      <w:tr>
        <w:trPr>
          <w:trHeight w:val="548"/>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Beneficial Ownership of Common Stock</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83</w:t>
            </w:r>
          </w:p>
        </w:tc>
      </w:tr>
      <w:tr>
        <w:trPr>
          <w:trHeight w:val="109"/>
        </w:trPr>
        <w:tc>
          <w:tcPr>
            <w:tcW w:w="5020" w:type="dxa"/>
            <w:vAlign w:val="bottom"/>
            <w:tcBorders>
              <w:bottom w:val="single" w:sz="8" w:color="939598"/>
            </w:tcBorders>
          </w:tcPr>
          <w:p>
            <w:pPr>
              <w:spacing w:after="0"/>
              <w:rPr>
                <w:sz w:val="9"/>
                <w:szCs w:val="9"/>
                <w:color w:val="auto"/>
              </w:rPr>
            </w:pPr>
          </w:p>
        </w:tc>
        <w:tc>
          <w:tcPr>
            <w:tcW w:w="420" w:type="dxa"/>
            <w:vAlign w:val="bottom"/>
            <w:tcBorders>
              <w:bottom w:val="single" w:sz="8" w:color="939598"/>
            </w:tcBorders>
          </w:tcPr>
          <w:p>
            <w:pPr>
              <w:spacing w:after="0"/>
              <w:rPr>
                <w:sz w:val="9"/>
                <w:szCs w:val="9"/>
                <w:color w:val="auto"/>
              </w:rPr>
            </w:pPr>
          </w:p>
        </w:tc>
      </w:tr>
      <w:tr>
        <w:trPr>
          <w:trHeight w:val="348"/>
        </w:trPr>
        <w:tc>
          <w:tcPr>
            <w:tcW w:w="502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83</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Security Ownership of Directors and Executive Officers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84</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Delinquent Section 16(a) Reports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85</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No Hedging or Pledging Policy</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85</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Equity Award Program Description</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85</w:t>
            </w:r>
          </w:p>
        </w:tc>
      </w:tr>
      <w:tr>
        <w:trPr>
          <w:trHeight w:val="463"/>
        </w:trPr>
        <w:tc>
          <w:tcPr>
            <w:tcW w:w="5020" w:type="dxa"/>
            <w:vAlign w:val="bottom"/>
          </w:tcPr>
          <w:p>
            <w:pPr>
              <w:ind w:left="20"/>
              <w:spacing w:after="0"/>
              <w:rPr>
                <w:sz w:val="20"/>
                <w:szCs w:val="20"/>
                <w:color w:val="auto"/>
              </w:rPr>
            </w:pPr>
            <w:r>
              <w:rPr>
                <w:rFonts w:ascii="Arial" w:cs="Arial" w:eastAsia="Arial" w:hAnsi="Arial"/>
                <w:sz w:val="18"/>
                <w:szCs w:val="18"/>
                <w:color w:val="auto"/>
              </w:rPr>
              <w:t>Securities Authorized for Issuance under Equity</w:t>
            </w:r>
          </w:p>
        </w:tc>
        <w:tc>
          <w:tcPr>
            <w:tcW w:w="420" w:type="dxa"/>
            <w:vAlign w:val="bottom"/>
          </w:tcPr>
          <w:p>
            <w:pPr>
              <w:spacing w:after="0"/>
              <w:rPr>
                <w:sz w:val="24"/>
                <w:szCs w:val="24"/>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Compensation Plans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87</w:t>
            </w:r>
          </w:p>
        </w:tc>
      </w:tr>
      <w:tr>
        <w:trPr>
          <w:trHeight w:val="548"/>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Q&amp;A About Annual Meeting and Voting</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88</w:t>
            </w:r>
          </w:p>
        </w:tc>
      </w:tr>
      <w:tr>
        <w:trPr>
          <w:trHeight w:val="109"/>
        </w:trPr>
        <w:tc>
          <w:tcPr>
            <w:tcW w:w="5020" w:type="dxa"/>
            <w:vAlign w:val="bottom"/>
            <w:tcBorders>
              <w:bottom w:val="single" w:sz="8" w:color="939598"/>
            </w:tcBorders>
          </w:tcPr>
          <w:p>
            <w:pPr>
              <w:spacing w:after="0"/>
              <w:rPr>
                <w:sz w:val="9"/>
                <w:szCs w:val="9"/>
                <w:color w:val="auto"/>
              </w:rPr>
            </w:pPr>
          </w:p>
        </w:tc>
        <w:tc>
          <w:tcPr>
            <w:tcW w:w="420" w:type="dxa"/>
            <w:vAlign w:val="bottom"/>
            <w:tcBorders>
              <w:bottom w:val="single" w:sz="8" w:color="939598"/>
            </w:tcBorders>
          </w:tcPr>
          <w:p>
            <w:pPr>
              <w:spacing w:after="0"/>
              <w:rPr>
                <w:sz w:val="9"/>
                <w:szCs w:val="9"/>
                <w:color w:val="auto"/>
              </w:rPr>
            </w:pPr>
          </w:p>
        </w:tc>
      </w:tr>
      <w:tr>
        <w:trPr>
          <w:trHeight w:val="411"/>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Additional Information</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92</w:t>
            </w:r>
          </w:p>
        </w:tc>
      </w:tr>
      <w:tr>
        <w:trPr>
          <w:trHeight w:val="109"/>
        </w:trPr>
        <w:tc>
          <w:tcPr>
            <w:tcW w:w="5020" w:type="dxa"/>
            <w:vAlign w:val="bottom"/>
            <w:tcBorders>
              <w:bottom w:val="single" w:sz="8" w:color="939598"/>
            </w:tcBorders>
          </w:tcPr>
          <w:p>
            <w:pPr>
              <w:spacing w:after="0"/>
              <w:rPr>
                <w:sz w:val="9"/>
                <w:szCs w:val="9"/>
                <w:color w:val="auto"/>
              </w:rPr>
            </w:pPr>
          </w:p>
        </w:tc>
        <w:tc>
          <w:tcPr>
            <w:tcW w:w="420" w:type="dxa"/>
            <w:vAlign w:val="bottom"/>
            <w:tcBorders>
              <w:bottom w:val="single" w:sz="8" w:color="939598"/>
            </w:tcBorders>
          </w:tcPr>
          <w:p>
            <w:pPr>
              <w:spacing w:after="0"/>
              <w:rPr>
                <w:sz w:val="9"/>
                <w:szCs w:val="9"/>
                <w:color w:val="auto"/>
              </w:rPr>
            </w:pPr>
          </w:p>
        </w:tc>
      </w:tr>
      <w:tr>
        <w:trPr>
          <w:trHeight w:val="443"/>
        </w:trPr>
        <w:tc>
          <w:tcPr>
            <w:tcW w:w="5020" w:type="dxa"/>
            <w:vAlign w:val="bottom"/>
          </w:tcPr>
          <w:p>
            <w:pPr>
              <w:ind w:left="20"/>
              <w:spacing w:after="0"/>
              <w:rPr>
                <w:sz w:val="20"/>
                <w:szCs w:val="20"/>
                <w:color w:val="auto"/>
              </w:rPr>
            </w:pPr>
            <w:r>
              <w:rPr>
                <w:rFonts w:ascii="Arial" w:cs="Arial" w:eastAsia="Arial" w:hAnsi="Arial"/>
                <w:sz w:val="18"/>
                <w:szCs w:val="18"/>
                <w:color w:val="auto"/>
              </w:rPr>
              <w:t>Other Matters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92</w:t>
            </w:r>
          </w:p>
        </w:tc>
      </w:tr>
      <w:tr>
        <w:trPr>
          <w:trHeight w:val="486"/>
        </w:trPr>
        <w:tc>
          <w:tcPr>
            <w:tcW w:w="5020" w:type="dxa"/>
            <w:vAlign w:val="bottom"/>
          </w:tcPr>
          <w:p>
            <w:pPr>
              <w:ind w:left="20"/>
              <w:spacing w:after="0"/>
              <w:rPr>
                <w:sz w:val="20"/>
                <w:szCs w:val="20"/>
                <w:color w:val="auto"/>
              </w:rPr>
            </w:pPr>
            <w:r>
              <w:rPr>
                <w:rFonts w:ascii="Arial" w:cs="Arial" w:eastAsia="Arial" w:hAnsi="Arial"/>
                <w:sz w:val="18"/>
                <w:szCs w:val="18"/>
                <w:color w:val="auto"/>
              </w:rPr>
              <w:t>Shareholder Proposals for Inclusion in Proxy Statement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92</w:t>
            </w:r>
          </w:p>
        </w:tc>
      </w:tr>
      <w:tr>
        <w:trPr>
          <w:trHeight w:val="504"/>
        </w:trPr>
        <w:tc>
          <w:tcPr>
            <w:tcW w:w="5020" w:type="dxa"/>
            <w:vAlign w:val="bottom"/>
          </w:tcPr>
          <w:p>
            <w:pPr>
              <w:ind w:left="20"/>
              <w:spacing w:after="0"/>
              <w:rPr>
                <w:sz w:val="20"/>
                <w:szCs w:val="20"/>
                <w:color w:val="auto"/>
              </w:rPr>
            </w:pPr>
            <w:r>
              <w:rPr>
                <w:rFonts w:ascii="Arial" w:cs="Arial" w:eastAsia="Arial" w:hAnsi="Arial"/>
                <w:sz w:val="18"/>
                <w:szCs w:val="18"/>
                <w:color w:val="auto"/>
              </w:rPr>
              <w:t>Shareholder Director Nominations for Inclusion in</w:t>
            </w:r>
          </w:p>
        </w:tc>
        <w:tc>
          <w:tcPr>
            <w:tcW w:w="420" w:type="dxa"/>
            <w:vAlign w:val="bottom"/>
          </w:tcPr>
          <w:p>
            <w:pPr>
              <w:spacing w:after="0"/>
              <w:rPr>
                <w:sz w:val="24"/>
                <w:szCs w:val="24"/>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Proxy Statement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92</w:t>
            </w:r>
          </w:p>
        </w:tc>
      </w:tr>
      <w:tr>
        <w:trPr>
          <w:trHeight w:val="504"/>
        </w:trPr>
        <w:tc>
          <w:tcPr>
            <w:tcW w:w="5020" w:type="dxa"/>
            <w:vAlign w:val="bottom"/>
          </w:tcPr>
          <w:p>
            <w:pPr>
              <w:ind w:left="20"/>
              <w:spacing w:after="0"/>
              <w:rPr>
                <w:sz w:val="20"/>
                <w:szCs w:val="20"/>
                <w:color w:val="auto"/>
              </w:rPr>
            </w:pPr>
            <w:r>
              <w:rPr>
                <w:rFonts w:ascii="Arial" w:cs="Arial" w:eastAsia="Arial" w:hAnsi="Arial"/>
                <w:sz w:val="18"/>
                <w:szCs w:val="18"/>
                <w:color w:val="auto"/>
              </w:rPr>
              <w:t>Shareholder Proposals and Director Nominations Not Included</w:t>
            </w:r>
          </w:p>
        </w:tc>
        <w:tc>
          <w:tcPr>
            <w:tcW w:w="420" w:type="dxa"/>
            <w:vAlign w:val="bottom"/>
          </w:tcPr>
          <w:p>
            <w:pPr>
              <w:spacing w:after="0"/>
              <w:rPr>
                <w:sz w:val="24"/>
                <w:szCs w:val="24"/>
                <w:color w:val="auto"/>
              </w:rPr>
            </w:pPr>
          </w:p>
        </w:tc>
      </w:tr>
      <w:tr>
        <w:trPr>
          <w:trHeight w:val="266"/>
        </w:trPr>
        <w:tc>
          <w:tcPr>
            <w:tcW w:w="5020" w:type="dxa"/>
            <w:vAlign w:val="bottom"/>
          </w:tcPr>
          <w:p>
            <w:pPr>
              <w:ind w:left="20"/>
              <w:spacing w:after="0"/>
              <w:rPr>
                <w:sz w:val="20"/>
                <w:szCs w:val="20"/>
                <w:color w:val="auto"/>
              </w:rPr>
            </w:pPr>
            <w:r>
              <w:rPr>
                <w:rFonts w:ascii="Arial" w:cs="Arial" w:eastAsia="Arial" w:hAnsi="Arial"/>
                <w:sz w:val="18"/>
                <w:szCs w:val="18"/>
                <w:color w:val="auto"/>
              </w:rPr>
              <w:t>in Proxy Statement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92</w:t>
            </w:r>
          </w:p>
        </w:tc>
      </w:tr>
      <w:tr>
        <w:trPr>
          <w:trHeight w:val="810"/>
        </w:trPr>
        <w:tc>
          <w:tcPr>
            <w:tcW w:w="5020" w:type="dxa"/>
            <w:vAlign w:val="bottom"/>
          </w:tcPr>
          <w:p>
            <w:pPr>
              <w:ind w:left="20"/>
              <w:spacing w:after="0"/>
              <w:rPr>
                <w:sz w:val="20"/>
                <w:szCs w:val="20"/>
                <w:color w:val="auto"/>
              </w:rPr>
            </w:pPr>
            <w:r>
              <w:rPr>
                <w:rFonts w:ascii="Arial" w:cs="Arial" w:eastAsia="Arial" w:hAnsi="Arial"/>
                <w:sz w:val="18"/>
                <w:szCs w:val="18"/>
                <w:color w:val="auto"/>
              </w:rPr>
              <w:t>Notice of Amendment of Bylaws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93</w:t>
            </w:r>
          </w:p>
        </w:tc>
      </w:tr>
      <w:tr>
        <w:trPr>
          <w:trHeight w:val="715"/>
        </w:trPr>
        <w:tc>
          <w:tcPr>
            <w:tcW w:w="5020" w:type="dxa"/>
            <w:vAlign w:val="bottom"/>
          </w:tcPr>
          <w:p>
            <w:pPr>
              <w:ind w:left="20"/>
              <w:spacing w:after="0"/>
              <w:rPr>
                <w:sz w:val="20"/>
                <w:szCs w:val="20"/>
                <w:color w:val="auto"/>
              </w:rPr>
            </w:pPr>
            <w:r>
              <w:rPr>
                <w:rFonts w:ascii="Arial" w:cs="Arial" w:eastAsia="Arial" w:hAnsi="Arial"/>
                <w:sz w:val="18"/>
                <w:szCs w:val="18"/>
                <w:color w:val="auto"/>
              </w:rPr>
              <w:t>Householding of Annual Meeting Materials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93</w:t>
            </w:r>
          </w:p>
        </w:tc>
      </w:tr>
      <w:tr>
        <w:trPr>
          <w:trHeight w:val="521"/>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Appendix A: Reconciliation of GAAP Measures</w:t>
            </w:r>
          </w:p>
        </w:tc>
        <w:tc>
          <w:tcPr>
            <w:tcW w:w="420" w:type="dxa"/>
            <w:vAlign w:val="bottom"/>
          </w:tcPr>
          <w:p>
            <w:pPr>
              <w:spacing w:after="0"/>
              <w:rPr>
                <w:sz w:val="24"/>
                <w:szCs w:val="24"/>
                <w:color w:val="auto"/>
              </w:rPr>
            </w:pPr>
          </w:p>
        </w:tc>
      </w:tr>
      <w:tr>
        <w:trPr>
          <w:trHeight w:val="297"/>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to Non-GAAP Measures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94</w:t>
            </w:r>
          </w:p>
        </w:tc>
      </w:tr>
      <w:tr>
        <w:trPr>
          <w:trHeight w:val="96"/>
        </w:trPr>
        <w:tc>
          <w:tcPr>
            <w:tcW w:w="5020" w:type="dxa"/>
            <w:vAlign w:val="bottom"/>
            <w:tcBorders>
              <w:bottom w:val="single" w:sz="8" w:color="939598"/>
            </w:tcBorders>
          </w:tcPr>
          <w:p>
            <w:pPr>
              <w:spacing w:after="0"/>
              <w:rPr>
                <w:sz w:val="8"/>
                <w:szCs w:val="8"/>
                <w:color w:val="auto"/>
              </w:rPr>
            </w:pPr>
          </w:p>
        </w:tc>
        <w:tc>
          <w:tcPr>
            <w:tcW w:w="420" w:type="dxa"/>
            <w:vAlign w:val="bottom"/>
            <w:tcBorders>
              <w:bottom w:val="single" w:sz="8" w:color="939598"/>
            </w:tcBorders>
          </w:tcPr>
          <w:p>
            <w:pPr>
              <w:spacing w:after="0"/>
              <w:rPr>
                <w:sz w:val="8"/>
                <w:szCs w:val="8"/>
                <w:color w:val="auto"/>
              </w:rPr>
            </w:pPr>
          </w:p>
        </w:tc>
      </w:tr>
      <w:tr>
        <w:trPr>
          <w:trHeight w:val="411"/>
        </w:trPr>
        <w:tc>
          <w:tcPr>
            <w:tcW w:w="5020" w:type="dxa"/>
            <w:vAlign w:val="bottom"/>
          </w:tcPr>
          <w:p>
            <w:pPr>
              <w:ind w:left="20"/>
              <w:spacing w:after="0"/>
              <w:rPr>
                <w:sz w:val="20"/>
                <w:szCs w:val="20"/>
                <w:color w:val="auto"/>
              </w:rPr>
            </w:pPr>
            <w:r>
              <w:rPr>
                <w:rFonts w:ascii="Arial" w:cs="Arial" w:eastAsia="Arial" w:hAnsi="Arial"/>
                <w:sz w:val="22"/>
                <w:szCs w:val="22"/>
                <w:b w:val="1"/>
                <w:bCs w:val="1"/>
                <w:color w:val="0067B3"/>
              </w:rPr>
              <w:t>Helpful Resources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-8228330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88" w:orient="portrait"/>
          <w:cols w:equalWidth="0" w:num="2">
            <w:col w:w="5440" w:space="260"/>
            <w:col w:w="5440"/>
          </w:cols>
          <w:pgMar w:left="320" w:top="1126" w:right="4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CEO Pay Ratio</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548"/>
        </w:trPr>
        <w:tc>
          <w:tcPr>
            <w:tcW w:w="4920" w:type="dxa"/>
            <w:vAlign w:val="bottom"/>
          </w:tcPr>
          <w:p>
            <w:pPr>
              <w:ind w:left="20"/>
              <w:spacing w:after="0"/>
              <w:rPr>
                <w:sz w:val="20"/>
                <w:szCs w:val="20"/>
                <w:color w:val="auto"/>
              </w:rPr>
            </w:pPr>
            <w:r>
              <w:rPr>
                <w:rFonts w:ascii="Arial" w:cs="Arial" w:eastAsia="Arial" w:hAnsi="Arial"/>
                <w:sz w:val="22"/>
                <w:szCs w:val="22"/>
                <w:b w:val="1"/>
                <w:bCs w:val="1"/>
                <w:color w:val="0067B3"/>
              </w:rPr>
              <w:t>“Say-on-Frequency”</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109"/>
        </w:trPr>
        <w:tc>
          <w:tcPr>
            <w:tcW w:w="4920" w:type="dxa"/>
            <w:vAlign w:val="bottom"/>
            <w:tcBorders>
              <w:bottom w:val="single" w:sz="8" w:color="939598"/>
            </w:tcBorders>
          </w:tcPr>
          <w:p>
            <w:pPr>
              <w:spacing w:after="0"/>
              <w:rPr>
                <w:sz w:val="9"/>
                <w:szCs w:val="9"/>
                <w:color w:val="auto"/>
              </w:rPr>
            </w:pPr>
          </w:p>
        </w:tc>
        <w:tc>
          <w:tcPr>
            <w:tcW w:w="520" w:type="dxa"/>
            <w:vAlign w:val="bottom"/>
            <w:tcBorders>
              <w:bottom w:val="single" w:sz="8" w:color="939598"/>
            </w:tcBorders>
          </w:tcPr>
          <w:p>
            <w:pPr>
              <w:spacing w:after="0"/>
              <w:rPr>
                <w:sz w:val="9"/>
                <w:szCs w:val="9"/>
                <w:color w:val="auto"/>
              </w:rPr>
            </w:pPr>
          </w:p>
        </w:tc>
      </w:tr>
      <w:tr>
        <w:trPr>
          <w:trHeight w:val="465"/>
        </w:trPr>
        <w:tc>
          <w:tcPr>
            <w:tcW w:w="4920" w:type="dxa"/>
            <w:vAlign w:val="bottom"/>
          </w:tcPr>
          <w:p>
            <w:pPr>
              <w:ind w:left="440"/>
              <w:spacing w:after="0"/>
              <w:rPr>
                <w:sz w:val="20"/>
                <w:szCs w:val="20"/>
                <w:color w:val="auto"/>
              </w:rPr>
            </w:pPr>
            <w:r>
              <w:rPr>
                <w:rFonts w:ascii="Arial" w:cs="Arial" w:eastAsia="Arial" w:hAnsi="Arial"/>
                <w:sz w:val="22"/>
                <w:szCs w:val="22"/>
                <w:b w:val="1"/>
                <w:bCs w:val="1"/>
                <w:color w:val="006098"/>
              </w:rPr>
              <w:t>Proposal 3 — Non-binding “Say-on-</w:t>
            </w:r>
          </w:p>
        </w:tc>
        <w:tc>
          <w:tcPr>
            <w:tcW w:w="520" w:type="dxa"/>
            <w:vAlign w:val="bottom"/>
          </w:tcPr>
          <w:p>
            <w:pPr>
              <w:spacing w:after="0"/>
              <w:rPr>
                <w:sz w:val="24"/>
                <w:szCs w:val="24"/>
                <w:color w:val="auto"/>
              </w:rPr>
            </w:pPr>
          </w:p>
        </w:tc>
      </w:tr>
      <w:tr>
        <w:trPr>
          <w:trHeight w:val="256"/>
        </w:trPr>
        <w:tc>
          <w:tcPr>
            <w:tcW w:w="4920" w:type="dxa"/>
            <w:vAlign w:val="bottom"/>
          </w:tcPr>
          <w:p>
            <w:pPr>
              <w:ind w:left="440"/>
              <w:spacing w:after="0"/>
              <w:rPr>
                <w:sz w:val="20"/>
                <w:szCs w:val="20"/>
                <w:color w:val="auto"/>
              </w:rPr>
            </w:pPr>
            <w:r>
              <w:rPr>
                <w:rFonts w:ascii="Arial" w:cs="Arial" w:eastAsia="Arial" w:hAnsi="Arial"/>
                <w:sz w:val="22"/>
                <w:szCs w:val="22"/>
                <w:b w:val="1"/>
                <w:bCs w:val="1"/>
                <w:color w:val="006098"/>
                <w:w w:val="99"/>
              </w:rPr>
              <w:t>Frequency” Vote Regarding the Frequency</w:t>
            </w:r>
          </w:p>
        </w:tc>
        <w:tc>
          <w:tcPr>
            <w:tcW w:w="520" w:type="dxa"/>
            <w:vAlign w:val="bottom"/>
          </w:tcPr>
          <w:p>
            <w:pPr>
              <w:spacing w:after="0"/>
              <w:rPr>
                <w:sz w:val="22"/>
                <w:szCs w:val="22"/>
                <w:color w:val="auto"/>
              </w:rPr>
            </w:pPr>
          </w:p>
        </w:tc>
      </w:tr>
      <w:tr>
        <w:trPr>
          <w:trHeight w:val="257"/>
        </w:trPr>
        <w:tc>
          <w:tcPr>
            <w:tcW w:w="4920" w:type="dxa"/>
            <w:vAlign w:val="bottom"/>
          </w:tcPr>
          <w:p>
            <w:pPr>
              <w:ind w:left="440"/>
              <w:spacing w:after="0"/>
              <w:rPr>
                <w:sz w:val="20"/>
                <w:szCs w:val="20"/>
                <w:color w:val="auto"/>
              </w:rPr>
            </w:pPr>
            <w:r>
              <w:rPr>
                <w:rFonts w:ascii="Arial" w:cs="Arial" w:eastAsia="Arial" w:hAnsi="Arial"/>
                <w:sz w:val="22"/>
                <w:szCs w:val="22"/>
                <w:b w:val="1"/>
                <w:bCs w:val="1"/>
                <w:color w:val="006098"/>
              </w:rPr>
              <w:t>of Future Advisory Votes on the</w:t>
            </w:r>
          </w:p>
        </w:tc>
        <w:tc>
          <w:tcPr>
            <w:tcW w:w="520" w:type="dxa"/>
            <w:vAlign w:val="bottom"/>
          </w:tcPr>
          <w:p>
            <w:pPr>
              <w:spacing w:after="0"/>
              <w:rPr>
                <w:sz w:val="22"/>
                <w:szCs w:val="22"/>
                <w:color w:val="auto"/>
              </w:rPr>
            </w:pPr>
          </w:p>
        </w:tc>
      </w:tr>
      <w:tr>
        <w:trPr>
          <w:trHeight w:val="257"/>
        </w:trPr>
        <w:tc>
          <w:tcPr>
            <w:tcW w:w="4920" w:type="dxa"/>
            <w:vAlign w:val="bottom"/>
          </w:tcPr>
          <w:p>
            <w:pPr>
              <w:ind w:left="440"/>
              <w:spacing w:after="0"/>
              <w:rPr>
                <w:sz w:val="20"/>
                <w:szCs w:val="20"/>
                <w:color w:val="auto"/>
              </w:rPr>
            </w:pPr>
            <w:r>
              <w:rPr>
                <w:rFonts w:ascii="Arial" w:cs="Arial" w:eastAsia="Arial" w:hAnsi="Arial"/>
                <w:sz w:val="22"/>
                <w:szCs w:val="22"/>
                <w:b w:val="1"/>
                <w:bCs w:val="1"/>
                <w:color w:val="006098"/>
              </w:rPr>
              <w:t>Compensation of our Named Executive</w:t>
            </w:r>
          </w:p>
        </w:tc>
        <w:tc>
          <w:tcPr>
            <w:tcW w:w="520" w:type="dxa"/>
            <w:vAlign w:val="bottom"/>
          </w:tcPr>
          <w:p>
            <w:pPr>
              <w:spacing w:after="0"/>
              <w:rPr>
                <w:sz w:val="22"/>
                <w:szCs w:val="22"/>
                <w:color w:val="auto"/>
              </w:rPr>
            </w:pPr>
          </w:p>
        </w:tc>
      </w:tr>
      <w:tr>
        <w:trPr>
          <w:trHeight w:val="297"/>
        </w:trPr>
        <w:tc>
          <w:tcPr>
            <w:tcW w:w="4920" w:type="dxa"/>
            <w:vAlign w:val="bottom"/>
          </w:tcPr>
          <w:p>
            <w:pPr>
              <w:ind w:left="440"/>
              <w:spacing w:after="0"/>
              <w:rPr>
                <w:sz w:val="20"/>
                <w:szCs w:val="20"/>
                <w:color w:val="auto"/>
              </w:rPr>
            </w:pPr>
            <w:r>
              <w:rPr>
                <w:rFonts w:ascii="Arial" w:cs="Arial" w:eastAsia="Arial" w:hAnsi="Arial"/>
                <w:sz w:val="22"/>
                <w:szCs w:val="22"/>
                <w:b w:val="1"/>
                <w:bCs w:val="1"/>
                <w:color w:val="006098"/>
              </w:rPr>
              <w:t>Officers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109"/>
        </w:trPr>
        <w:tc>
          <w:tcPr>
            <w:tcW w:w="4920" w:type="dxa"/>
            <w:vAlign w:val="bottom"/>
            <w:tcBorders>
              <w:bottom w:val="single" w:sz="8" w:color="0067B3"/>
            </w:tcBorders>
          </w:tcPr>
          <w:p>
            <w:pPr>
              <w:spacing w:after="0"/>
              <w:rPr>
                <w:sz w:val="9"/>
                <w:szCs w:val="9"/>
                <w:color w:val="auto"/>
              </w:rPr>
            </w:pPr>
          </w:p>
        </w:tc>
        <w:tc>
          <w:tcPr>
            <w:tcW w:w="520" w:type="dxa"/>
            <w:vAlign w:val="bottom"/>
            <w:tcBorders>
              <w:bottom w:val="single" w:sz="8" w:color="0067B3"/>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3825875</wp:posOffset>
            </wp:positionH>
            <wp:positionV relativeFrom="page">
              <wp:posOffset>88900</wp:posOffset>
            </wp:positionV>
            <wp:extent cx="3446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-599440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0139"/>
          </w:cols>
          <w:pgMar w:left="320" w:top="458" w:right="1440" w:bottom="1440" w:gutter="0" w:footer="0" w:header="0"/>
        </w:sectPr>
      </w:pPr>
    </w:p>
    <w:bookmarkStart w:id="8" w:name="page9"/>
    <w:bookmarkEnd w:id="8"/>
    <w:p>
      <w:pPr>
        <w:spacing w:after="0"/>
        <w:rPr>
          <w:sz w:val="20"/>
          <w:szCs w:val="20"/>
          <w:color w:val="auto"/>
        </w:rPr>
      </w:pPr>
      <w:r>
        <w:rPr>
          <w:rFonts w:ascii="Arial" w:cs="Arial" w:eastAsia="Arial" w:hAnsi="Arial"/>
          <w:sz w:val="58"/>
          <w:szCs w:val="58"/>
          <w:color w:val="auto"/>
        </w:rPr>
        <w:t>Highlights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About ADI</w:t>
      </w:r>
    </w:p>
    <w:p>
      <w:pPr>
        <w:spacing w:after="0" w:line="156" w:lineRule="exact"/>
        <w:rPr>
          <w:sz w:val="20"/>
          <w:szCs w:val="20"/>
          <w:color w:val="auto"/>
        </w:rPr>
      </w:pPr>
    </w:p>
    <w:p>
      <w:pPr>
        <w:jc w:val="both"/>
        <w:ind w:right="120"/>
        <w:spacing w:after="0" w:line="227" w:lineRule="auto"/>
        <w:rPr>
          <w:sz w:val="20"/>
          <w:szCs w:val="20"/>
          <w:color w:val="auto"/>
        </w:rPr>
      </w:pPr>
      <w:r>
        <w:rPr>
          <w:rFonts w:ascii="Arial" w:cs="Arial" w:eastAsia="Arial" w:hAnsi="Arial"/>
          <w:sz w:val="18"/>
          <w:szCs w:val="18"/>
          <w:color w:val="auto"/>
        </w:rPr>
        <w:t>Analog Devices, Inc. is a global semiconductor leader that bridges the physical and digital worlds to enable breakthroughs at the Intelligent Edge. We combine analog, digital, and software technologies into solutions that help drive advancements in digitized factories, mobility, and digital healthcare, combat climate change, and reliably connect humans and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ADI at a Glance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40" w:type="dxa"/>
            <w:vAlign w:val="bottom"/>
          </w:tcPr>
          <w:p>
            <w:pPr>
              <w:spacing w:after="0"/>
              <w:rPr>
                <w:sz w:val="20"/>
                <w:szCs w:val="20"/>
                <w:color w:val="auto"/>
              </w:rPr>
            </w:pPr>
            <w:r>
              <w:rPr>
                <w:rFonts w:ascii="Arial" w:cs="Arial" w:eastAsia="Arial" w:hAnsi="Arial"/>
                <w:sz w:val="18"/>
                <w:szCs w:val="18"/>
                <w:b w:val="1"/>
                <w:bCs w:val="1"/>
                <w:color w:val="0067B3"/>
              </w:rPr>
              <w:t>Background</w:t>
            </w:r>
          </w:p>
        </w:tc>
        <w:tc>
          <w:tcPr>
            <w:tcW w:w="3840" w:type="dxa"/>
            <w:vAlign w:val="bottom"/>
          </w:tcPr>
          <w:p>
            <w:pPr>
              <w:spacing w:after="0"/>
              <w:rPr>
                <w:sz w:val="21"/>
                <w:szCs w:val="21"/>
                <w:color w:val="auto"/>
              </w:rPr>
            </w:pPr>
          </w:p>
        </w:tc>
        <w:tc>
          <w:tcPr>
            <w:tcW w:w="3080" w:type="dxa"/>
            <w:vAlign w:val="bottom"/>
          </w:tcPr>
          <w:p>
            <w:pPr>
              <w:ind w:left="360"/>
              <w:spacing w:after="0"/>
              <w:rPr>
                <w:sz w:val="20"/>
                <w:szCs w:val="20"/>
                <w:color w:val="auto"/>
              </w:rPr>
            </w:pPr>
            <w:r>
              <w:rPr>
                <w:rFonts w:ascii="Arial" w:cs="Arial" w:eastAsia="Arial" w:hAnsi="Arial"/>
                <w:sz w:val="18"/>
                <w:szCs w:val="18"/>
                <w:b w:val="1"/>
                <w:bCs w:val="1"/>
                <w:color w:val="0067B3"/>
                <w:w w:val="98"/>
              </w:rPr>
              <w:t xml:space="preserve">Fiscal Year 2022 Revenue: </w:t>
            </w:r>
            <w:r>
              <w:rPr>
                <w:rFonts w:ascii="Arial" w:cs="Arial" w:eastAsia="Arial" w:hAnsi="Arial"/>
                <w:sz w:val="18"/>
                <w:szCs w:val="18"/>
                <w:b w:val="1"/>
                <w:bCs w:val="1"/>
                <w:color w:val="000000"/>
                <w:w w:val="98"/>
              </w:rPr>
              <w:t>$12B</w:t>
            </w:r>
          </w:p>
        </w:tc>
        <w:tc>
          <w:tcPr>
            <w:tcW w:w="0" w:type="dxa"/>
            <w:vAlign w:val="bottom"/>
          </w:tcPr>
          <w:p>
            <w:pPr>
              <w:spacing w:after="0"/>
              <w:rPr>
                <w:sz w:val="1"/>
                <w:szCs w:val="1"/>
                <w:color w:val="auto"/>
              </w:rPr>
            </w:pPr>
          </w:p>
        </w:tc>
      </w:tr>
      <w:tr>
        <w:trPr>
          <w:trHeight w:val="123"/>
        </w:trPr>
        <w:tc>
          <w:tcPr>
            <w:tcW w:w="1540" w:type="dxa"/>
            <w:vAlign w:val="bottom"/>
            <w:tcBorders>
              <w:bottom w:val="single" w:sz="8" w:color="0067B3"/>
            </w:tcBorders>
          </w:tcPr>
          <w:p>
            <w:pPr>
              <w:spacing w:after="0"/>
              <w:rPr>
                <w:sz w:val="10"/>
                <w:szCs w:val="10"/>
                <w:color w:val="auto"/>
              </w:rPr>
            </w:pPr>
          </w:p>
        </w:tc>
        <w:tc>
          <w:tcPr>
            <w:tcW w:w="3840" w:type="dxa"/>
            <w:vAlign w:val="bottom"/>
            <w:tcBorders>
              <w:bottom w:val="single" w:sz="8" w:color="0067B3"/>
            </w:tcBorders>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Founded:</w:t>
            </w:r>
          </w:p>
        </w:tc>
        <w:tc>
          <w:tcPr>
            <w:tcW w:w="3840" w:type="dxa"/>
            <w:vAlign w:val="bottom"/>
            <w:tcBorders>
              <w:bottom w:val="single" w:sz="8" w:color="939598"/>
            </w:tcBorders>
          </w:tcPr>
          <w:p>
            <w:pPr>
              <w:ind w:left="100"/>
              <w:spacing w:after="0"/>
              <w:rPr>
                <w:sz w:val="20"/>
                <w:szCs w:val="20"/>
                <w:color w:val="auto"/>
              </w:rPr>
            </w:pPr>
            <w:r>
              <w:rPr>
                <w:rFonts w:ascii="Arial" w:cs="Arial" w:eastAsia="Arial" w:hAnsi="Arial"/>
                <w:sz w:val="18"/>
                <w:szCs w:val="18"/>
                <w:color w:val="auto"/>
              </w:rPr>
              <w:t>1965</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Headquarters:</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Wilmington, MA</w:t>
            </w:r>
          </w:p>
        </w:tc>
        <w:tc>
          <w:tcPr>
            <w:tcW w:w="0" w:type="dxa"/>
            <w:vAlign w:val="bottom"/>
          </w:tcPr>
          <w:p>
            <w:pPr>
              <w:spacing w:after="0"/>
              <w:rPr>
                <w:sz w:val="1"/>
                <w:szCs w:val="1"/>
                <w:color w:val="auto"/>
              </w:rPr>
            </w:pP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Employees:</w:t>
            </w:r>
          </w:p>
        </w:tc>
        <w:tc>
          <w:tcPr>
            <w:tcW w:w="3840" w:type="dxa"/>
            <w:vAlign w:val="bottom"/>
            <w:tcBorders>
              <w:top w:val="single" w:sz="8" w:color="939598"/>
              <w:bottom w:val="single" w:sz="8" w:color="939598"/>
            </w:tcBorders>
          </w:tcPr>
          <w:p>
            <w:pPr>
              <w:ind w:left="100"/>
              <w:spacing w:after="0"/>
              <w:rPr>
                <w:sz w:val="20"/>
                <w:szCs w:val="20"/>
                <w:color w:val="auto"/>
              </w:rPr>
            </w:pPr>
            <w:r>
              <w:rPr>
                <w:rFonts w:ascii="Arial" w:cs="Arial" w:eastAsia="Arial" w:hAnsi="Arial"/>
                <w:sz w:val="18"/>
                <w:szCs w:val="18"/>
                <w:color w:val="auto"/>
              </w:rPr>
              <w:t>~24,450</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Office</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31 Countries</w:t>
            </w:r>
          </w:p>
        </w:tc>
        <w:tc>
          <w:tcPr>
            <w:tcW w:w="0" w:type="dxa"/>
            <w:vAlign w:val="bottom"/>
          </w:tcPr>
          <w:p>
            <w:pPr>
              <w:spacing w:after="0"/>
              <w:rPr>
                <w:sz w:val="1"/>
                <w:szCs w:val="1"/>
                <w:color w:val="auto"/>
              </w:rPr>
            </w:pPr>
          </w:p>
        </w:tc>
      </w:tr>
      <w:tr>
        <w:trPr>
          <w:trHeight w:val="216"/>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Locations:</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Worldwide sales, field applications, product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development, design, service and technical</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support</w:t>
            </w:r>
          </w:p>
        </w:tc>
        <w:tc>
          <w:tcPr>
            <w:tcW w:w="0" w:type="dxa"/>
            <w:vAlign w:val="bottom"/>
          </w:tcPr>
          <w:p>
            <w:pPr>
              <w:spacing w:after="0"/>
              <w:rPr>
                <w:sz w:val="1"/>
                <w:szCs w:val="1"/>
                <w:color w:val="auto"/>
              </w:rPr>
            </w:pPr>
          </w:p>
        </w:tc>
      </w:tr>
      <w:tr>
        <w:trPr>
          <w:trHeight w:val="23"/>
        </w:trPr>
        <w:tc>
          <w:tcPr>
            <w:tcW w:w="154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Products:</w:t>
            </w:r>
          </w:p>
        </w:tc>
        <w:tc>
          <w:tcPr>
            <w:tcW w:w="3840" w:type="dxa"/>
            <w:vAlign w:val="bottom"/>
            <w:tcBorders>
              <w:bottom w:val="single" w:sz="8" w:color="939598"/>
            </w:tcBorders>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vMerge w:val="continue"/>
          </w:tcPr>
          <w:p>
            <w:pPr>
              <w:spacing w:after="0"/>
              <w:rPr>
                <w:sz w:val="22"/>
                <w:szCs w:val="22"/>
                <w:color w:val="auto"/>
              </w:rPr>
            </w:pP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~75,000 SKUs</w:t>
            </w:r>
          </w:p>
        </w:tc>
        <w:tc>
          <w:tcPr>
            <w:tcW w:w="0" w:type="dxa"/>
            <w:vAlign w:val="bottom"/>
          </w:tcPr>
          <w:p>
            <w:pPr>
              <w:spacing w:after="0"/>
              <w:rPr>
                <w:sz w:val="1"/>
                <w:szCs w:val="1"/>
                <w:color w:val="auto"/>
              </w:rPr>
            </w:pP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Customers:</w:t>
            </w:r>
          </w:p>
        </w:tc>
        <w:tc>
          <w:tcPr>
            <w:tcW w:w="3840" w:type="dxa"/>
            <w:vAlign w:val="bottom"/>
            <w:tcBorders>
              <w:top w:val="single" w:sz="8" w:color="939598"/>
              <w:bottom w:val="single" w:sz="8" w:color="939598"/>
            </w:tcBorders>
          </w:tcPr>
          <w:p>
            <w:pPr>
              <w:ind w:left="100"/>
              <w:spacing w:after="0"/>
              <w:rPr>
                <w:sz w:val="20"/>
                <w:szCs w:val="20"/>
                <w:color w:val="auto"/>
              </w:rPr>
            </w:pPr>
            <w:r>
              <w:rPr>
                <w:rFonts w:ascii="Arial" w:cs="Arial" w:eastAsia="Arial" w:hAnsi="Arial"/>
                <w:sz w:val="18"/>
                <w:szCs w:val="18"/>
                <w:color w:val="auto"/>
              </w:rPr>
              <w:t>125,000+</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Publicly Listed</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ADI</w:t>
            </w:r>
          </w:p>
        </w:tc>
        <w:tc>
          <w:tcPr>
            <w:tcW w:w="0" w:type="dxa"/>
            <w:vAlign w:val="bottom"/>
          </w:tcPr>
          <w:p>
            <w:pPr>
              <w:spacing w:after="0"/>
              <w:rPr>
                <w:sz w:val="1"/>
                <w:szCs w:val="1"/>
                <w:color w:val="auto"/>
              </w:rPr>
            </w:pPr>
          </w:p>
        </w:tc>
      </w:tr>
      <w:tr>
        <w:trPr>
          <w:trHeight w:val="255"/>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 Nasdaq:</w:t>
            </w:r>
          </w:p>
        </w:tc>
        <w:tc>
          <w:tcPr>
            <w:tcW w:w="3840" w:type="dxa"/>
            <w:vAlign w:val="bottom"/>
            <w:tcBorders>
              <w:bottom w:val="single" w:sz="8" w:color="939598"/>
            </w:tcBorders>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Design Centers:</w:t>
            </w:r>
          </w:p>
        </w:tc>
        <w:tc>
          <w:tcPr>
            <w:tcW w:w="3840" w:type="dxa"/>
            <w:vAlign w:val="bottom"/>
            <w:tcBorders>
              <w:bottom w:val="single" w:sz="8" w:color="939598"/>
            </w:tcBorders>
          </w:tcPr>
          <w:p>
            <w:pPr>
              <w:ind w:left="100"/>
              <w:spacing w:after="0"/>
              <w:rPr>
                <w:sz w:val="20"/>
                <w:szCs w:val="20"/>
                <w:color w:val="auto"/>
              </w:rPr>
            </w:pPr>
            <w:r>
              <w:rPr>
                <w:rFonts w:ascii="Arial" w:cs="Arial" w:eastAsia="Arial" w:hAnsi="Arial"/>
                <w:sz w:val="18"/>
                <w:szCs w:val="18"/>
                <w:color w:val="auto"/>
              </w:rPr>
              <w:t>~80</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Global</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United States (Massachusetts, Oregon,</w:t>
            </w:r>
          </w:p>
        </w:tc>
        <w:tc>
          <w:tcPr>
            <w:tcW w:w="0" w:type="dxa"/>
            <w:vAlign w:val="bottom"/>
          </w:tcPr>
          <w:p>
            <w:pPr>
              <w:spacing w:after="0"/>
              <w:rPr>
                <w:sz w:val="1"/>
                <w:szCs w:val="1"/>
                <w:color w:val="auto"/>
              </w:rPr>
            </w:pPr>
          </w:p>
        </w:tc>
      </w:tr>
      <w:tr>
        <w:trPr>
          <w:trHeight w:val="216"/>
        </w:trPr>
        <w:tc>
          <w:tcPr>
            <w:tcW w:w="1540" w:type="dxa"/>
            <w:vAlign w:val="bottom"/>
          </w:tcPr>
          <w:p>
            <w:pPr>
              <w:ind w:left="80"/>
              <w:spacing w:after="0"/>
              <w:rPr>
                <w:sz w:val="20"/>
                <w:szCs w:val="20"/>
                <w:color w:val="auto"/>
              </w:rPr>
            </w:pPr>
            <w:r>
              <w:rPr>
                <w:rFonts w:ascii="Arial" w:cs="Arial" w:eastAsia="Arial" w:hAnsi="Arial"/>
                <w:sz w:val="18"/>
                <w:szCs w:val="18"/>
                <w:b w:val="1"/>
                <w:bCs w:val="1"/>
                <w:color w:val="FFFFFF"/>
              </w:rPr>
              <w:t>Manufacturing:</w:t>
            </w: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Washington) | Ireland | Philippines | Malaysia |</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-2409190</wp:posOffset>
            </wp:positionV>
            <wp:extent cx="977265" cy="245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265" cy="245173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-2400935</wp:posOffset>
            </wp:positionV>
            <wp:extent cx="2957195" cy="2280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7195" cy="22802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The sum of the individual percentages may not equal 100%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-83185</wp:posOffset>
            </wp:positionV>
            <wp:extent cx="2434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rounding.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ADI’s Extensive Hybrid Manufacturing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&amp; Supply Chain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74930</wp:posOffset>
            </wp:positionV>
            <wp:extent cx="5760720" cy="267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ectPr>
          <w:pgSz w:w="11900" w:h="16838" w:orient="portrait"/>
          <w:cols w:equalWidth="0" w:num="1">
            <w:col w:w="11220"/>
          </w:cols>
          <w:pgMar w:left="320" w:top="1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6"/>
          <w:szCs w:val="16"/>
          <w:b w:val="1"/>
          <w:bCs w:val="1"/>
          <w:color w:val="auto"/>
        </w:rPr>
        <w:t>1</w:t>
      </w:r>
    </w:p>
    <w:p>
      <w:pPr>
        <w:sectPr>
          <w:pgSz w:w="11900" w:h="16838" w:orient="portrait"/>
          <w:cols w:equalWidth="0" w:num="1">
            <w:col w:w="11220"/>
          </w:cols>
          <w:pgMar w:left="320" w:top="1126"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2"/>
          <w:szCs w:val="32"/>
          <w:b w:val="1"/>
          <w:bCs w:val="1"/>
          <w:color w:val="auto"/>
        </w:rPr>
        <w:t>Our Strategy</w:t>
      </w:r>
    </w:p>
    <w:p>
      <w:pPr>
        <w:spacing w:after="0" w:line="15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strategy is focused on our customers’ success. We dedicate our unparalleled technology portfolio, superior engineering and domain expertise, and exceptional end-to-end customer experience to achieve our goals. The end results are deeper, more strategic customer relationships, expanded business opportunities, and stronger and more sustainable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2022, we continued to make progress against our three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531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531870"/>
                    </a:xfrm>
                    <a:prstGeom prst="rect">
                      <a:avLst/>
                    </a:prstGeom>
                    <a:noFill/>
                  </pic:spPr>
                </pic:pic>
              </a:graphicData>
            </a:graphic>
          </wp:anchor>
        </w:drawing>
      </w:r>
    </w:p>
    <w:p>
      <w:pPr>
        <w:sectPr>
          <w:pgSz w:w="11900" w:h="16838" w:orient="portrait"/>
          <w:cols w:equalWidth="0" w:num="1">
            <w:col w:w="11240"/>
          </w:cols>
          <w:pgMar w:left="320" w:top="1311" w:right="339" w:bottom="84" w:gutter="0" w:footer="0" w:header="0"/>
        </w:sectPr>
      </w:pPr>
    </w:p>
    <w:p>
      <w:pPr>
        <w:spacing w:after="0" w:line="200" w:lineRule="exact"/>
        <w:rPr>
          <w:sz w:val="20"/>
          <w:szCs w:val="20"/>
          <w:color w:val="auto"/>
        </w:rPr>
      </w:pPr>
    </w:p>
    <w:p>
      <w:pPr>
        <w:spacing w:after="0" w:line="228" w:lineRule="exact"/>
        <w:rPr>
          <w:sz w:val="20"/>
          <w:szCs w:val="20"/>
          <w:color w:val="auto"/>
        </w:rPr>
      </w:pPr>
    </w:p>
    <w:p>
      <w:pPr>
        <w:ind w:left="100" w:right="140"/>
        <w:spacing w:after="0" w:line="273" w:lineRule="auto"/>
        <w:rPr>
          <w:sz w:val="20"/>
          <w:szCs w:val="20"/>
          <w:color w:val="auto"/>
        </w:rPr>
      </w:pPr>
      <w:r>
        <w:rPr>
          <w:rFonts w:ascii="Arial" w:cs="Arial" w:eastAsia="Arial" w:hAnsi="Arial"/>
          <w:sz w:val="18"/>
          <w:szCs w:val="18"/>
          <w:b w:val="1"/>
          <w:bCs w:val="1"/>
          <w:color w:val="FFFFFF"/>
        </w:rPr>
        <w:t>Deploying Capital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20"/>
        <w:spacing w:after="0" w:line="273" w:lineRule="auto"/>
        <w:rPr>
          <w:sz w:val="20"/>
          <w:szCs w:val="20"/>
          <w:color w:val="auto"/>
        </w:rPr>
      </w:pPr>
      <w:r>
        <w:rPr>
          <w:rFonts w:ascii="Arial" w:cs="Arial" w:eastAsia="Arial" w:hAnsi="Arial"/>
          <w:sz w:val="18"/>
          <w:szCs w:val="18"/>
          <w:b w:val="1"/>
          <w:bCs w:val="1"/>
          <w:color w:val="FFFFFF"/>
        </w:rPr>
        <w:t>Deepening Customer’s Centricity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0"/>
        <w:spacing w:after="0" w:line="273" w:lineRule="auto"/>
        <w:rPr>
          <w:sz w:val="20"/>
          <w:szCs w:val="20"/>
          <w:color w:val="auto"/>
        </w:rPr>
      </w:pPr>
      <w:r>
        <w:rPr>
          <w:rFonts w:ascii="Arial" w:cs="Arial" w:eastAsia="Arial" w:hAnsi="Arial"/>
          <w:sz w:val="18"/>
          <w:szCs w:val="18"/>
          <w:b w:val="1"/>
          <w:bCs w:val="1"/>
          <w:color w:val="FFFFFF"/>
        </w:rPr>
        <w:t>Capitalizing on Secular Trends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62" w:hanging="162"/>
        <w:spacing w:after="0"/>
        <w:tabs>
          <w:tab w:leader="none" w:pos="162" w:val="left"/>
        </w:tabs>
        <w:numPr>
          <w:ilvl w:val="0"/>
          <w:numId w:val="7"/>
        </w:numPr>
        <w:rPr>
          <w:rFonts w:ascii="Arial" w:cs="Arial" w:eastAsia="Arial" w:hAnsi="Arial"/>
          <w:sz w:val="18"/>
          <w:szCs w:val="18"/>
          <w:color w:val="0067B3"/>
        </w:rPr>
      </w:pPr>
      <w:r>
        <w:rPr>
          <w:rFonts w:ascii="Arial" w:cs="Arial" w:eastAsia="Arial" w:hAnsi="Arial"/>
          <w:sz w:val="18"/>
          <w:szCs w:val="18"/>
          <w:color w:val="auto"/>
        </w:rPr>
        <w:t>Annual R&amp;D investment of $1.7B with 95% targeted on most attractive B2B opportunities</w:t>
      </w:r>
    </w:p>
    <w:p>
      <w:pPr>
        <w:spacing w:after="0" w:line="90" w:lineRule="exact"/>
        <w:rPr>
          <w:rFonts w:ascii="Arial" w:cs="Arial" w:eastAsia="Arial" w:hAnsi="Arial"/>
          <w:sz w:val="18"/>
          <w:szCs w:val="18"/>
          <w:color w:val="0067B3"/>
        </w:rPr>
      </w:pPr>
    </w:p>
    <w:p>
      <w:pPr>
        <w:ind w:left="202" w:right="580" w:hanging="202"/>
        <w:spacing w:after="0" w:line="287" w:lineRule="auto"/>
        <w:tabs>
          <w:tab w:leader="none" w:pos="165" w:val="left"/>
        </w:tabs>
        <w:numPr>
          <w:ilvl w:val="0"/>
          <w:numId w:val="7"/>
        </w:numPr>
        <w:rPr>
          <w:rFonts w:ascii="Arial" w:cs="Arial" w:eastAsia="Arial" w:hAnsi="Arial"/>
          <w:sz w:val="18"/>
          <w:szCs w:val="18"/>
          <w:color w:val="0067B3"/>
        </w:rPr>
      </w:pPr>
      <w:r>
        <w:rPr>
          <w:rFonts w:ascii="Arial" w:cs="Arial" w:eastAsia="Arial" w:hAnsi="Arial"/>
          <w:sz w:val="18"/>
          <w:szCs w:val="18"/>
          <w:color w:val="auto"/>
        </w:rPr>
        <w:t>Extracting value from M&amp;A to enhance scale and scope, creating a destination for the world’s best talent: Maxim in FY’21, Linear Technology in FY’17 and Hittite in FY’14</w:t>
      </w:r>
    </w:p>
    <w:p>
      <w:pPr>
        <w:spacing w:after="0" w:line="4" w:lineRule="exact"/>
        <w:rPr>
          <w:rFonts w:ascii="Arial" w:cs="Arial" w:eastAsia="Arial" w:hAnsi="Arial"/>
          <w:sz w:val="18"/>
          <w:szCs w:val="18"/>
          <w:color w:val="0067B3"/>
        </w:rPr>
      </w:pPr>
    </w:p>
    <w:p>
      <w:pPr>
        <w:ind w:left="202" w:right="640" w:hanging="202"/>
        <w:spacing w:after="0" w:line="287" w:lineRule="auto"/>
        <w:tabs>
          <w:tab w:leader="none" w:pos="165" w:val="left"/>
        </w:tabs>
        <w:numPr>
          <w:ilvl w:val="0"/>
          <w:numId w:val="7"/>
        </w:numPr>
        <w:rPr>
          <w:rFonts w:ascii="Arial" w:cs="Arial" w:eastAsia="Arial" w:hAnsi="Arial"/>
          <w:sz w:val="18"/>
          <w:szCs w:val="18"/>
          <w:color w:val="0067B3"/>
        </w:rPr>
      </w:pPr>
      <w:r>
        <w:rPr>
          <w:rFonts w:ascii="Arial" w:cs="Arial" w:eastAsia="Arial" w:hAnsi="Arial"/>
          <w:sz w:val="18"/>
          <w:szCs w:val="18"/>
          <w:color w:val="auto"/>
        </w:rPr>
        <w:t>Delivered on our commitment to return at least 100% of free cash flow returning $4.6B through share repurchases and dividends</w:t>
      </w:r>
    </w:p>
    <w:p>
      <w:pPr>
        <w:spacing w:after="0" w:line="200" w:lineRule="exact"/>
        <w:rPr>
          <w:rFonts w:ascii="Arial" w:cs="Arial" w:eastAsia="Arial" w:hAnsi="Arial"/>
          <w:sz w:val="18"/>
          <w:szCs w:val="18"/>
          <w:color w:val="0067B3"/>
        </w:rPr>
      </w:pPr>
    </w:p>
    <w:p>
      <w:pPr>
        <w:spacing w:after="0" w:line="290" w:lineRule="exact"/>
        <w:rPr>
          <w:rFonts w:ascii="Arial" w:cs="Arial" w:eastAsia="Arial" w:hAnsi="Arial"/>
          <w:sz w:val="18"/>
          <w:szCs w:val="18"/>
          <w:color w:val="0067B3"/>
        </w:rPr>
      </w:pPr>
    </w:p>
    <w:p>
      <w:pPr>
        <w:ind w:left="162" w:hanging="162"/>
        <w:spacing w:after="0"/>
        <w:tabs>
          <w:tab w:leader="none" w:pos="162" w:val="left"/>
        </w:tabs>
        <w:numPr>
          <w:ilvl w:val="0"/>
          <w:numId w:val="7"/>
        </w:numPr>
        <w:rPr>
          <w:rFonts w:ascii="Arial" w:cs="Arial" w:eastAsia="Arial" w:hAnsi="Arial"/>
          <w:sz w:val="18"/>
          <w:szCs w:val="18"/>
          <w:color w:val="0067B3"/>
        </w:rPr>
      </w:pPr>
      <w:r>
        <w:rPr>
          <w:rFonts w:ascii="Arial" w:cs="Arial" w:eastAsia="Arial" w:hAnsi="Arial"/>
          <w:sz w:val="18"/>
          <w:szCs w:val="18"/>
          <w:color w:val="auto"/>
        </w:rPr>
        <w:t>Partnering more deeply with customers to deliver complete solutions</w:t>
      </w:r>
    </w:p>
    <w:p>
      <w:pPr>
        <w:spacing w:after="0" w:line="90" w:lineRule="exact"/>
        <w:rPr>
          <w:rFonts w:ascii="Arial" w:cs="Arial" w:eastAsia="Arial" w:hAnsi="Arial"/>
          <w:sz w:val="18"/>
          <w:szCs w:val="18"/>
          <w:color w:val="0067B3"/>
        </w:rPr>
      </w:pPr>
    </w:p>
    <w:p>
      <w:pPr>
        <w:ind w:left="202" w:right="360" w:hanging="202"/>
        <w:spacing w:after="0" w:line="287" w:lineRule="auto"/>
        <w:tabs>
          <w:tab w:leader="none" w:pos="165" w:val="left"/>
        </w:tabs>
        <w:numPr>
          <w:ilvl w:val="0"/>
          <w:numId w:val="7"/>
        </w:numPr>
        <w:rPr>
          <w:rFonts w:ascii="Arial" w:cs="Arial" w:eastAsia="Arial" w:hAnsi="Arial"/>
          <w:sz w:val="18"/>
          <w:szCs w:val="18"/>
          <w:color w:val="0067B3"/>
        </w:rPr>
      </w:pPr>
      <w:r>
        <w:rPr>
          <w:rFonts w:ascii="Arial" w:cs="Arial" w:eastAsia="Arial" w:hAnsi="Arial"/>
          <w:sz w:val="18"/>
          <w:szCs w:val="18"/>
          <w:color w:val="auto"/>
        </w:rPr>
        <w:t>Strengthening customer engagement: customers enhancing software focus, leaving more of the increasingly complex hardware challenges to ADI</w:t>
      </w:r>
    </w:p>
    <w:p>
      <w:pPr>
        <w:spacing w:after="0" w:line="4" w:lineRule="exact"/>
        <w:rPr>
          <w:rFonts w:ascii="Arial" w:cs="Arial" w:eastAsia="Arial" w:hAnsi="Arial"/>
          <w:sz w:val="18"/>
          <w:szCs w:val="18"/>
          <w:color w:val="0067B3"/>
        </w:rPr>
      </w:pPr>
    </w:p>
    <w:p>
      <w:pPr>
        <w:ind w:left="202" w:right="240" w:hanging="202"/>
        <w:spacing w:after="0" w:line="287" w:lineRule="auto"/>
        <w:tabs>
          <w:tab w:leader="none" w:pos="165" w:val="left"/>
        </w:tabs>
        <w:numPr>
          <w:ilvl w:val="0"/>
          <w:numId w:val="7"/>
        </w:numPr>
        <w:rPr>
          <w:rFonts w:ascii="Arial" w:cs="Arial" w:eastAsia="Arial" w:hAnsi="Arial"/>
          <w:sz w:val="18"/>
          <w:szCs w:val="18"/>
          <w:color w:val="0067B3"/>
        </w:rPr>
      </w:pPr>
      <w:r>
        <w:rPr>
          <w:rFonts w:ascii="Arial" w:cs="Arial" w:eastAsia="Arial" w:hAnsi="Arial"/>
          <w:sz w:val="18"/>
          <w:szCs w:val="18"/>
          <w:color w:val="auto"/>
        </w:rPr>
        <w:t>Accelerating innovation engine to develop cutting-edge technologies. Opportunity pipeline value achieved record levels in FY’22</w:t>
      </w:r>
    </w:p>
    <w:p>
      <w:pPr>
        <w:spacing w:after="0" w:line="200" w:lineRule="exact"/>
        <w:rPr>
          <w:rFonts w:ascii="Arial" w:cs="Arial" w:eastAsia="Arial" w:hAnsi="Arial"/>
          <w:sz w:val="18"/>
          <w:szCs w:val="18"/>
          <w:color w:val="0067B3"/>
        </w:rPr>
      </w:pPr>
    </w:p>
    <w:p>
      <w:pPr>
        <w:spacing w:after="0" w:line="290" w:lineRule="exact"/>
        <w:rPr>
          <w:rFonts w:ascii="Arial" w:cs="Arial" w:eastAsia="Arial" w:hAnsi="Arial"/>
          <w:sz w:val="18"/>
          <w:szCs w:val="18"/>
          <w:color w:val="0067B3"/>
        </w:rPr>
      </w:pPr>
    </w:p>
    <w:p>
      <w:pPr>
        <w:ind w:left="162" w:hanging="162"/>
        <w:spacing w:after="0"/>
        <w:tabs>
          <w:tab w:leader="none" w:pos="162" w:val="left"/>
        </w:tabs>
        <w:numPr>
          <w:ilvl w:val="0"/>
          <w:numId w:val="7"/>
        </w:numPr>
        <w:rPr>
          <w:rFonts w:ascii="Arial" w:cs="Arial" w:eastAsia="Arial" w:hAnsi="Arial"/>
          <w:sz w:val="18"/>
          <w:szCs w:val="18"/>
          <w:color w:val="0067B3"/>
        </w:rPr>
      </w:pPr>
      <w:r>
        <w:rPr>
          <w:rFonts w:ascii="Arial" w:cs="Arial" w:eastAsia="Arial" w:hAnsi="Arial"/>
          <w:sz w:val="18"/>
          <w:szCs w:val="18"/>
          <w:color w:val="auto"/>
        </w:rPr>
        <w:t>Automotive: Electrification, In-Cabin Experience, Advanced Driver Assistance System (Autonomous Mobility)</w:t>
      </w:r>
    </w:p>
    <w:p>
      <w:pPr>
        <w:spacing w:after="0" w:line="90" w:lineRule="exact"/>
        <w:rPr>
          <w:rFonts w:ascii="Arial" w:cs="Arial" w:eastAsia="Arial" w:hAnsi="Arial"/>
          <w:sz w:val="18"/>
          <w:szCs w:val="18"/>
          <w:color w:val="0067B3"/>
        </w:rPr>
      </w:pPr>
    </w:p>
    <w:p>
      <w:pPr>
        <w:ind w:left="162" w:hanging="162"/>
        <w:spacing w:after="0"/>
        <w:tabs>
          <w:tab w:leader="none" w:pos="162" w:val="left"/>
        </w:tabs>
        <w:numPr>
          <w:ilvl w:val="0"/>
          <w:numId w:val="7"/>
        </w:numPr>
        <w:rPr>
          <w:rFonts w:ascii="Arial" w:cs="Arial" w:eastAsia="Arial" w:hAnsi="Arial"/>
          <w:sz w:val="18"/>
          <w:szCs w:val="18"/>
          <w:color w:val="0067B3"/>
        </w:rPr>
      </w:pPr>
      <w:r>
        <w:rPr>
          <w:rFonts w:ascii="Arial" w:cs="Arial" w:eastAsia="Arial" w:hAnsi="Arial"/>
          <w:sz w:val="18"/>
          <w:szCs w:val="18"/>
          <w:color w:val="auto"/>
        </w:rPr>
        <w:t>Industrial: Industry 4.0, Digital Health, Space, Sustainable Energy</w:t>
      </w:r>
    </w:p>
    <w:p>
      <w:pPr>
        <w:spacing w:after="0" w:line="76" w:lineRule="exact"/>
        <w:rPr>
          <w:rFonts w:ascii="Arial" w:cs="Arial" w:eastAsia="Arial" w:hAnsi="Arial"/>
          <w:sz w:val="18"/>
          <w:szCs w:val="18"/>
          <w:color w:val="0067B3"/>
        </w:rPr>
      </w:pPr>
    </w:p>
    <w:p>
      <w:pPr>
        <w:ind w:left="162" w:hanging="162"/>
        <w:spacing w:after="0"/>
        <w:tabs>
          <w:tab w:leader="none" w:pos="162" w:val="left"/>
        </w:tabs>
        <w:numPr>
          <w:ilvl w:val="0"/>
          <w:numId w:val="7"/>
        </w:numPr>
        <w:rPr>
          <w:rFonts w:ascii="Arial" w:cs="Arial" w:eastAsia="Arial" w:hAnsi="Arial"/>
          <w:sz w:val="18"/>
          <w:szCs w:val="18"/>
          <w:color w:val="0067B3"/>
        </w:rPr>
      </w:pPr>
      <w:r>
        <w:rPr>
          <w:rFonts w:ascii="Arial" w:cs="Arial" w:eastAsia="Arial" w:hAnsi="Arial"/>
          <w:sz w:val="18"/>
          <w:szCs w:val="18"/>
          <w:color w:val="auto"/>
        </w:rPr>
        <w:t>Communications: Next-Gen Wireless (5G), Cloud/Edge Computing</w:t>
      </w:r>
    </w:p>
    <w:p>
      <w:pPr>
        <w:spacing w:after="0" w:line="200" w:lineRule="exact"/>
        <w:rPr>
          <w:sz w:val="20"/>
          <w:szCs w:val="20"/>
          <w:color w:val="auto"/>
        </w:rPr>
      </w:pPr>
    </w:p>
    <w:p>
      <w:pPr>
        <w:sectPr>
          <w:pgSz w:w="11900" w:h="16838" w:orient="portrait"/>
          <w:cols w:equalWidth="0" w:num="2">
            <w:col w:w="1120" w:space="278"/>
            <w:col w:w="9842"/>
          </w:cols>
          <w:pgMar w:left="320" w:top="1311" w:right="339" w:bottom="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Fiscal Year 2022 Performance Highlights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521"/>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41"/>
                <w:szCs w:val="41"/>
                <w:color w:val="0067B3"/>
              </w:rPr>
              <w:t>$12B</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41"/>
                <w:szCs w:val="41"/>
                <w:color w:val="0067B3"/>
              </w:rPr>
              <w:t>62.7%</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27.3%</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$5.25</w:t>
            </w:r>
          </w:p>
        </w:tc>
        <w:tc>
          <w:tcPr>
            <w:tcW w:w="2160" w:type="dxa"/>
            <w:vAlign w:val="bottom"/>
          </w:tcPr>
          <w:p>
            <w:pPr>
              <w:ind w:left="80"/>
              <w:spacing w:after="0"/>
              <w:rPr>
                <w:sz w:val="20"/>
                <w:szCs w:val="20"/>
                <w:color w:val="auto"/>
              </w:rPr>
            </w:pPr>
            <w:r>
              <w:rPr>
                <w:rFonts w:ascii="Arial" w:cs="Arial" w:eastAsia="Arial" w:hAnsi="Arial"/>
                <w:sz w:val="41"/>
                <w:szCs w:val="41"/>
                <w:color w:val="0067B3"/>
              </w:rPr>
              <w:t>$4.5B</w:t>
            </w:r>
          </w:p>
        </w:tc>
      </w:tr>
      <w:tr>
        <w:trPr>
          <w:trHeight w:val="216"/>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Diluted Earnings per</w:t>
            </w:r>
          </w:p>
        </w:tc>
        <w:tc>
          <w:tcPr>
            <w:tcW w:w="2160" w:type="dxa"/>
            <w:vAlign w:val="bottom"/>
          </w:tcPr>
          <w:p>
            <w:pPr>
              <w:ind w:left="80"/>
              <w:spacing w:after="0"/>
              <w:rPr>
                <w:sz w:val="20"/>
                <w:szCs w:val="20"/>
                <w:color w:val="auto"/>
              </w:rPr>
            </w:pPr>
            <w:r>
              <w:rPr>
                <w:rFonts w:ascii="Arial" w:cs="Arial" w:eastAsia="Arial" w:hAnsi="Arial"/>
                <w:sz w:val="18"/>
                <w:szCs w:val="18"/>
                <w:color w:val="auto"/>
              </w:rPr>
              <w:t>Operating Cash Flow</w:t>
            </w:r>
          </w:p>
        </w:tc>
      </w:tr>
      <w:tr>
        <w:trPr>
          <w:trHeight w:val="239"/>
        </w:trPr>
        <w:tc>
          <w:tcPr>
            <w:tcW w:w="21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2160" w:type="dxa"/>
            <w:vAlign w:val="bottom"/>
          </w:tcPr>
          <w:p>
            <w:pPr>
              <w:spacing w:after="0"/>
              <w:rPr>
                <w:sz w:val="20"/>
                <w:szCs w:val="20"/>
                <w:color w:val="auto"/>
              </w:rPr>
            </w:pPr>
          </w:p>
        </w:tc>
      </w:tr>
      <w:tr>
        <w:trPr>
          <w:trHeight w:val="720"/>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41"/>
                <w:szCs w:val="41"/>
                <w:color w:val="0067B3"/>
              </w:rPr>
              <w:t>~87%</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41"/>
                <w:szCs w:val="41"/>
                <w:color w:val="0067B3"/>
              </w:rPr>
              <w:t>73.6%</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49.4%</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$9.57</w:t>
            </w:r>
          </w:p>
        </w:tc>
        <w:tc>
          <w:tcPr>
            <w:tcW w:w="2160" w:type="dxa"/>
            <w:vAlign w:val="bottom"/>
          </w:tcPr>
          <w:p>
            <w:pPr>
              <w:ind w:left="80"/>
              <w:spacing w:after="0"/>
              <w:rPr>
                <w:sz w:val="20"/>
                <w:szCs w:val="20"/>
                <w:color w:val="auto"/>
              </w:rPr>
            </w:pPr>
            <w:r>
              <w:rPr>
                <w:rFonts w:ascii="Arial" w:cs="Arial" w:eastAsia="Arial" w:hAnsi="Arial"/>
                <w:sz w:val="41"/>
                <w:szCs w:val="41"/>
                <w:color w:val="0067B3"/>
              </w:rPr>
              <w:t>$3.8B</w:t>
            </w:r>
          </w:p>
        </w:tc>
      </w:tr>
      <w:tr>
        <w:trPr>
          <w:trHeight w:val="216"/>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Business-to-Business</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Adjusted 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Diluted Earnings</w:t>
            </w:r>
          </w:p>
        </w:tc>
        <w:tc>
          <w:tcPr>
            <w:tcW w:w="2160" w:type="dxa"/>
            <w:vAlign w:val="bottom"/>
          </w:tcPr>
          <w:p>
            <w:pPr>
              <w:ind w:left="80"/>
              <w:spacing w:after="0"/>
              <w:rPr>
                <w:sz w:val="20"/>
                <w:szCs w:val="20"/>
                <w:color w:val="auto"/>
              </w:rPr>
            </w:pPr>
            <w:r>
              <w:rPr>
                <w:rFonts w:ascii="Arial" w:cs="Arial" w:eastAsia="Arial" w:hAnsi="Arial"/>
                <w:sz w:val="18"/>
                <w:szCs w:val="18"/>
                <w:color w:val="auto"/>
              </w:rPr>
              <w:t>Free Cash Flow*</w:t>
            </w:r>
          </w:p>
        </w:tc>
      </w:tr>
      <w:tr>
        <w:trPr>
          <w:trHeight w:val="239"/>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2160" w:type="dxa"/>
            <w:vAlign w:val="bottom"/>
          </w:tcPr>
          <w:p>
            <w:pPr>
              <w:spacing w:after="0"/>
              <w:rPr>
                <w:sz w:val="20"/>
                <w:szCs w:val="20"/>
                <w:color w:val="auto"/>
              </w:rPr>
            </w:pPr>
          </w:p>
        </w:tc>
      </w:tr>
      <w:tr>
        <w:trPr>
          <w:trHeight w:val="266"/>
        </w:trPr>
        <w:tc>
          <w:tcPr>
            <w:tcW w:w="2100" w:type="dxa"/>
            <w:vAlign w:val="bottom"/>
            <w:tcBorders>
              <w:bottom w:val="single" w:sz="8" w:color="0067B3"/>
              <w:right w:val="single" w:sz="8" w:color="auto"/>
            </w:tcBorders>
          </w:tcPr>
          <w:p>
            <w:pPr>
              <w:spacing w:after="0"/>
              <w:rPr>
                <w:sz w:val="23"/>
                <w:szCs w:val="23"/>
                <w:color w:val="auto"/>
              </w:rPr>
            </w:pPr>
          </w:p>
        </w:tc>
        <w:tc>
          <w:tcPr>
            <w:tcW w:w="2280" w:type="dxa"/>
            <w:vAlign w:val="bottom"/>
            <w:tcBorders>
              <w:bottom w:val="single" w:sz="8" w:color="0067B3"/>
              <w:right w:val="single" w:sz="8" w:color="auto"/>
            </w:tcBorders>
          </w:tcPr>
          <w:p>
            <w:pPr>
              <w:spacing w:after="0"/>
              <w:rPr>
                <w:sz w:val="23"/>
                <w:szCs w:val="23"/>
                <w:color w:val="auto"/>
              </w:rPr>
            </w:pPr>
          </w:p>
        </w:tc>
        <w:tc>
          <w:tcPr>
            <w:tcW w:w="2340" w:type="dxa"/>
            <w:vAlign w:val="bottom"/>
            <w:tcBorders>
              <w:bottom w:val="single" w:sz="8" w:color="0067B3"/>
              <w:right w:val="single" w:sz="8" w:color="auto"/>
            </w:tcBorders>
          </w:tcPr>
          <w:p>
            <w:pPr>
              <w:spacing w:after="0"/>
              <w:rPr>
                <w:sz w:val="23"/>
                <w:szCs w:val="23"/>
                <w:color w:val="auto"/>
              </w:rPr>
            </w:pPr>
          </w:p>
        </w:tc>
        <w:tc>
          <w:tcPr>
            <w:tcW w:w="2360" w:type="dxa"/>
            <w:vAlign w:val="bottom"/>
            <w:tcBorders>
              <w:bottom w:val="single" w:sz="8" w:color="0067B3"/>
              <w:right w:val="single" w:sz="8" w:color="auto"/>
            </w:tcBorders>
          </w:tcPr>
          <w:p>
            <w:pPr>
              <w:spacing w:after="0"/>
              <w:rPr>
                <w:sz w:val="23"/>
                <w:szCs w:val="23"/>
                <w:color w:val="auto"/>
              </w:rPr>
            </w:pPr>
          </w:p>
        </w:tc>
        <w:tc>
          <w:tcPr>
            <w:tcW w:w="2160" w:type="dxa"/>
            <w:vAlign w:val="bottom"/>
            <w:tcBorders>
              <w:bottom w:val="single" w:sz="8" w:color="0067B3"/>
            </w:tcBorders>
          </w:tcPr>
          <w:p>
            <w:pPr>
              <w:spacing w:after="0"/>
              <w:rPr>
                <w:sz w:val="23"/>
                <w:szCs w:val="23"/>
                <w:color w:val="auto"/>
              </w:rPr>
            </w:pPr>
          </w:p>
        </w:tc>
      </w:tr>
    </w:tbl>
    <w:p>
      <w:pPr>
        <w:spacing w:after="0" w:line="148" w:lineRule="exact"/>
        <w:rPr>
          <w:sz w:val="20"/>
          <w:szCs w:val="20"/>
          <w:color w:val="auto"/>
        </w:rPr>
      </w:pPr>
    </w:p>
    <w:p>
      <w:pPr>
        <w:ind w:left="200" w:right="340" w:hanging="192"/>
        <w:spacing w:after="0" w:line="304"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Environment, Social and Governance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Our Approach</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ADI, we have long held the belief that we can and should be a force for positive change in the world. We believe that our strategic growth over the past few years gives us the opportunity to take an even stronger leadership position in driving the changes that must take place to create a better society and a healthier planet. Environment, Social, and Governance (ESG) principles are at the heart of everything we do, because it’s the morally right thing to do and ESG is smart business. The efforts we take across ADI to operate with integrity, preserve the environment, slow down and remediate climate change, and inject greater diversity, equity, and inclusion (DE&amp;I), both within our leadership and workforce, are key to our long-term growth and profitability. We believe sustainability means delivering holistic solutions that make a positive, demonstrable impact on the world.</w:t>
      </w:r>
    </w:p>
    <w:p>
      <w:pPr>
        <w:sectPr>
          <w:pgSz w:w="11900" w:h="16838" w:orient="portrait"/>
          <w:cols w:equalWidth="0" w:num="1">
            <w:col w:w="11240"/>
          </w:cols>
          <w:pgMar w:left="320" w:top="1311" w:right="339" w:bottom="84"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9"/>
          <w:szCs w:val="19"/>
          <w:b w:val="1"/>
          <w:bCs w:val="1"/>
          <w:color w:val="auto"/>
        </w:rPr>
      </w:pPr>
      <w:r>
        <w:rPr>
          <w:rFonts w:ascii="Arial" w:cs="Arial" w:eastAsia="Arial" w:hAnsi="Arial"/>
          <w:sz w:val="15"/>
          <w:szCs w:val="15"/>
          <w:color w:val="6D6E71"/>
        </w:rPr>
        <w:t>Highlights</w:t>
      </w:r>
    </w:p>
    <w:p>
      <w:pPr>
        <w:sectPr>
          <w:pgSz w:w="11900" w:h="16838" w:orient="portrait"/>
          <w:cols w:equalWidth="0" w:num="1">
            <w:col w:w="11240"/>
          </w:cols>
          <w:pgMar w:left="320" w:top="1311" w:right="339" w:bottom="84" w:gutter="0" w:footer="0" w:header="0"/>
          <w:type w:val="continuous"/>
        </w:sectPr>
      </w:pPr>
    </w:p>
    <w:bookmarkStart w:id="10" w:name="page11"/>
    <w:bookmarkEnd w:id="10"/>
    <w:p>
      <w:pPr>
        <w:spacing w:after="0"/>
        <w:rPr>
          <w:sz w:val="20"/>
          <w:szCs w:val="20"/>
          <w:color w:val="auto"/>
        </w:rPr>
      </w:pPr>
      <w:r>
        <w:rPr>
          <w:rFonts w:ascii="Arial" w:cs="Arial" w:eastAsia="Arial" w:hAnsi="Arial"/>
          <w:sz w:val="32"/>
          <w:szCs w:val="32"/>
          <w:b w:val="1"/>
          <w:bCs w:val="1"/>
          <w:color w:val="auto"/>
        </w:rPr>
        <w:t>ESG Oversight</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CEO and Chair, our Leadership Team, as defined below, and appointed roles dedicated to ESG lead our ESG agenda. Our Nominating and Corporate Governance Committee has specific oversight responsibility for ADI’s ESG programs, initiatives, policies and goals, including reviewing our sustainability initiatives and goals, as well as our progress toward achieving those goals. Our Board of Directors is fully engaged and receives regular updates from senior management about our ESG programs, including updates on our sustainability as a business initiative, and on emerging issues. These ESG topics also include educational components to keep our Board of Directors abreast of the quickly changing ESG regulatory environment, as well as other evolving practices, risk oversight, mitigation strategies and other relevant ESG topics. Created in 2021, we have an ESG Executive Council that consists of in-house subject matter experts, such as Human Resources, Environment, Health and Safety, and Compliance and Ethics, that meets regularly and provides updates to the ESG Oversight Committee. The Nominating and Corporate Governance Committee receives quarterly reports on our progress against stated targets, as well as updates on topics such as stakeholder value, risks and opportunities, regulatory preparedness, ESG ratings and key ESG focus areas.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ADI Corporate &amp; ESG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are proud that our commitments are routinely recognized around the globe, including most recently with the following awards: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Forbes 2022 World’s Top</w:t>
            </w:r>
          </w:p>
        </w:tc>
        <w:tc>
          <w:tcPr>
            <w:tcW w:w="37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LinkedIn’s Top Companies</w:t>
            </w:r>
          </w:p>
        </w:tc>
        <w:tc>
          <w:tcPr>
            <w:tcW w:w="3540" w:type="dxa"/>
            <w:vAlign w:val="bottom"/>
          </w:tcPr>
          <w:p>
            <w:pPr>
              <w:ind w:left="1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Investor Business Daily’s 100 Best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0"/>
              <w:spacing w:after="0"/>
              <w:rPr>
                <w:sz w:val="20"/>
                <w:szCs w:val="20"/>
                <w:color w:val="auto"/>
              </w:rPr>
            </w:pPr>
            <w:r>
              <w:rPr>
                <w:rFonts w:ascii="Arial" w:cs="Arial" w:eastAsia="Arial" w:hAnsi="Arial"/>
                <w:sz w:val="18"/>
                <w:szCs w:val="18"/>
                <w:color w:val="auto"/>
              </w:rPr>
              <w:t>Female Friendly Companies</w:t>
            </w:r>
          </w:p>
        </w:tc>
        <w:tc>
          <w:tcPr>
            <w:tcW w:w="3780" w:type="dxa"/>
            <w:vAlign w:val="bottom"/>
          </w:tcPr>
          <w:p>
            <w:pPr>
              <w:ind w:left="340"/>
              <w:spacing w:after="0"/>
              <w:rPr>
                <w:sz w:val="20"/>
                <w:szCs w:val="20"/>
                <w:color w:val="auto"/>
              </w:rPr>
            </w:pPr>
            <w:r>
              <w:rPr>
                <w:rFonts w:ascii="Arial" w:cs="Arial" w:eastAsia="Arial" w:hAnsi="Arial"/>
                <w:sz w:val="18"/>
                <w:szCs w:val="18"/>
                <w:color w:val="auto"/>
              </w:rPr>
              <w:t>2022: Technology &amp; Information</w:t>
            </w:r>
          </w:p>
        </w:tc>
        <w:tc>
          <w:tcPr>
            <w:tcW w:w="3540" w:type="dxa"/>
            <w:vAlign w:val="bottom"/>
          </w:tcPr>
          <w:p>
            <w:pPr>
              <w:ind w:left="300"/>
              <w:spacing w:after="0"/>
              <w:rPr>
                <w:sz w:val="20"/>
                <w:szCs w:val="20"/>
                <w:color w:val="auto"/>
              </w:rPr>
            </w:pPr>
            <w:r>
              <w:rPr>
                <w:rFonts w:ascii="Arial" w:cs="Arial" w:eastAsia="Arial" w:hAnsi="Arial"/>
                <w:sz w:val="18"/>
                <w:szCs w:val="18"/>
                <w:color w:val="auto"/>
              </w:rPr>
              <w:t>ESG Companies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600" w:type="dxa"/>
            <w:vAlign w:val="bottom"/>
          </w:tcPr>
          <w:p>
            <w:pPr>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2022 JUST Capital Workforce Equity and</w:t>
            </w:r>
          </w:p>
        </w:tc>
        <w:tc>
          <w:tcPr>
            <w:tcW w:w="37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50/50 Women on Boards-3+ Women</w:t>
            </w:r>
          </w:p>
        </w:tc>
        <w:tc>
          <w:tcPr>
            <w:tcW w:w="3540" w:type="dxa"/>
            <w:vAlign w:val="bottom"/>
          </w:tcPr>
          <w:p>
            <w:pPr>
              <w:ind w:left="1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Newsweek America’s Most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0"/>
              <w:spacing w:after="0"/>
              <w:rPr>
                <w:sz w:val="20"/>
                <w:szCs w:val="20"/>
                <w:color w:val="auto"/>
              </w:rPr>
            </w:pPr>
            <w:r>
              <w:rPr>
                <w:rFonts w:ascii="Arial" w:cs="Arial" w:eastAsia="Arial" w:hAnsi="Arial"/>
                <w:sz w:val="18"/>
                <w:szCs w:val="18"/>
                <w:color w:val="auto"/>
              </w:rPr>
              <w:t>Mobility Ranking</w:t>
            </w:r>
          </w:p>
        </w:tc>
        <w:tc>
          <w:tcPr>
            <w:tcW w:w="3780" w:type="dxa"/>
            <w:vAlign w:val="bottom"/>
          </w:tcPr>
          <w:p>
            <w:pPr>
              <w:ind w:left="340"/>
              <w:spacing w:after="0"/>
              <w:rPr>
                <w:sz w:val="20"/>
                <w:szCs w:val="20"/>
                <w:color w:val="auto"/>
              </w:rPr>
            </w:pPr>
            <w:r>
              <w:rPr>
                <w:rFonts w:ascii="Arial" w:cs="Arial" w:eastAsia="Arial" w:hAnsi="Arial"/>
                <w:sz w:val="18"/>
                <w:szCs w:val="18"/>
                <w:color w:val="auto"/>
              </w:rPr>
              <w:t>on Company Boards 2022</w:t>
            </w:r>
          </w:p>
        </w:tc>
        <w:tc>
          <w:tcPr>
            <w:tcW w:w="3540" w:type="dxa"/>
            <w:vAlign w:val="bottom"/>
          </w:tcPr>
          <w:p>
            <w:pPr>
              <w:ind w:left="300"/>
              <w:spacing w:after="0"/>
              <w:rPr>
                <w:sz w:val="20"/>
                <w:szCs w:val="20"/>
                <w:color w:val="auto"/>
              </w:rPr>
            </w:pPr>
            <w:r>
              <w:rPr>
                <w:rFonts w:ascii="Arial" w:cs="Arial" w:eastAsia="Arial" w:hAnsi="Arial"/>
                <w:sz w:val="18"/>
                <w:szCs w:val="18"/>
                <w:color w:val="auto"/>
              </w:rPr>
              <w:t>Responsible Companies 2022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600" w:type="dxa"/>
            <w:vAlign w:val="bottom"/>
          </w:tcPr>
          <w:p>
            <w:pPr>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2023 JUST Capital 100</w:t>
            </w:r>
          </w:p>
        </w:tc>
        <w:tc>
          <w:tcPr>
            <w:tcW w:w="37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Global 100 Most Sustainable Corporations</w:t>
            </w:r>
          </w:p>
        </w:tc>
        <w:tc>
          <w:tcPr>
            <w:tcW w:w="3540" w:type="dxa"/>
            <w:vAlign w:val="bottom"/>
            <w:vMerge w:val="restart"/>
          </w:tcPr>
          <w:p>
            <w:pPr>
              <w:ind w:left="1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2022 Carbon Clean 200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600" w:type="dxa"/>
            <w:vAlign w:val="bottom"/>
          </w:tcPr>
          <w:p>
            <w:pPr>
              <w:spacing w:after="0"/>
              <w:rPr>
                <w:sz w:val="7"/>
                <w:szCs w:val="7"/>
                <w:color w:val="auto"/>
              </w:rPr>
            </w:pPr>
          </w:p>
        </w:tc>
        <w:tc>
          <w:tcPr>
            <w:tcW w:w="3780" w:type="dxa"/>
            <w:vAlign w:val="bottom"/>
            <w:vMerge w:val="restart"/>
          </w:tcPr>
          <w:p>
            <w:pPr>
              <w:ind w:left="340"/>
              <w:spacing w:after="0"/>
              <w:rPr>
                <w:sz w:val="20"/>
                <w:szCs w:val="20"/>
                <w:color w:val="auto"/>
              </w:rPr>
            </w:pPr>
            <w:r>
              <w:rPr>
                <w:rFonts w:ascii="Arial" w:cs="Arial" w:eastAsia="Arial" w:hAnsi="Arial"/>
                <w:sz w:val="18"/>
                <w:szCs w:val="18"/>
                <w:color w:val="auto"/>
              </w:rPr>
              <w:t>in the World by Corporate Knights 2022</w:t>
            </w:r>
          </w:p>
        </w:tc>
        <w:tc>
          <w:tcPr>
            <w:tcW w:w="3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0"/>
        </w:trPr>
        <w:tc>
          <w:tcPr>
            <w:tcW w:w="3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40" w:type="dxa"/>
            <w:vAlign w:val="bottom"/>
          </w:tcPr>
          <w:p>
            <w:pPr>
              <w:ind w:left="1760"/>
              <w:spacing w:after="0"/>
              <w:rPr>
                <w:sz w:val="20"/>
                <w:szCs w:val="20"/>
                <w:color w:val="auto"/>
              </w:rPr>
            </w:pPr>
            <w:r>
              <w:rPr>
                <w:rFonts w:ascii="Arial" w:cs="Arial" w:eastAsia="Arial" w:hAnsi="Arial"/>
                <w:sz w:val="16"/>
                <w:szCs w:val="16"/>
                <w:color w:val="0067B3"/>
              </w:rPr>
              <w:t>2023 Proxy Statement</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3</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11" w:right="359" w:bottom="1440" w:gutter="0" w:footer="0" w:header="0"/>
        </w:sectPr>
      </w:pPr>
    </w:p>
    <w:bookmarkStart w:id="11" w:name="page12"/>
    <w:bookmarkEnd w:id="11"/>
    <w:p>
      <w:pPr>
        <w:spacing w:after="0"/>
        <w:rPr>
          <w:sz w:val="20"/>
          <w:szCs w:val="20"/>
          <w:color w:val="auto"/>
        </w:rPr>
      </w:pPr>
      <w:r>
        <w:rPr>
          <w:rFonts w:ascii="Arial" w:cs="Arial" w:eastAsia="Arial" w:hAnsi="Arial"/>
          <w:sz w:val="26"/>
          <w:szCs w:val="26"/>
          <w:b w:val="1"/>
          <w:bCs w:val="1"/>
          <w:color w:val="0067B3"/>
        </w:rPr>
        <w:t>Fiscal Year 2022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22885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0" cy="240030"/>
                    </a:xfrm>
                    <a:prstGeom prst="rect">
                      <a:avLst/>
                    </a:prstGeom>
                    <a:noFill/>
                  </pic:spPr>
                </pic:pic>
              </a:graphicData>
            </a:graphic>
          </wp:anchor>
        </w:drawing>
      </w:r>
    </w:p>
    <w:p>
      <w:pPr>
        <w:spacing w:after="0" w:line="245" w:lineRule="exact"/>
        <w:rPr>
          <w:sz w:val="20"/>
          <w:szCs w:val="20"/>
          <w:color w:val="auto"/>
        </w:rPr>
      </w:pPr>
    </w:p>
    <w:p>
      <w:pPr>
        <w:ind w:left="1000" w:hanging="156"/>
        <w:spacing w:after="0"/>
        <w:tabs>
          <w:tab w:leader="none" w:pos="1000" w:val="left"/>
        </w:tabs>
        <w:numPr>
          <w:ilvl w:val="1"/>
          <w:numId w:val="10"/>
        </w:numPr>
        <w:rPr>
          <w:rFonts w:ascii="Arial" w:cs="Arial" w:eastAsia="Arial" w:hAnsi="Arial"/>
          <w:sz w:val="18"/>
          <w:szCs w:val="18"/>
          <w:b w:val="1"/>
          <w:bCs w:val="1"/>
          <w:color w:val="0067B3"/>
        </w:rPr>
      </w:pPr>
      <w:r>
        <w:rPr>
          <w:rFonts w:ascii="Arial" w:cs="Arial" w:eastAsia="Arial" w:hAnsi="Arial"/>
          <w:sz w:val="18"/>
          <w:szCs w:val="18"/>
          <w:b w:val="1"/>
          <w:bCs w:val="1"/>
          <w:color w:val="FFFFFF"/>
        </w:rPr>
        <w:t>TRANSPARENCY</w:t>
      </w:r>
    </w:p>
    <w:p>
      <w:pPr>
        <w:spacing w:after="0" w:line="292" w:lineRule="exact"/>
        <w:rPr>
          <w:rFonts w:ascii="Arial" w:cs="Arial" w:eastAsia="Arial" w:hAnsi="Arial"/>
          <w:sz w:val="18"/>
          <w:szCs w:val="18"/>
          <w:b w:val="1"/>
          <w:bCs w:val="1"/>
          <w:color w:val="0067B3"/>
        </w:rPr>
      </w:pPr>
    </w:p>
    <w:p>
      <w:pPr>
        <w:ind w:left="180" w:hanging="154"/>
        <w:spacing w:after="0"/>
        <w:tabs>
          <w:tab w:leader="none" w:pos="180" w:val="left"/>
        </w:tabs>
        <w:numPr>
          <w:ilvl w:val="0"/>
          <w:numId w:val="10"/>
        </w:numPr>
        <w:rPr>
          <w:rFonts w:ascii="Arial" w:cs="Arial" w:eastAsia="Arial" w:hAnsi="Arial"/>
          <w:sz w:val="18"/>
          <w:szCs w:val="18"/>
          <w:color w:val="0067B3"/>
        </w:rPr>
      </w:pPr>
      <w:r>
        <w:rPr>
          <w:rFonts w:ascii="Arial" w:cs="Arial" w:eastAsia="Arial" w:hAnsi="Arial"/>
          <w:sz w:val="18"/>
          <w:szCs w:val="18"/>
          <w:color w:val="auto"/>
        </w:rPr>
        <w:t>Published our 2021 ESG Report</w:t>
      </w:r>
    </w:p>
    <w:p>
      <w:pPr>
        <w:spacing w:after="0" w:line="90" w:lineRule="exact"/>
        <w:rPr>
          <w:rFonts w:ascii="Arial" w:cs="Arial" w:eastAsia="Arial" w:hAnsi="Arial"/>
          <w:sz w:val="18"/>
          <w:szCs w:val="18"/>
          <w:color w:val="0067B3"/>
        </w:rPr>
      </w:pPr>
    </w:p>
    <w:p>
      <w:pPr>
        <w:ind w:left="220" w:right="240" w:hanging="194"/>
        <w:spacing w:after="0" w:line="268" w:lineRule="auto"/>
        <w:tabs>
          <w:tab w:leader="none" w:pos="183" w:val="left"/>
        </w:tabs>
        <w:numPr>
          <w:ilvl w:val="0"/>
          <w:numId w:val="10"/>
        </w:numPr>
        <w:rPr>
          <w:rFonts w:ascii="Arial" w:cs="Arial" w:eastAsia="Arial" w:hAnsi="Arial"/>
          <w:sz w:val="18"/>
          <w:szCs w:val="18"/>
          <w:color w:val="0067B3"/>
        </w:rPr>
      </w:pPr>
      <w:r>
        <w:rPr>
          <w:rFonts w:ascii="Arial" w:cs="Arial" w:eastAsia="Arial" w:hAnsi="Arial"/>
          <w:sz w:val="18"/>
          <w:szCs w:val="18"/>
          <w:color w:val="auto"/>
        </w:rPr>
        <w:t>Mapped our ESG Report to GRI (Core Option), SASB, TCFD and the U.N.’s Sustainable Development Goals</w:t>
      </w:r>
    </w:p>
    <w:p>
      <w:pPr>
        <w:spacing w:after="0" w:line="22" w:lineRule="exact"/>
        <w:rPr>
          <w:rFonts w:ascii="Arial" w:cs="Arial" w:eastAsia="Arial" w:hAnsi="Arial"/>
          <w:sz w:val="18"/>
          <w:szCs w:val="18"/>
          <w:color w:val="0067B3"/>
        </w:rPr>
      </w:pPr>
    </w:p>
    <w:p>
      <w:pPr>
        <w:ind w:left="220" w:right="360" w:hanging="194"/>
        <w:spacing w:after="0" w:line="291" w:lineRule="auto"/>
        <w:tabs>
          <w:tab w:leader="none" w:pos="183" w:val="left"/>
        </w:tabs>
        <w:numPr>
          <w:ilvl w:val="0"/>
          <w:numId w:val="10"/>
        </w:numPr>
        <w:rPr>
          <w:rFonts w:ascii="Arial" w:cs="Arial" w:eastAsia="Arial" w:hAnsi="Arial"/>
          <w:sz w:val="17"/>
          <w:szCs w:val="17"/>
          <w:color w:val="0067B3"/>
        </w:rPr>
      </w:pPr>
      <w:r>
        <w:rPr>
          <w:rFonts w:ascii="Arial" w:cs="Arial" w:eastAsia="Arial" w:hAnsi="Arial"/>
          <w:sz w:val="17"/>
          <w:szCs w:val="17"/>
          <w:color w:val="auto"/>
        </w:rPr>
        <w:t>Reported program updates to CDP Climate Change and Water Security, EcoVadis, and KnowTheChain</w:t>
      </w:r>
    </w:p>
    <w:p>
      <w:pPr>
        <w:spacing w:after="0" w:line="4" w:lineRule="exact"/>
        <w:rPr>
          <w:rFonts w:ascii="Arial" w:cs="Arial" w:eastAsia="Arial" w:hAnsi="Arial"/>
          <w:sz w:val="17"/>
          <w:szCs w:val="17"/>
          <w:color w:val="0067B3"/>
        </w:rPr>
      </w:pPr>
    </w:p>
    <w:p>
      <w:pPr>
        <w:ind w:left="220" w:right="180" w:hanging="194"/>
        <w:spacing w:after="0" w:line="287" w:lineRule="auto"/>
        <w:tabs>
          <w:tab w:leader="none" w:pos="183" w:val="left"/>
        </w:tabs>
        <w:numPr>
          <w:ilvl w:val="0"/>
          <w:numId w:val="10"/>
        </w:numPr>
        <w:rPr>
          <w:rFonts w:ascii="Arial" w:cs="Arial" w:eastAsia="Arial" w:hAnsi="Arial"/>
          <w:sz w:val="18"/>
          <w:szCs w:val="18"/>
          <w:color w:val="0067B3"/>
        </w:rPr>
      </w:pPr>
      <w:r>
        <w:rPr>
          <w:rFonts w:ascii="Arial" w:cs="Arial" w:eastAsia="Arial" w:hAnsi="Arial"/>
          <w:sz w:val="18"/>
          <w:szCs w:val="18"/>
          <w:color w:val="auto"/>
        </w:rPr>
        <w:t>Published online our most recent EEO-1 reports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left="-26"/>
        <w:spacing w:after="0"/>
        <w:rPr>
          <w:sz w:val="20"/>
          <w:szCs w:val="20"/>
          <w:color w:val="auto"/>
        </w:rPr>
      </w:pPr>
      <w:r>
        <w:rPr>
          <w:rFonts w:ascii="Arial" w:cs="Arial" w:eastAsia="Arial" w:hAnsi="Arial"/>
          <w:sz w:val="18"/>
          <w:szCs w:val="18"/>
          <w:b w:val="1"/>
          <w:bCs w:val="1"/>
          <w:color w:val="FFFFFF"/>
        </w:rPr>
        <w:t>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-170180</wp:posOffset>
            </wp:positionV>
            <wp:extent cx="2374265" cy="312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4265" cy="3129280"/>
                    </a:xfrm>
                    <a:prstGeom prst="rect">
                      <a:avLst/>
                    </a:prstGeom>
                    <a:noFill/>
                  </pic:spPr>
                </pic:pic>
              </a:graphicData>
            </a:graphic>
          </wp:anchor>
        </w:drawing>
      </w:r>
    </w:p>
    <w:p>
      <w:pPr>
        <w:spacing w:after="0" w:line="273" w:lineRule="exact"/>
        <w:rPr>
          <w:sz w:val="20"/>
          <w:szCs w:val="20"/>
          <w:color w:val="auto"/>
        </w:rPr>
      </w:pPr>
    </w:p>
    <w:p>
      <w:pPr>
        <w:ind w:left="187" w:hanging="187"/>
        <w:spacing w:after="0" w:line="255" w:lineRule="auto"/>
        <w:tabs>
          <w:tab w:leader="none" w:pos="150" w:val="left"/>
        </w:tabs>
        <w:numPr>
          <w:ilvl w:val="0"/>
          <w:numId w:val="11"/>
        </w:numPr>
        <w:rPr>
          <w:rFonts w:ascii="Arial" w:cs="Arial" w:eastAsia="Arial" w:hAnsi="Arial"/>
          <w:sz w:val="18"/>
          <w:szCs w:val="18"/>
          <w:color w:val="0067B3"/>
        </w:rPr>
      </w:pPr>
      <w:r>
        <w:rPr>
          <w:rFonts w:ascii="Arial" w:cs="Arial" w:eastAsia="Arial" w:hAnsi="Arial"/>
          <w:sz w:val="18"/>
          <w:szCs w:val="18"/>
          <w:color w:val="auto"/>
        </w:rPr>
        <w:t>Continued to innovate and develop solutions with meaningful environmental benefits for our customers, including our Battery Management Solutions, Energy Storage Systems, precision monitoring for enabling industrial transformation, and leveraging our intelligent sensing systems to continue towards our environmental commitments</w:t>
      </w:r>
    </w:p>
    <w:p>
      <w:pPr>
        <w:spacing w:after="0" w:line="45" w:lineRule="exact"/>
        <w:rPr>
          <w:rFonts w:ascii="Arial" w:cs="Arial" w:eastAsia="Arial" w:hAnsi="Arial"/>
          <w:sz w:val="18"/>
          <w:szCs w:val="18"/>
          <w:color w:val="0067B3"/>
        </w:rPr>
      </w:pPr>
    </w:p>
    <w:p>
      <w:pPr>
        <w:ind w:left="187" w:hanging="187"/>
        <w:spacing w:after="0" w:line="256" w:lineRule="auto"/>
        <w:tabs>
          <w:tab w:leader="none" w:pos="150" w:val="left"/>
        </w:tabs>
        <w:numPr>
          <w:ilvl w:val="0"/>
          <w:numId w:val="11"/>
        </w:numPr>
        <w:rPr>
          <w:rFonts w:ascii="Arial" w:cs="Arial" w:eastAsia="Arial" w:hAnsi="Arial"/>
          <w:sz w:val="18"/>
          <w:szCs w:val="18"/>
          <w:color w:val="0067B3"/>
        </w:rPr>
      </w:pPr>
      <w:r>
        <w:rPr>
          <w:rFonts w:ascii="Arial" w:cs="Arial" w:eastAsia="Arial" w:hAnsi="Arial"/>
          <w:sz w:val="18"/>
          <w:szCs w:val="18"/>
          <w:color w:val="auto"/>
        </w:rPr>
        <w:t>Folded our legacy Maxim partners into ADI’s strong environmental commitments, including to become carbon neutral by 2030 and achieve net zero emissions by 2050 or sooner, 50% manufacturing water recycling rate by 2025, and zero manufacturing waste to landfill by 2030</w:t>
      </w:r>
    </w:p>
    <w:p>
      <w:pPr>
        <w:spacing w:after="0" w:line="34" w:lineRule="exact"/>
        <w:rPr>
          <w:rFonts w:ascii="Arial" w:cs="Arial" w:eastAsia="Arial" w:hAnsi="Arial"/>
          <w:sz w:val="18"/>
          <w:szCs w:val="18"/>
          <w:color w:val="0067B3"/>
        </w:rPr>
      </w:pPr>
    </w:p>
    <w:p>
      <w:pPr>
        <w:jc w:val="both"/>
        <w:ind w:left="187" w:right="140" w:hanging="187"/>
        <w:spacing w:after="0" w:line="268" w:lineRule="auto"/>
        <w:tabs>
          <w:tab w:leader="none" w:pos="150" w:val="left"/>
        </w:tabs>
        <w:numPr>
          <w:ilvl w:val="0"/>
          <w:numId w:val="11"/>
        </w:numPr>
        <w:rPr>
          <w:rFonts w:ascii="Arial" w:cs="Arial" w:eastAsia="Arial" w:hAnsi="Arial"/>
          <w:sz w:val="18"/>
          <w:szCs w:val="18"/>
          <w:color w:val="0067B3"/>
        </w:rPr>
      </w:pPr>
      <w:r>
        <w:rPr>
          <w:rFonts w:ascii="Arial" w:cs="Arial" w:eastAsia="Arial" w:hAnsi="Arial"/>
          <w:sz w:val="18"/>
          <w:szCs w:val="18"/>
          <w:color w:val="auto"/>
        </w:rPr>
        <w:t>Remained signatories to the U.N. Global Compact and their campaign, Business Ambition for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548640</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419"/>
        <w:spacing w:after="0"/>
        <w:rPr>
          <w:sz w:val="20"/>
          <w:szCs w:val="20"/>
          <w:color w:val="auto"/>
        </w:rPr>
      </w:pPr>
      <w:r>
        <w:rPr>
          <w:rFonts w:ascii="Arial" w:cs="Arial" w:eastAsia="Arial" w:hAnsi="Arial"/>
          <w:sz w:val="18"/>
          <w:szCs w:val="18"/>
          <w:b w:val="1"/>
          <w:bCs w:val="1"/>
          <w:color w:val="FFFFFF"/>
        </w:rPr>
        <w:t>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-170180</wp:posOffset>
            </wp:positionV>
            <wp:extent cx="2339975" cy="312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39975" cy="3129280"/>
                    </a:xfrm>
                    <a:prstGeom prst="rect">
                      <a:avLst/>
                    </a:prstGeom>
                    <a:noFill/>
                  </pic:spPr>
                </pic:pic>
              </a:graphicData>
            </a:graphic>
          </wp:anchor>
        </w:drawing>
      </w:r>
    </w:p>
    <w:p>
      <w:pPr>
        <w:spacing w:after="0" w:line="273" w:lineRule="exact"/>
        <w:rPr>
          <w:sz w:val="20"/>
          <w:szCs w:val="20"/>
          <w:color w:val="auto"/>
        </w:rPr>
      </w:pPr>
    </w:p>
    <w:p>
      <w:pPr>
        <w:ind w:left="199" w:right="60" w:hanging="199"/>
        <w:spacing w:after="0" w:line="262" w:lineRule="auto"/>
        <w:tabs>
          <w:tab w:leader="none" w:pos="162" w:val="left"/>
        </w:tabs>
        <w:numPr>
          <w:ilvl w:val="0"/>
          <w:numId w:val="12"/>
        </w:numPr>
        <w:rPr>
          <w:rFonts w:ascii="Arial" w:cs="Arial" w:eastAsia="Arial" w:hAnsi="Arial"/>
          <w:sz w:val="18"/>
          <w:szCs w:val="18"/>
          <w:color w:val="0067B3"/>
        </w:rPr>
      </w:pPr>
      <w:r>
        <w:rPr>
          <w:rFonts w:ascii="Arial" w:cs="Arial" w:eastAsia="Arial" w:hAnsi="Arial"/>
          <w:sz w:val="18"/>
          <w:szCs w:val="18"/>
          <w:color w:val="auto"/>
        </w:rPr>
        <w:t>Disclosed new DE&amp;I goals to increase the number of women and people of color in leadership and engineering roles and more broadly</w:t>
      </w:r>
    </w:p>
    <w:p>
      <w:pPr>
        <w:spacing w:after="0" w:line="41" w:lineRule="exact"/>
        <w:rPr>
          <w:rFonts w:ascii="Arial" w:cs="Arial" w:eastAsia="Arial" w:hAnsi="Arial"/>
          <w:sz w:val="18"/>
          <w:szCs w:val="18"/>
          <w:color w:val="0067B3"/>
        </w:rPr>
      </w:pPr>
    </w:p>
    <w:p>
      <w:pPr>
        <w:ind w:left="199" w:right="20" w:hanging="199"/>
        <w:spacing w:after="0" w:line="259" w:lineRule="auto"/>
        <w:tabs>
          <w:tab w:leader="none" w:pos="162" w:val="left"/>
        </w:tabs>
        <w:numPr>
          <w:ilvl w:val="0"/>
          <w:numId w:val="12"/>
        </w:numPr>
        <w:rPr>
          <w:rFonts w:ascii="Arial" w:cs="Arial" w:eastAsia="Arial" w:hAnsi="Arial"/>
          <w:sz w:val="18"/>
          <w:szCs w:val="18"/>
          <w:color w:val="0067B3"/>
        </w:rPr>
      </w:pPr>
      <w:r>
        <w:rPr>
          <w:rFonts w:ascii="Arial" w:cs="Arial" w:eastAsia="Arial" w:hAnsi="Arial"/>
          <w:sz w:val="18"/>
          <w:szCs w:val="18"/>
          <w:color w:val="auto"/>
        </w:rPr>
        <w:t>Partnered with an institution that is recognized as one of the Historically Black Colleges and Universities (HBCUs) to enhance its engineering curriculum and research efforts</w:t>
      </w:r>
    </w:p>
    <w:p>
      <w:pPr>
        <w:spacing w:after="0" w:line="30" w:lineRule="exact"/>
        <w:rPr>
          <w:rFonts w:ascii="Arial" w:cs="Arial" w:eastAsia="Arial" w:hAnsi="Arial"/>
          <w:sz w:val="18"/>
          <w:szCs w:val="18"/>
          <w:color w:val="0067B3"/>
        </w:rPr>
      </w:pPr>
    </w:p>
    <w:p>
      <w:pPr>
        <w:ind w:left="199" w:right="300" w:hanging="199"/>
        <w:spacing w:after="0" w:line="278" w:lineRule="auto"/>
        <w:tabs>
          <w:tab w:leader="none" w:pos="162" w:val="left"/>
        </w:tabs>
        <w:numPr>
          <w:ilvl w:val="0"/>
          <w:numId w:val="12"/>
        </w:numPr>
        <w:rPr>
          <w:rFonts w:ascii="Arial" w:cs="Arial" w:eastAsia="Arial" w:hAnsi="Arial"/>
          <w:sz w:val="17"/>
          <w:szCs w:val="17"/>
          <w:color w:val="0067B3"/>
        </w:rPr>
      </w:pPr>
      <w:r>
        <w:rPr>
          <w:rFonts w:ascii="Arial" w:cs="Arial" w:eastAsia="Arial" w:hAnsi="Arial"/>
          <w:sz w:val="17"/>
          <w:szCs w:val="17"/>
          <w:color w:val="auto"/>
        </w:rPr>
        <w:t>Continued to support STEM education programs, including through our collaboration with University of Massachusetts Lowell to create an RF/Microwave Learning Lab</w:t>
      </w:r>
    </w:p>
    <w:p>
      <w:pPr>
        <w:spacing w:after="0" w:line="15" w:lineRule="exact"/>
        <w:rPr>
          <w:rFonts w:ascii="Arial" w:cs="Arial" w:eastAsia="Arial" w:hAnsi="Arial"/>
          <w:sz w:val="17"/>
          <w:szCs w:val="17"/>
          <w:color w:val="0067B3"/>
        </w:rPr>
      </w:pPr>
    </w:p>
    <w:p>
      <w:pPr>
        <w:ind w:left="199" w:right="80" w:hanging="199"/>
        <w:spacing w:after="0" w:line="262" w:lineRule="auto"/>
        <w:tabs>
          <w:tab w:leader="none" w:pos="162" w:val="left"/>
        </w:tabs>
        <w:numPr>
          <w:ilvl w:val="0"/>
          <w:numId w:val="12"/>
        </w:numPr>
        <w:rPr>
          <w:rFonts w:ascii="Arial" w:cs="Arial" w:eastAsia="Arial" w:hAnsi="Arial"/>
          <w:sz w:val="18"/>
          <w:szCs w:val="18"/>
          <w:color w:val="0067B3"/>
        </w:rPr>
      </w:pPr>
      <w:r>
        <w:rPr>
          <w:rFonts w:ascii="Arial" w:cs="Arial" w:eastAsia="Arial" w:hAnsi="Arial"/>
          <w:sz w:val="18"/>
          <w:szCs w:val="18"/>
          <w:color w:val="auto"/>
        </w:rPr>
        <w:t>Provided community grants and matched employee donations to support 900+ unique organizations through the Analog Devices Foundation</w:t>
      </w:r>
    </w:p>
    <w:p>
      <w:pPr>
        <w:spacing w:after="0" w:line="354" w:lineRule="exact"/>
        <w:rPr>
          <w:sz w:val="20"/>
          <w:szCs w:val="20"/>
          <w:color w:val="auto"/>
        </w:rPr>
      </w:pPr>
    </w:p>
    <w:p>
      <w:pPr>
        <w:sectPr>
          <w:pgSz w:w="11900" w:h="16838" w:orient="portrait"/>
          <w:cols w:equalWidth="0" w:num="3">
            <w:col w:w="3480" w:space="353"/>
            <w:col w:w="3527" w:space="361"/>
            <w:col w:w="3499"/>
          </w:cols>
          <w:pgMar w:left="320" w:top="12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GOVERNANCE</w:t>
      </w:r>
    </w:p>
    <w:p>
      <w:pPr>
        <w:sectPr>
          <w:pgSz w:w="11900" w:h="16838" w:orient="portrait"/>
          <w:cols w:equalWidth="0" w:num="1">
            <w:col w:w="11220"/>
          </w:cols>
          <w:pgMar w:left="320" w:top="1271" w:right="359" w:bottom="1440" w:gutter="0" w:footer="0" w:header="0"/>
          <w:type w:val="continuous"/>
        </w:sectPr>
      </w:pPr>
    </w:p>
    <w:p>
      <w:pPr>
        <w:spacing w:after="0" w:line="264" w:lineRule="exact"/>
        <w:rPr>
          <w:sz w:val="20"/>
          <w:szCs w:val="20"/>
          <w:color w:val="auto"/>
        </w:rPr>
      </w:pPr>
    </w:p>
    <w:p>
      <w:pPr>
        <w:ind w:left="220" w:hanging="194"/>
        <w:spacing w:after="0" w:line="259" w:lineRule="auto"/>
        <w:tabs>
          <w:tab w:leader="none" w:pos="183" w:val="left"/>
        </w:tabs>
        <w:numPr>
          <w:ilvl w:val="0"/>
          <w:numId w:val="13"/>
        </w:numPr>
        <w:rPr>
          <w:rFonts w:ascii="Arial" w:cs="Arial" w:eastAsia="Arial" w:hAnsi="Arial"/>
          <w:sz w:val="18"/>
          <w:szCs w:val="18"/>
          <w:color w:val="0067B3"/>
        </w:rPr>
      </w:pPr>
      <w:r>
        <w:rPr>
          <w:rFonts w:ascii="Arial" w:cs="Arial" w:eastAsia="Arial" w:hAnsi="Arial"/>
          <w:sz w:val="18"/>
          <w:szCs w:val="18"/>
          <w:color w:val="auto"/>
        </w:rPr>
        <w:t>Appointed Vincent Roche, our CEO, as Chair of the Board of Directors to lead ADI’s ongoing transformation, with James Champy continuing to serve as Presiding Director</w:t>
      </w:r>
    </w:p>
    <w:p>
      <w:pPr>
        <w:spacing w:after="0" w:line="30" w:lineRule="exact"/>
        <w:rPr>
          <w:rFonts w:ascii="Arial" w:cs="Arial" w:eastAsia="Arial" w:hAnsi="Arial"/>
          <w:sz w:val="18"/>
          <w:szCs w:val="18"/>
          <w:color w:val="0067B3"/>
        </w:rPr>
      </w:pPr>
    </w:p>
    <w:p>
      <w:pPr>
        <w:ind w:left="220" w:right="180" w:hanging="194"/>
        <w:spacing w:after="0" w:line="259" w:lineRule="auto"/>
        <w:tabs>
          <w:tab w:leader="none" w:pos="183" w:val="left"/>
        </w:tabs>
        <w:numPr>
          <w:ilvl w:val="0"/>
          <w:numId w:val="13"/>
        </w:numPr>
        <w:rPr>
          <w:rFonts w:ascii="Arial" w:cs="Arial" w:eastAsia="Arial" w:hAnsi="Arial"/>
          <w:sz w:val="18"/>
          <w:szCs w:val="18"/>
          <w:color w:val="0067B3"/>
        </w:rPr>
      </w:pPr>
      <w:r>
        <w:rPr>
          <w:rFonts w:ascii="Arial" w:cs="Arial" w:eastAsia="Arial" w:hAnsi="Arial"/>
          <w:sz w:val="18"/>
          <w:szCs w:val="18"/>
          <w:color w:val="auto"/>
        </w:rPr>
        <w:t>Continued to focus on active board refreshment by welcoming André Andonian, who brings significant industry, strategic and leadership experience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20"/>
          <w:szCs w:val="20"/>
          <w:b w:val="1"/>
          <w:bCs w:val="1"/>
          <w:color w:val="auto"/>
        </w:rPr>
      </w:pPr>
      <w:r>
        <w:rPr>
          <w:rFonts w:ascii="Arial" w:cs="Arial" w:eastAsia="Arial" w:hAnsi="Arial"/>
          <w:sz w:val="16"/>
          <w:szCs w:val="16"/>
          <w:color w:val="6D6E71"/>
        </w:rPr>
        <w:t>Highlights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200" w:right="60" w:hanging="200"/>
        <w:spacing w:after="0" w:line="262" w:lineRule="auto"/>
        <w:tabs>
          <w:tab w:leader="none" w:pos="163" w:val="left"/>
        </w:tabs>
        <w:numPr>
          <w:ilvl w:val="0"/>
          <w:numId w:val="15"/>
        </w:numPr>
        <w:rPr>
          <w:rFonts w:ascii="Arial" w:cs="Arial" w:eastAsia="Arial" w:hAnsi="Arial"/>
          <w:sz w:val="18"/>
          <w:szCs w:val="18"/>
          <w:color w:val="0067B3"/>
        </w:rPr>
      </w:pPr>
      <w:r>
        <w:rPr>
          <w:rFonts w:ascii="Arial" w:cs="Arial" w:eastAsia="Arial" w:hAnsi="Arial"/>
          <w:sz w:val="18"/>
          <w:szCs w:val="18"/>
          <w:color w:val="auto"/>
        </w:rPr>
        <w:t>Expanded the role of the Compensation and Talent Committee of the Board of Directors to oversee human capital and diversity initiatives</w:t>
      </w:r>
    </w:p>
    <w:p>
      <w:pPr>
        <w:spacing w:after="0" w:line="27" w:lineRule="exact"/>
        <w:rPr>
          <w:rFonts w:ascii="Arial" w:cs="Arial" w:eastAsia="Arial" w:hAnsi="Arial"/>
          <w:sz w:val="18"/>
          <w:szCs w:val="18"/>
          <w:color w:val="0067B3"/>
        </w:rPr>
      </w:pPr>
    </w:p>
    <w:p>
      <w:pPr>
        <w:ind w:left="200" w:hanging="200"/>
        <w:spacing w:after="0" w:line="262" w:lineRule="auto"/>
        <w:tabs>
          <w:tab w:leader="none" w:pos="163" w:val="left"/>
        </w:tabs>
        <w:numPr>
          <w:ilvl w:val="0"/>
          <w:numId w:val="15"/>
        </w:numPr>
        <w:rPr>
          <w:rFonts w:ascii="Arial" w:cs="Arial" w:eastAsia="Arial" w:hAnsi="Arial"/>
          <w:sz w:val="18"/>
          <w:szCs w:val="18"/>
          <w:color w:val="0067B3"/>
        </w:rPr>
      </w:pPr>
      <w:r>
        <w:rPr>
          <w:rFonts w:ascii="Arial" w:cs="Arial" w:eastAsia="Arial" w:hAnsi="Arial"/>
          <w:sz w:val="18"/>
          <w:szCs w:val="18"/>
          <w:color w:val="auto"/>
        </w:rPr>
        <w:t>Engaged with shareholders representing nearly 30% of total shares outstanding, with a focus on ESG and compensation practices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199" w:hanging="199"/>
        <w:spacing w:after="0" w:line="256" w:lineRule="auto"/>
        <w:tabs>
          <w:tab w:leader="none" w:pos="162" w:val="left"/>
        </w:tabs>
        <w:numPr>
          <w:ilvl w:val="0"/>
          <w:numId w:val="16"/>
        </w:numPr>
        <w:rPr>
          <w:rFonts w:ascii="Arial" w:cs="Arial" w:eastAsia="Arial" w:hAnsi="Arial"/>
          <w:sz w:val="18"/>
          <w:szCs w:val="18"/>
          <w:color w:val="0067B3"/>
        </w:rPr>
      </w:pPr>
      <w:r>
        <w:rPr>
          <w:rFonts w:ascii="Arial" w:cs="Arial" w:eastAsia="Arial" w:hAnsi="Arial"/>
          <w:sz w:val="18"/>
          <w:szCs w:val="18"/>
          <w:color w:val="auto"/>
        </w:rPr>
        <w:t>Formed a management-led cross-functional steering committee chaired by our Chief Information Security Officer that is charged with security governance, coordination and monitoring of cyber risks, potential cyber incidents and key mitigation initiatives</w:t>
      </w:r>
    </w:p>
    <w:p>
      <w:pPr>
        <w:spacing w:after="0" w:line="34" w:lineRule="exact"/>
        <w:rPr>
          <w:rFonts w:ascii="Arial" w:cs="Arial" w:eastAsia="Arial" w:hAnsi="Arial"/>
          <w:sz w:val="18"/>
          <w:szCs w:val="18"/>
          <w:color w:val="0067B3"/>
        </w:rPr>
      </w:pPr>
    </w:p>
    <w:p>
      <w:pPr>
        <w:ind w:left="199" w:right="60" w:hanging="199"/>
        <w:spacing w:after="0" w:line="262" w:lineRule="auto"/>
        <w:tabs>
          <w:tab w:leader="none" w:pos="162" w:val="left"/>
        </w:tabs>
        <w:numPr>
          <w:ilvl w:val="0"/>
          <w:numId w:val="16"/>
        </w:numPr>
        <w:rPr>
          <w:rFonts w:ascii="Arial" w:cs="Arial" w:eastAsia="Arial" w:hAnsi="Arial"/>
          <w:sz w:val="18"/>
          <w:szCs w:val="18"/>
          <w:color w:val="0067B3"/>
        </w:rPr>
      </w:pPr>
      <w:r>
        <w:rPr>
          <w:rFonts w:ascii="Arial" w:cs="Arial" w:eastAsia="Arial" w:hAnsi="Arial"/>
          <w:sz w:val="18"/>
          <w:szCs w:val="18"/>
          <w:color w:val="auto"/>
        </w:rPr>
        <w:t>Chief Information Officer began providing quarterly cyber and IT reports to the Audit Committee of the Board of Directors</w:t>
      </w:r>
    </w:p>
    <w:p>
      <w:pPr>
        <w:spacing w:after="0" w:line="27" w:lineRule="exact"/>
        <w:rPr>
          <w:rFonts w:ascii="Arial" w:cs="Arial" w:eastAsia="Arial" w:hAnsi="Arial"/>
          <w:sz w:val="18"/>
          <w:szCs w:val="18"/>
          <w:color w:val="0067B3"/>
        </w:rPr>
      </w:pPr>
    </w:p>
    <w:p>
      <w:pPr>
        <w:ind w:left="199" w:right="40" w:hanging="199"/>
        <w:spacing w:after="0" w:line="257" w:lineRule="auto"/>
        <w:tabs>
          <w:tab w:leader="none" w:pos="162" w:val="left"/>
        </w:tabs>
        <w:numPr>
          <w:ilvl w:val="0"/>
          <w:numId w:val="16"/>
        </w:numPr>
        <w:rPr>
          <w:rFonts w:ascii="Arial" w:cs="Arial" w:eastAsia="Arial" w:hAnsi="Arial"/>
          <w:sz w:val="18"/>
          <w:szCs w:val="18"/>
          <w:color w:val="0067B3"/>
        </w:rPr>
      </w:pPr>
      <w:r>
        <w:rPr>
          <w:rFonts w:ascii="Arial" w:cs="Arial" w:eastAsia="Arial" w:hAnsi="Arial"/>
          <w:sz w:val="18"/>
          <w:szCs w:val="18"/>
          <w:color w:val="auto"/>
        </w:rPr>
        <w:t>Enhanced our global data privacy and compliance programs, including updating policies and procedures, publishing values, expanding data privacy trainings for employees, and centralizing privacy inquiries</w:t>
      </w:r>
    </w:p>
    <w:p>
      <w:pPr>
        <w:sectPr>
          <w:pgSz w:w="11900" w:h="16838" w:orient="portrait"/>
          <w:cols w:equalWidth="0" w:num="3">
            <w:col w:w="3300" w:space="560"/>
            <w:col w:w="3380" w:space="481"/>
            <w:col w:w="3499"/>
          </w:cols>
          <w:pgMar w:left="320" w:top="1271"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41"/>
          <w:szCs w:val="41"/>
          <w:b w:val="1"/>
          <w:bCs w:val="1"/>
          <w:color w:val="0067B3"/>
        </w:rPr>
        <w:t>People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153670</wp:posOffset>
            </wp:positionV>
            <wp:extent cx="1111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0067B3"/>
        </w:rPr>
        <w:t>We’ve learned much about our employees and how we work during the challenges of these past three years. As a company whose culture</w:t>
      </w:r>
    </w:p>
    <w:p>
      <w:pPr>
        <w:spacing w:after="0" w:line="14" w:lineRule="exact"/>
        <w:rPr>
          <w:sz w:val="20"/>
          <w:szCs w:val="20"/>
          <w:color w:val="auto"/>
        </w:rPr>
      </w:pPr>
    </w:p>
    <w:p>
      <w:pPr>
        <w:ind w:left="20" w:right="40"/>
        <w:spacing w:after="0"/>
        <w:rPr>
          <w:sz w:val="20"/>
          <w:szCs w:val="20"/>
          <w:color w:val="auto"/>
        </w:rPr>
      </w:pPr>
      <w:r>
        <w:rPr>
          <w:rFonts w:ascii="Arial" w:cs="Arial" w:eastAsia="Arial" w:hAnsi="Arial"/>
          <w:sz w:val="17"/>
          <w:szCs w:val="17"/>
          <w:color w:val="0067B3"/>
        </w:rPr>
        <w:t>recognizes the importance of continuous learning, we also recognize that the company itself must continually learn and evolve. How we attract and retain innovative talent across the globe, leveraging industry and best practices, presents incredible opportunities for us to solidify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0067B3"/>
        </w:rPr>
        <w:t>our reputation as the destination for the best and brightest minds.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23495</wp:posOffset>
            </wp:positionV>
            <wp:extent cx="1111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306070</wp:posOffset>
            </wp:positionV>
            <wp:extent cx="857250" cy="857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67B3"/>
        </w:rPr>
        <w:t>MARIYA TRICKETT</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People Officer</w:t>
      </w:r>
    </w:p>
    <w:p>
      <w:pPr>
        <w:spacing w:after="0" w:line="1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ADI’s talent strategy underscores our commitment to our employees. We believe that talent is our greatest asset and innovation thrives when people of different identities, cultures, backgrounds and experiences collaborate. We strive to ensure that all employees reach their</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ambitions, are critically focused on enhancing the infrastructure necessary to support employee engagement, accelerate growth and development, and promote equity among all employees.</w:t>
      </w: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Talent Priorities</w:t>
      </w:r>
    </w:p>
    <w:p>
      <w:pPr>
        <w:spacing w:after="0" w:line="14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We invest in our people so that we can develop the next generation of technology that betters our world. We care about our employees, offering competitive benefits and compensation, as well as fulfilling career opportunities. To this end, we continuously look for ways to evolve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programs and practices to enhance employee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886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ectPr>
          <w:pgSz w:w="11900" w:h="16838" w:orient="portrait"/>
          <w:cols w:equalWidth="0" w:num="1">
            <w:col w:w="11240"/>
          </w:cols>
          <w:pgMar w:left="320" w:top="1356" w:right="339" w:bottom="327" w:gutter="0" w:footer="0" w:header="0"/>
        </w:sectPr>
      </w:pPr>
    </w:p>
    <w:p>
      <w:pPr>
        <w:spacing w:after="0" w:line="207" w:lineRule="exact"/>
        <w:rPr>
          <w:sz w:val="20"/>
          <w:szCs w:val="20"/>
          <w:color w:val="auto"/>
        </w:rPr>
      </w:pPr>
    </w:p>
    <w:p>
      <w:pPr>
        <w:ind w:left="100" w:right="300"/>
        <w:spacing w:after="0" w:line="251" w:lineRule="auto"/>
        <w:rPr>
          <w:sz w:val="20"/>
          <w:szCs w:val="20"/>
          <w:color w:val="auto"/>
        </w:rPr>
      </w:pPr>
      <w:r>
        <w:rPr>
          <w:rFonts w:ascii="Arial" w:cs="Arial" w:eastAsia="Arial" w:hAnsi="Arial"/>
          <w:sz w:val="17"/>
          <w:szCs w:val="17"/>
          <w:b w:val="1"/>
          <w:bCs w:val="1"/>
          <w:color w:val="FFFFFF"/>
        </w:rPr>
        <w:t>Empower Innovation and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Learning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right="200"/>
        <w:spacing w:after="0" w:line="265" w:lineRule="auto"/>
        <w:rPr>
          <w:sz w:val="20"/>
          <w:szCs w:val="20"/>
          <w:color w:val="auto"/>
        </w:rPr>
      </w:pPr>
      <w:r>
        <w:rPr>
          <w:rFonts w:ascii="Arial" w:cs="Arial" w:eastAsia="Arial" w:hAnsi="Arial"/>
          <w:sz w:val="18"/>
          <w:szCs w:val="18"/>
          <w:b w:val="1"/>
          <w:bCs w:val="1"/>
          <w:color w:val="FFFFFF"/>
        </w:rPr>
        <w:t>Focus on Social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line="251" w:lineRule="auto"/>
        <w:rPr>
          <w:sz w:val="20"/>
          <w:szCs w:val="20"/>
          <w:color w:val="auto"/>
        </w:rPr>
      </w:pPr>
      <w:r>
        <w:rPr>
          <w:rFonts w:ascii="Arial" w:cs="Arial" w:eastAsia="Arial" w:hAnsi="Arial"/>
          <w:sz w:val="17"/>
          <w:szCs w:val="17"/>
          <w:b w:val="1"/>
          <w:bCs w:val="1"/>
          <w:color w:val="FFFFFF"/>
        </w:rPr>
        <w:t>Drive Engagement through Employee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Experience</w:t>
      </w:r>
    </w:p>
    <w:p>
      <w:pPr>
        <w:spacing w:after="0" w:line="200" w:lineRule="exact"/>
        <w:rPr>
          <w:sz w:val="20"/>
          <w:szCs w:val="20"/>
          <w:color w:val="auto"/>
        </w:rPr>
      </w:pPr>
    </w:p>
    <w:p>
      <w:pPr>
        <w:spacing w:after="0" w:line="237" w:lineRule="exact"/>
        <w:rPr>
          <w:sz w:val="20"/>
          <w:szCs w:val="20"/>
          <w:color w:val="auto"/>
        </w:rPr>
      </w:pPr>
    </w:p>
    <w:p>
      <w:pPr>
        <w:ind w:left="100" w:right="180"/>
        <w:spacing w:after="0" w:line="237" w:lineRule="auto"/>
        <w:rPr>
          <w:sz w:val="20"/>
          <w:szCs w:val="20"/>
          <w:color w:val="auto"/>
        </w:rPr>
      </w:pPr>
      <w:r>
        <w:rPr>
          <w:rFonts w:ascii="Arial" w:cs="Arial" w:eastAsia="Arial" w:hAnsi="Arial"/>
          <w:sz w:val="18"/>
          <w:szCs w:val="18"/>
          <w:b w:val="1"/>
          <w:bCs w:val="1"/>
          <w:color w:val="FFFFFF"/>
        </w:rPr>
        <w:t>Foster Inclusion and Promote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Equal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 w:right="160"/>
        <w:spacing w:after="0" w:line="251" w:lineRule="auto"/>
        <w:rPr>
          <w:sz w:val="20"/>
          <w:szCs w:val="20"/>
          <w:color w:val="auto"/>
        </w:rPr>
      </w:pPr>
      <w:r>
        <w:rPr>
          <w:rFonts w:ascii="Arial" w:cs="Arial" w:eastAsia="Arial" w:hAnsi="Arial"/>
          <w:sz w:val="17"/>
          <w:szCs w:val="17"/>
          <w:b w:val="1"/>
          <w:bCs w:val="1"/>
          <w:color w:val="FFFFFF"/>
        </w:rPr>
        <w:t>Build the Workforce of the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Future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100"/>
              <w:spacing w:after="0"/>
              <w:rPr>
                <w:sz w:val="20"/>
                <w:szCs w:val="20"/>
                <w:color w:val="auto"/>
              </w:rPr>
            </w:pPr>
            <w:r>
              <w:rPr>
                <w:rFonts w:ascii="Arial" w:cs="Arial" w:eastAsia="Arial" w:hAnsi="Arial"/>
                <w:sz w:val="18"/>
                <w:szCs w:val="18"/>
                <w:color w:val="auto"/>
              </w:rPr>
              <w:t>Empowering our</w:t>
            </w:r>
          </w:p>
        </w:tc>
        <w:tc>
          <w:tcPr>
            <w:tcW w:w="7620" w:type="dxa"/>
            <w:vAlign w:val="bottom"/>
          </w:tcPr>
          <w:p>
            <w:pPr>
              <w:ind w:left="100"/>
              <w:spacing w:after="0"/>
              <w:rPr>
                <w:sz w:val="20"/>
                <w:szCs w:val="20"/>
                <w:color w:val="auto"/>
              </w:rPr>
            </w:pPr>
            <w:r>
              <w:rPr>
                <w:rFonts w:ascii="Arial" w:cs="Arial" w:eastAsia="Arial" w:hAnsi="Arial"/>
                <w:sz w:val="18"/>
                <w:szCs w:val="18"/>
                <w:color w:val="auto"/>
              </w:rPr>
              <w:t>Our pandemic-inspired ADI Ignite Network “innovates how we innovate” by engaging and</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teams to innovate</w:t>
            </w: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gathering novel ideas from all employees.</w:t>
            </w:r>
          </w:p>
        </w:tc>
        <w:tc>
          <w:tcPr>
            <w:tcW w:w="0" w:type="dxa"/>
            <w:vAlign w:val="bottom"/>
          </w:tcPr>
          <w:p>
            <w:pPr>
              <w:spacing w:after="0"/>
              <w:rPr>
                <w:sz w:val="1"/>
                <w:szCs w:val="1"/>
                <w:color w:val="auto"/>
              </w:rPr>
            </w:pP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and learn across</w:t>
            </w:r>
          </w:p>
        </w:tc>
        <w:tc>
          <w:tcPr>
            <w:tcW w:w="7620" w:type="dxa"/>
            <w:vAlign w:val="bottom"/>
            <w:vMerge w:val="restart"/>
          </w:tcPr>
          <w:p>
            <w:pPr>
              <w:ind w:left="100"/>
              <w:spacing w:after="0"/>
              <w:rPr>
                <w:sz w:val="20"/>
                <w:szCs w:val="20"/>
                <w:color w:val="auto"/>
              </w:rPr>
            </w:pPr>
            <w:r>
              <w:rPr>
                <w:rFonts w:ascii="Arial" w:cs="Arial" w:eastAsia="Arial" w:hAnsi="Arial"/>
                <w:sz w:val="18"/>
                <w:szCs w:val="18"/>
                <w:color w:val="auto"/>
              </w:rPr>
              <w:t>Development teams across departments come together to deliver experiences that quicken</w:t>
            </w:r>
          </w:p>
        </w:tc>
        <w:tc>
          <w:tcPr>
            <w:tcW w:w="0" w:type="dxa"/>
            <w:vAlign w:val="bottom"/>
          </w:tcPr>
          <w:p>
            <w:pPr>
              <w:spacing w:after="0"/>
              <w:rPr>
                <w:sz w:val="1"/>
                <w:szCs w:val="1"/>
                <w:color w:val="auto"/>
              </w:rPr>
            </w:pPr>
          </w:p>
        </w:tc>
      </w:tr>
      <w:tr>
        <w:trPr>
          <w:trHeight w:val="108"/>
        </w:trPr>
        <w:tc>
          <w:tcPr>
            <w:tcW w:w="180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every level</w:t>
            </w: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762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onboarding, build managerial skills and ready employees for more complex roles. We</w:t>
            </w:r>
          </w:p>
        </w:tc>
        <w:tc>
          <w:tcPr>
            <w:tcW w:w="0" w:type="dxa"/>
            <w:vAlign w:val="bottom"/>
          </w:tcPr>
          <w:p>
            <w:pPr>
              <w:spacing w:after="0"/>
              <w:rPr>
                <w:sz w:val="1"/>
                <w:szCs w:val="1"/>
                <w:color w:val="auto"/>
              </w:rPr>
            </w:pPr>
          </w:p>
        </w:tc>
      </w:tr>
      <w:tr>
        <w:trPr>
          <w:trHeight w:val="108"/>
        </w:trPr>
        <w:tc>
          <w:tcPr>
            <w:tcW w:w="1800" w:type="dxa"/>
            <w:vAlign w:val="bottom"/>
            <w:vMerge w:val="restart"/>
          </w:tcPr>
          <w:p>
            <w:pPr>
              <w:ind w:left="100"/>
              <w:spacing w:after="0"/>
              <w:rPr>
                <w:sz w:val="20"/>
                <w:szCs w:val="20"/>
                <w:color w:val="auto"/>
              </w:rPr>
            </w:pPr>
            <w:r>
              <w:rPr>
                <w:rFonts w:ascii="Arial" w:cs="Arial" w:eastAsia="Arial" w:hAnsi="Arial"/>
                <w:sz w:val="18"/>
                <w:szCs w:val="18"/>
                <w:color w:val="auto"/>
              </w:rPr>
              <w:t>and function</w:t>
            </w: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7620" w:type="dxa"/>
            <w:vAlign w:val="bottom"/>
            <w:vMerge w:val="restart"/>
          </w:tcPr>
          <w:p>
            <w:pPr>
              <w:ind w:left="100"/>
              <w:spacing w:after="0"/>
              <w:rPr>
                <w:sz w:val="20"/>
                <w:szCs w:val="20"/>
                <w:color w:val="auto"/>
              </w:rPr>
            </w:pPr>
            <w:r>
              <w:rPr>
                <w:rFonts w:ascii="Arial" w:cs="Arial" w:eastAsia="Arial" w:hAnsi="Arial"/>
                <w:sz w:val="18"/>
                <w:szCs w:val="18"/>
                <w:color w:val="auto"/>
              </w:rPr>
              <w:t>prioritize on-the-job experiences as a way to build skills and drive learning.</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800" w:type="dxa"/>
            <w:vAlign w:val="bottom"/>
            <w:tcBorders>
              <w:bottom w:val="single" w:sz="8" w:color="939598"/>
            </w:tcBorders>
          </w:tcPr>
          <w:p>
            <w:pPr>
              <w:spacing w:after="0"/>
              <w:rPr>
                <w:sz w:val="16"/>
                <w:szCs w:val="16"/>
                <w:color w:val="auto"/>
              </w:rPr>
            </w:pPr>
          </w:p>
        </w:tc>
        <w:tc>
          <w:tcPr>
            <w:tcW w:w="762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Fostering a</w:t>
            </w:r>
          </w:p>
        </w:tc>
        <w:tc>
          <w:tcPr>
            <w:tcW w:w="7620" w:type="dxa"/>
            <w:vAlign w:val="bottom"/>
          </w:tcPr>
          <w:p>
            <w:pPr>
              <w:ind w:left="100"/>
              <w:spacing w:after="0"/>
              <w:rPr>
                <w:sz w:val="20"/>
                <w:szCs w:val="20"/>
                <w:color w:val="auto"/>
              </w:rPr>
            </w:pPr>
            <w:r>
              <w:rPr>
                <w:rFonts w:ascii="Arial" w:cs="Arial" w:eastAsia="Arial" w:hAnsi="Arial"/>
                <w:sz w:val="18"/>
                <w:szCs w:val="18"/>
                <w:color w:val="auto"/>
              </w:rPr>
              <w:t>The Analog Devices Foundation is creating a more sustainable future through community</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workplace where</w:t>
            </w: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grants, employee matching gifts for both direct donations and volunteer hours, and in-kind</w:t>
            </w:r>
          </w:p>
        </w:tc>
        <w:tc>
          <w:tcPr>
            <w:tcW w:w="0" w:type="dxa"/>
            <w:vAlign w:val="bottom"/>
          </w:tcPr>
          <w:p>
            <w:pPr>
              <w:spacing w:after="0"/>
              <w:rPr>
                <w:sz w:val="1"/>
                <w:szCs w:val="1"/>
                <w:color w:val="auto"/>
              </w:rPr>
            </w:pP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the best minds can</w:t>
            </w:r>
          </w:p>
        </w:tc>
        <w:tc>
          <w:tcPr>
            <w:tcW w:w="7620" w:type="dxa"/>
            <w:vAlign w:val="bottom"/>
          </w:tcPr>
          <w:p>
            <w:pPr>
              <w:ind w:left="100"/>
              <w:spacing w:after="0" w:line="189" w:lineRule="exact"/>
              <w:rPr>
                <w:sz w:val="20"/>
                <w:szCs w:val="20"/>
                <w:color w:val="auto"/>
              </w:rPr>
            </w:pPr>
            <w:r>
              <w:rPr>
                <w:rFonts w:ascii="Arial" w:cs="Arial" w:eastAsia="Arial" w:hAnsi="Arial"/>
                <w:sz w:val="18"/>
                <w:szCs w:val="18"/>
                <w:color w:val="auto"/>
              </w:rPr>
              <w:t>donations.</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come together to</w:t>
            </w:r>
          </w:p>
        </w:tc>
        <w:tc>
          <w:tcPr>
            <w:tcW w:w="7620" w:type="dxa"/>
            <w:vAlign w:val="bottom"/>
            <w:vMerge w:val="restart"/>
          </w:tcPr>
          <w:p>
            <w:pPr>
              <w:ind w:left="100"/>
              <w:spacing w:after="0"/>
              <w:rPr>
                <w:sz w:val="20"/>
                <w:szCs w:val="20"/>
                <w:color w:val="auto"/>
              </w:rPr>
            </w:pPr>
            <w:r>
              <w:rPr>
                <w:rFonts w:ascii="Arial" w:cs="Arial" w:eastAsia="Arial" w:hAnsi="Arial"/>
                <w:sz w:val="18"/>
                <w:szCs w:val="18"/>
                <w:color w:val="auto"/>
              </w:rPr>
              <w:t>In collaboration with employees, we are addressing inequities in STEM education through</w:t>
            </w:r>
          </w:p>
        </w:tc>
        <w:tc>
          <w:tcPr>
            <w:tcW w:w="0" w:type="dxa"/>
            <w:vAlign w:val="bottom"/>
          </w:tcPr>
          <w:p>
            <w:pPr>
              <w:spacing w:after="0"/>
              <w:rPr>
                <w:sz w:val="1"/>
                <w:szCs w:val="1"/>
                <w:color w:val="auto"/>
              </w:rPr>
            </w:pPr>
          </w:p>
        </w:tc>
      </w:tr>
      <w:tr>
        <w:trPr>
          <w:trHeight w:val="108"/>
        </w:trPr>
        <w:tc>
          <w:tcPr>
            <w:tcW w:w="1800" w:type="dxa"/>
            <w:vAlign w:val="bottom"/>
            <w:vMerge w:val="restart"/>
          </w:tcPr>
          <w:p>
            <w:pPr>
              <w:ind w:left="100"/>
              <w:spacing w:after="0"/>
              <w:rPr>
                <w:sz w:val="20"/>
                <w:szCs w:val="20"/>
                <w:color w:val="auto"/>
              </w:rPr>
            </w:pPr>
            <w:r>
              <w:rPr>
                <w:rFonts w:ascii="Arial" w:cs="Arial" w:eastAsia="Arial" w:hAnsi="Arial"/>
                <w:sz w:val="18"/>
                <w:szCs w:val="18"/>
                <w:color w:val="auto"/>
              </w:rPr>
              <w:t>engineer good</w:t>
            </w: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7620" w:type="dxa"/>
            <w:vAlign w:val="bottom"/>
            <w:vMerge w:val="restart"/>
          </w:tcPr>
          <w:p>
            <w:pPr>
              <w:ind w:left="100"/>
              <w:spacing w:after="0"/>
              <w:rPr>
                <w:sz w:val="20"/>
                <w:szCs w:val="20"/>
                <w:color w:val="auto"/>
              </w:rPr>
            </w:pPr>
            <w:r>
              <w:rPr>
                <w:rFonts w:ascii="Arial" w:cs="Arial" w:eastAsia="Arial" w:hAnsi="Arial"/>
                <w:sz w:val="18"/>
                <w:szCs w:val="18"/>
                <w:color w:val="auto"/>
              </w:rPr>
              <w:t>partnership with an institution that is recognized as one of the HBCUs.</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800" w:type="dxa"/>
            <w:vAlign w:val="bottom"/>
            <w:tcBorders>
              <w:bottom w:val="single" w:sz="8" w:color="939598"/>
            </w:tcBorders>
          </w:tcPr>
          <w:p>
            <w:pPr>
              <w:spacing w:after="0"/>
              <w:rPr>
                <w:sz w:val="16"/>
                <w:szCs w:val="16"/>
                <w:color w:val="auto"/>
              </w:rPr>
            </w:pPr>
          </w:p>
        </w:tc>
        <w:tc>
          <w:tcPr>
            <w:tcW w:w="762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Listening and</w:t>
            </w:r>
          </w:p>
        </w:tc>
        <w:tc>
          <w:tcPr>
            <w:tcW w:w="7620" w:type="dxa"/>
            <w:vAlign w:val="bottom"/>
          </w:tcPr>
          <w:p>
            <w:pPr>
              <w:ind w:left="100"/>
              <w:spacing w:after="0"/>
              <w:rPr>
                <w:sz w:val="20"/>
                <w:szCs w:val="20"/>
                <w:color w:val="auto"/>
              </w:rPr>
            </w:pPr>
            <w:r>
              <w:rPr>
                <w:rFonts w:ascii="Arial" w:cs="Arial" w:eastAsia="Arial" w:hAnsi="Arial"/>
                <w:sz w:val="18"/>
                <w:szCs w:val="18"/>
                <w:color w:val="auto"/>
              </w:rPr>
              <w:t>Throughout the year, we conduct employee surveys and listening activities to gain feedback</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responding to</w:t>
            </w: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and learn more about ADI’s strengths as a workplace and opportunities for improvement.</w:t>
            </w:r>
          </w:p>
        </w:tc>
        <w:tc>
          <w:tcPr>
            <w:tcW w:w="0" w:type="dxa"/>
            <w:vAlign w:val="bottom"/>
          </w:tcPr>
          <w:p>
            <w:pPr>
              <w:spacing w:after="0"/>
              <w:rPr>
                <w:sz w:val="1"/>
                <w:szCs w:val="1"/>
                <w:color w:val="auto"/>
              </w:rPr>
            </w:pP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employee feedback</w:t>
            </w:r>
          </w:p>
        </w:tc>
        <w:tc>
          <w:tcPr>
            <w:tcW w:w="7620" w:type="dxa"/>
            <w:vAlign w:val="bottom"/>
          </w:tcPr>
          <w:p>
            <w:pPr>
              <w:ind w:left="100"/>
              <w:spacing w:after="0" w:line="189" w:lineRule="exact"/>
              <w:rPr>
                <w:sz w:val="20"/>
                <w:szCs w:val="20"/>
                <w:color w:val="auto"/>
              </w:rPr>
            </w:pPr>
            <w:r>
              <w:rPr>
                <w:rFonts w:ascii="Arial" w:cs="Arial" w:eastAsia="Arial" w:hAnsi="Arial"/>
                <w:sz w:val="18"/>
                <w:szCs w:val="18"/>
                <w:color w:val="auto"/>
              </w:rPr>
              <w:t>This enables us to take action and provide employees the tools they need to grow and</w:t>
            </w:r>
          </w:p>
        </w:tc>
        <w:tc>
          <w:tcPr>
            <w:tcW w:w="0" w:type="dxa"/>
            <w:vAlign w:val="bottom"/>
          </w:tcPr>
          <w:p>
            <w:pPr>
              <w:spacing w:after="0"/>
              <w:rPr>
                <w:sz w:val="1"/>
                <w:szCs w:val="1"/>
                <w:color w:val="auto"/>
              </w:rPr>
            </w:pPr>
          </w:p>
        </w:tc>
      </w:tr>
      <w:tr>
        <w:trPr>
          <w:trHeight w:val="239"/>
        </w:trPr>
        <w:tc>
          <w:tcPr>
            <w:tcW w:w="180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prosper.</w:t>
            </w:r>
          </w:p>
        </w:tc>
        <w:tc>
          <w:tcPr>
            <w:tcW w:w="0" w:type="dxa"/>
            <w:vAlign w:val="bottom"/>
          </w:tcPr>
          <w:p>
            <w:pPr>
              <w:spacing w:after="0"/>
              <w:rPr>
                <w:sz w:val="1"/>
                <w:szCs w:val="1"/>
                <w:color w:val="auto"/>
              </w:rPr>
            </w:pPr>
          </w:p>
        </w:tc>
      </w:tr>
      <w:tr>
        <w:trPr>
          <w:trHeight w:val="185"/>
        </w:trPr>
        <w:tc>
          <w:tcPr>
            <w:tcW w:w="1800" w:type="dxa"/>
            <w:vAlign w:val="bottom"/>
            <w:tcBorders>
              <w:bottom w:val="single" w:sz="8" w:color="939598"/>
            </w:tcBorders>
          </w:tcPr>
          <w:p>
            <w:pPr>
              <w:spacing w:after="0"/>
              <w:rPr>
                <w:sz w:val="16"/>
                <w:szCs w:val="16"/>
                <w:color w:val="auto"/>
              </w:rPr>
            </w:pPr>
          </w:p>
        </w:tc>
        <w:tc>
          <w:tcPr>
            <w:tcW w:w="762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Taking a global</w:t>
            </w:r>
          </w:p>
        </w:tc>
        <w:tc>
          <w:tcPr>
            <w:tcW w:w="7620" w:type="dxa"/>
            <w:vAlign w:val="bottom"/>
          </w:tcPr>
          <w:p>
            <w:pPr>
              <w:ind w:left="100"/>
              <w:spacing w:after="0"/>
              <w:rPr>
                <w:sz w:val="20"/>
                <w:szCs w:val="20"/>
                <w:color w:val="auto"/>
              </w:rPr>
            </w:pPr>
            <w:r>
              <w:rPr>
                <w:rFonts w:ascii="Arial" w:cs="Arial" w:eastAsia="Arial" w:hAnsi="Arial"/>
                <w:sz w:val="18"/>
                <w:szCs w:val="18"/>
                <w:color w:val="auto"/>
              </w:rPr>
              <w:t>We are evolving our mission to include global dimensions of diversity. This means working</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approach to</w:t>
            </w: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with our Global Diversity Council and Working Group to understand what marginalization</w:t>
            </w:r>
          </w:p>
        </w:tc>
        <w:tc>
          <w:tcPr>
            <w:tcW w:w="0" w:type="dxa"/>
            <w:vAlign w:val="bottom"/>
          </w:tcPr>
          <w:p>
            <w:pPr>
              <w:spacing w:after="0"/>
              <w:rPr>
                <w:sz w:val="1"/>
                <w:szCs w:val="1"/>
                <w:color w:val="auto"/>
              </w:rPr>
            </w:pP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equity and inclusion</w:t>
            </w:r>
          </w:p>
        </w:tc>
        <w:tc>
          <w:tcPr>
            <w:tcW w:w="7620" w:type="dxa"/>
            <w:vAlign w:val="bottom"/>
          </w:tcPr>
          <w:p>
            <w:pPr>
              <w:ind w:left="100"/>
              <w:spacing w:after="0" w:line="189" w:lineRule="exact"/>
              <w:rPr>
                <w:sz w:val="20"/>
                <w:szCs w:val="20"/>
                <w:color w:val="auto"/>
              </w:rPr>
            </w:pPr>
            <w:r>
              <w:rPr>
                <w:rFonts w:ascii="Arial" w:cs="Arial" w:eastAsia="Arial" w:hAnsi="Arial"/>
                <w:sz w:val="18"/>
                <w:szCs w:val="18"/>
                <w:color w:val="auto"/>
              </w:rPr>
              <w:t>looks like in countries outside the United States so we can customize efforts to address</w:t>
            </w:r>
          </w:p>
        </w:tc>
        <w:tc>
          <w:tcPr>
            <w:tcW w:w="0" w:type="dxa"/>
            <w:vAlign w:val="bottom"/>
          </w:tcPr>
          <w:p>
            <w:pPr>
              <w:spacing w:after="0"/>
              <w:rPr>
                <w:sz w:val="1"/>
                <w:szCs w:val="1"/>
                <w:color w:val="auto"/>
              </w:rPr>
            </w:pPr>
          </w:p>
        </w:tc>
      </w:tr>
      <w:tr>
        <w:trPr>
          <w:trHeight w:val="239"/>
        </w:trPr>
        <w:tc>
          <w:tcPr>
            <w:tcW w:w="180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underrepresentation.</w:t>
            </w:r>
          </w:p>
        </w:tc>
        <w:tc>
          <w:tcPr>
            <w:tcW w:w="0" w:type="dxa"/>
            <w:vAlign w:val="bottom"/>
          </w:tcPr>
          <w:p>
            <w:pPr>
              <w:spacing w:after="0"/>
              <w:rPr>
                <w:sz w:val="1"/>
                <w:szCs w:val="1"/>
                <w:color w:val="auto"/>
              </w:rPr>
            </w:pPr>
          </w:p>
        </w:tc>
      </w:tr>
      <w:tr>
        <w:trPr>
          <w:trHeight w:val="261"/>
        </w:trPr>
        <w:tc>
          <w:tcPr>
            <w:tcW w:w="1800" w:type="dxa"/>
            <w:vAlign w:val="bottom"/>
          </w:tcPr>
          <w:p>
            <w:pPr>
              <w:spacing w:after="0"/>
              <w:rPr>
                <w:sz w:val="22"/>
                <w:szCs w:val="22"/>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We are committed to building leadership teams that reflect the diversity of our employees</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and the communities we serve. To support this ambition, we are tailoring development</w:t>
            </w:r>
          </w:p>
        </w:tc>
        <w:tc>
          <w:tcPr>
            <w:tcW w:w="0" w:type="dxa"/>
            <w:vAlign w:val="bottom"/>
          </w:tcPr>
          <w:p>
            <w:pPr>
              <w:spacing w:after="0"/>
              <w:rPr>
                <w:sz w:val="1"/>
                <w:szCs w:val="1"/>
                <w:color w:val="auto"/>
              </w:rPr>
            </w:pPr>
          </w:p>
        </w:tc>
      </w:tr>
      <w:tr>
        <w:trPr>
          <w:trHeight w:val="239"/>
        </w:trPr>
        <w:tc>
          <w:tcPr>
            <w:tcW w:w="180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programs to meet the needs of our underrepresented populations.</w:t>
            </w:r>
          </w:p>
        </w:tc>
        <w:tc>
          <w:tcPr>
            <w:tcW w:w="0" w:type="dxa"/>
            <w:vAlign w:val="bottom"/>
          </w:tcPr>
          <w:p>
            <w:pPr>
              <w:spacing w:after="0"/>
              <w:rPr>
                <w:sz w:val="1"/>
                <w:szCs w:val="1"/>
                <w:color w:val="auto"/>
              </w:rPr>
            </w:pPr>
          </w:p>
        </w:tc>
      </w:tr>
      <w:tr>
        <w:trPr>
          <w:trHeight w:val="185"/>
        </w:trPr>
        <w:tc>
          <w:tcPr>
            <w:tcW w:w="1800" w:type="dxa"/>
            <w:vAlign w:val="bottom"/>
            <w:tcBorders>
              <w:bottom w:val="single" w:sz="8" w:color="939598"/>
            </w:tcBorders>
          </w:tcPr>
          <w:p>
            <w:pPr>
              <w:spacing w:after="0"/>
              <w:rPr>
                <w:sz w:val="16"/>
                <w:szCs w:val="16"/>
                <w:color w:val="auto"/>
              </w:rPr>
            </w:pPr>
          </w:p>
        </w:tc>
        <w:tc>
          <w:tcPr>
            <w:tcW w:w="762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0" w:type="dxa"/>
            <w:vAlign w:val="bottom"/>
          </w:tcPr>
          <w:p>
            <w:pPr>
              <w:ind w:left="100"/>
              <w:spacing w:after="0"/>
              <w:rPr>
                <w:sz w:val="20"/>
                <w:szCs w:val="20"/>
                <w:color w:val="auto"/>
              </w:rPr>
            </w:pPr>
            <w:r>
              <w:rPr>
                <w:rFonts w:ascii="Arial" w:cs="Arial" w:eastAsia="Arial" w:hAnsi="Arial"/>
                <w:sz w:val="18"/>
                <w:szCs w:val="18"/>
                <w:color w:val="auto"/>
              </w:rPr>
              <w:t>Evolving our</w:t>
            </w:r>
          </w:p>
        </w:tc>
        <w:tc>
          <w:tcPr>
            <w:tcW w:w="7620" w:type="dxa"/>
            <w:vAlign w:val="bottom"/>
          </w:tcPr>
          <w:p>
            <w:pPr>
              <w:ind w:left="100"/>
              <w:spacing w:after="0"/>
              <w:rPr>
                <w:sz w:val="20"/>
                <w:szCs w:val="20"/>
                <w:color w:val="auto"/>
              </w:rPr>
            </w:pPr>
            <w:r>
              <w:rPr>
                <w:rFonts w:ascii="Arial" w:cs="Arial" w:eastAsia="Arial" w:hAnsi="Arial"/>
                <w:sz w:val="18"/>
                <w:szCs w:val="18"/>
                <w:color w:val="auto"/>
              </w:rPr>
              <w:t>Our engineering team members continue to run a Software Engineering Reskilling Program,</w:t>
            </w:r>
          </w:p>
        </w:tc>
        <w:tc>
          <w:tcPr>
            <w:tcW w:w="0" w:type="dxa"/>
            <w:vAlign w:val="bottom"/>
          </w:tcPr>
          <w:p>
            <w:pPr>
              <w:spacing w:after="0"/>
              <w:rPr>
                <w:sz w:val="1"/>
                <w:szCs w:val="1"/>
                <w:color w:val="auto"/>
              </w:rPr>
            </w:pPr>
          </w:p>
        </w:tc>
      </w:tr>
      <w:tr>
        <w:trPr>
          <w:trHeight w:val="203"/>
        </w:trPr>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workforce skills to</w:t>
            </w:r>
          </w:p>
        </w:tc>
        <w:tc>
          <w:tcPr>
            <w:tcW w:w="7620" w:type="dxa"/>
            <w:vAlign w:val="bottom"/>
          </w:tcPr>
          <w:p>
            <w:pPr>
              <w:ind w:left="100"/>
              <w:spacing w:after="0" w:line="202" w:lineRule="exact"/>
              <w:rPr>
                <w:sz w:val="20"/>
                <w:szCs w:val="20"/>
                <w:color w:val="auto"/>
              </w:rPr>
            </w:pPr>
            <w:r>
              <w:rPr>
                <w:rFonts w:ascii="Arial" w:cs="Arial" w:eastAsia="Arial" w:hAnsi="Arial"/>
                <w:sz w:val="18"/>
                <w:szCs w:val="18"/>
                <w:color w:val="auto"/>
              </w:rPr>
              <w:t>specifically designed to address ADI’s evolving talent needs by expanding the skills of our</w:t>
            </w:r>
          </w:p>
        </w:tc>
        <w:tc>
          <w:tcPr>
            <w:tcW w:w="0" w:type="dxa"/>
            <w:vAlign w:val="bottom"/>
          </w:tcPr>
          <w:p>
            <w:pPr>
              <w:spacing w:after="0"/>
              <w:rPr>
                <w:sz w:val="1"/>
                <w:szCs w:val="1"/>
                <w:color w:val="auto"/>
              </w:rPr>
            </w:pPr>
          </w:p>
        </w:tc>
      </w:tr>
      <w:tr>
        <w:trPr>
          <w:trHeight w:val="189"/>
        </w:trPr>
        <w:tc>
          <w:tcPr>
            <w:tcW w:w="1800" w:type="dxa"/>
            <w:vAlign w:val="bottom"/>
          </w:tcPr>
          <w:p>
            <w:pPr>
              <w:ind w:left="100"/>
              <w:spacing w:after="0" w:line="189" w:lineRule="exact"/>
              <w:rPr>
                <w:sz w:val="20"/>
                <w:szCs w:val="20"/>
                <w:color w:val="auto"/>
              </w:rPr>
            </w:pPr>
            <w:r>
              <w:rPr>
                <w:rFonts w:ascii="Arial" w:cs="Arial" w:eastAsia="Arial" w:hAnsi="Arial"/>
                <w:sz w:val="18"/>
                <w:szCs w:val="18"/>
                <w:color w:val="auto"/>
              </w:rPr>
              <w:t>drive innovation and</w:t>
            </w:r>
          </w:p>
        </w:tc>
        <w:tc>
          <w:tcPr>
            <w:tcW w:w="7620" w:type="dxa"/>
            <w:vAlign w:val="bottom"/>
          </w:tcPr>
          <w:p>
            <w:pPr>
              <w:ind w:left="100"/>
              <w:spacing w:after="0" w:line="189" w:lineRule="exact"/>
              <w:rPr>
                <w:sz w:val="20"/>
                <w:szCs w:val="20"/>
                <w:color w:val="auto"/>
              </w:rPr>
            </w:pPr>
            <w:r>
              <w:rPr>
                <w:rFonts w:ascii="Arial" w:cs="Arial" w:eastAsia="Arial" w:hAnsi="Arial"/>
                <w:sz w:val="18"/>
                <w:szCs w:val="18"/>
                <w:color w:val="auto"/>
              </w:rPr>
              <w:t>technical workforce in the software domain.</w:t>
            </w:r>
          </w:p>
        </w:tc>
        <w:tc>
          <w:tcPr>
            <w:tcW w:w="0" w:type="dxa"/>
            <w:vAlign w:val="bottom"/>
          </w:tcPr>
          <w:p>
            <w:pPr>
              <w:spacing w:after="0"/>
              <w:rPr>
                <w:sz w:val="1"/>
                <w:szCs w:val="1"/>
                <w:color w:val="auto"/>
              </w:rPr>
            </w:pPr>
          </w:p>
        </w:tc>
      </w:tr>
      <w:tr>
        <w:trPr>
          <w:trHeight w:val="126"/>
        </w:trPr>
        <w:tc>
          <w:tcPr>
            <w:tcW w:w="1800" w:type="dxa"/>
            <w:vAlign w:val="bottom"/>
          </w:tcPr>
          <w:p>
            <w:pPr>
              <w:ind w:left="100"/>
              <w:spacing w:after="0" w:line="126" w:lineRule="exact"/>
              <w:rPr>
                <w:sz w:val="20"/>
                <w:szCs w:val="20"/>
                <w:color w:val="auto"/>
              </w:rPr>
            </w:pPr>
            <w:r>
              <w:rPr>
                <w:rFonts w:ascii="Arial" w:cs="Arial" w:eastAsia="Arial" w:hAnsi="Arial"/>
                <w:sz w:val="13"/>
                <w:szCs w:val="13"/>
                <w:color w:val="auto"/>
              </w:rPr>
              <w:t>sustain a</w:t>
            </w:r>
          </w:p>
        </w:tc>
        <w:tc>
          <w:tcPr>
            <w:tcW w:w="7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vMerge w:val="restart"/>
          </w:tcPr>
          <w:p>
            <w:pPr>
              <w:ind w:left="100"/>
              <w:spacing w:after="0"/>
              <w:rPr>
                <w:sz w:val="20"/>
                <w:szCs w:val="20"/>
                <w:color w:val="auto"/>
              </w:rPr>
            </w:pPr>
            <w:r>
              <w:rPr>
                <w:rFonts w:ascii="Arial" w:cs="Arial" w:eastAsia="Arial" w:hAnsi="Arial"/>
                <w:sz w:val="18"/>
                <w:szCs w:val="18"/>
                <w:color w:val="auto"/>
              </w:rPr>
              <w:t>competitive</w:t>
            </w:r>
          </w:p>
        </w:tc>
        <w:tc>
          <w:tcPr>
            <w:tcW w:w="7960" w:type="dxa"/>
            <w:vAlign w:val="bottom"/>
          </w:tcPr>
          <w:p>
            <w:pPr>
              <w:ind w:left="440"/>
              <w:spacing w:after="0" w:line="184" w:lineRule="exact"/>
              <w:rPr>
                <w:sz w:val="20"/>
                <w:szCs w:val="20"/>
                <w:color w:val="auto"/>
              </w:rPr>
            </w:pPr>
            <w:r>
              <w:rPr>
                <w:rFonts w:ascii="Arial" w:cs="Arial" w:eastAsia="Arial" w:hAnsi="Arial"/>
                <w:sz w:val="18"/>
                <w:szCs w:val="18"/>
                <w:color w:val="auto"/>
              </w:rPr>
              <w:t>We are committed to employee growth and development, as well as building high-performing</w:t>
            </w: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7960" w:type="dxa"/>
            <w:vAlign w:val="bottom"/>
            <w:vMerge w:val="restart"/>
          </w:tcPr>
          <w:p>
            <w:pPr>
              <w:ind w:left="440"/>
              <w:spacing w:after="0" w:line="189" w:lineRule="exact"/>
              <w:rPr>
                <w:sz w:val="20"/>
                <w:szCs w:val="20"/>
                <w:color w:val="auto"/>
              </w:rPr>
            </w:pPr>
            <w:r>
              <w:rPr>
                <w:rFonts w:ascii="Arial" w:cs="Arial" w:eastAsia="Arial" w:hAnsi="Arial"/>
                <w:sz w:val="18"/>
                <w:szCs w:val="18"/>
                <w:color w:val="auto"/>
              </w:rPr>
              <w:t>teams. This includes providing essential training such as the Executive Leadership Program</w:t>
            </w:r>
          </w:p>
        </w:tc>
        <w:tc>
          <w:tcPr>
            <w:tcW w:w="0" w:type="dxa"/>
            <w:vAlign w:val="bottom"/>
          </w:tcPr>
          <w:p>
            <w:pPr>
              <w:spacing w:after="0"/>
              <w:rPr>
                <w:sz w:val="1"/>
                <w:szCs w:val="1"/>
                <w:color w:val="auto"/>
              </w:rPr>
            </w:pPr>
          </w:p>
        </w:tc>
      </w:tr>
      <w:tr>
        <w:trPr>
          <w:trHeight w:val="108"/>
        </w:trPr>
        <w:tc>
          <w:tcPr>
            <w:tcW w:w="1460" w:type="dxa"/>
            <w:vAlign w:val="bottom"/>
            <w:vMerge w:val="restart"/>
          </w:tcPr>
          <w:p>
            <w:pPr>
              <w:ind w:left="100"/>
              <w:spacing w:after="0"/>
              <w:rPr>
                <w:sz w:val="20"/>
                <w:szCs w:val="20"/>
                <w:color w:val="auto"/>
              </w:rPr>
            </w:pPr>
            <w:r>
              <w:rPr>
                <w:rFonts w:ascii="Arial" w:cs="Arial" w:eastAsia="Arial" w:hAnsi="Arial"/>
                <w:sz w:val="18"/>
                <w:szCs w:val="18"/>
                <w:color w:val="auto"/>
              </w:rPr>
              <w:t>advantage</w:t>
            </w:r>
          </w:p>
        </w:tc>
        <w:tc>
          <w:tcPr>
            <w:tcW w:w="7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460" w:type="dxa"/>
            <w:vAlign w:val="bottom"/>
            <w:vMerge w:val="continue"/>
          </w:tcPr>
          <w:p>
            <w:pPr>
              <w:spacing w:after="0"/>
              <w:rPr>
                <w:sz w:val="11"/>
                <w:szCs w:val="11"/>
                <w:color w:val="auto"/>
              </w:rPr>
            </w:pPr>
          </w:p>
        </w:tc>
        <w:tc>
          <w:tcPr>
            <w:tcW w:w="7960" w:type="dxa"/>
            <w:vAlign w:val="bottom"/>
            <w:vMerge w:val="restart"/>
          </w:tcPr>
          <w:p>
            <w:pPr>
              <w:ind w:left="440"/>
              <w:spacing w:after="0" w:line="202" w:lineRule="exact"/>
              <w:rPr>
                <w:sz w:val="20"/>
                <w:szCs w:val="20"/>
                <w:color w:val="auto"/>
              </w:rPr>
            </w:pPr>
            <w:r>
              <w:rPr>
                <w:rFonts w:ascii="Arial" w:cs="Arial" w:eastAsia="Arial" w:hAnsi="Arial"/>
                <w:sz w:val="18"/>
                <w:szCs w:val="18"/>
                <w:color w:val="auto"/>
              </w:rPr>
              <w:t>and Management Essentials curricula that prepare employees to lead teams today and grow</w:t>
            </w:r>
          </w:p>
        </w:tc>
        <w:tc>
          <w:tcPr>
            <w:tcW w:w="0" w:type="dxa"/>
            <w:vAlign w:val="bottom"/>
          </w:tcPr>
          <w:p>
            <w:pPr>
              <w:spacing w:after="0"/>
              <w:rPr>
                <w:sz w:val="1"/>
                <w:szCs w:val="1"/>
                <w:color w:val="auto"/>
              </w:rPr>
            </w:pPr>
          </w:p>
        </w:tc>
      </w:tr>
      <w:tr>
        <w:trPr>
          <w:trHeight w:val="72"/>
        </w:trPr>
        <w:tc>
          <w:tcPr>
            <w:tcW w:w="1460" w:type="dxa"/>
            <w:vAlign w:val="bottom"/>
          </w:tcPr>
          <w:p>
            <w:pPr>
              <w:spacing w:after="0"/>
              <w:rPr>
                <w:sz w:val="6"/>
                <w:szCs w:val="6"/>
                <w:color w:val="auto"/>
              </w:rPr>
            </w:pP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7960" w:type="dxa"/>
            <w:vAlign w:val="bottom"/>
          </w:tcPr>
          <w:p>
            <w:pPr>
              <w:ind w:left="440"/>
              <w:spacing w:after="0" w:line="189" w:lineRule="exact"/>
              <w:rPr>
                <w:sz w:val="20"/>
                <w:szCs w:val="20"/>
                <w:color w:val="auto"/>
              </w:rPr>
            </w:pPr>
            <w:r>
              <w:rPr>
                <w:rFonts w:ascii="Arial" w:cs="Arial" w:eastAsia="Arial" w:hAnsi="Arial"/>
                <w:sz w:val="18"/>
                <w:szCs w:val="18"/>
                <w:color w:val="auto"/>
              </w:rPr>
              <w:t>the business tomorrow and offering programs including our Leading ADI Forward program</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7960" w:type="dxa"/>
            <w:vAlign w:val="bottom"/>
          </w:tcPr>
          <w:p>
            <w:pPr>
              <w:ind w:left="440"/>
              <w:spacing w:after="0" w:line="202" w:lineRule="exact"/>
              <w:rPr>
                <w:sz w:val="20"/>
                <w:szCs w:val="20"/>
                <w:color w:val="auto"/>
              </w:rPr>
            </w:pPr>
            <w:r>
              <w:rPr>
                <w:rFonts w:ascii="Arial" w:cs="Arial" w:eastAsia="Arial" w:hAnsi="Arial"/>
                <w:sz w:val="18"/>
                <w:szCs w:val="18"/>
                <w:color w:val="auto"/>
              </w:rPr>
              <w:t>designed to help our leaders build relationships and drive our strategic vision throughout the</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185"/>
        </w:trPr>
        <w:tc>
          <w:tcPr>
            <w:tcW w:w="1460" w:type="dxa"/>
            <w:vAlign w:val="bottom"/>
            <w:tcBorders>
              <w:bottom w:val="single" w:sz="8" w:color="0067B3"/>
            </w:tcBorders>
          </w:tcPr>
          <w:p>
            <w:pPr>
              <w:spacing w:after="0"/>
              <w:rPr>
                <w:sz w:val="16"/>
                <w:szCs w:val="16"/>
                <w:color w:val="auto"/>
              </w:rPr>
            </w:pPr>
          </w:p>
        </w:tc>
        <w:tc>
          <w:tcPr>
            <w:tcW w:w="7960" w:type="dxa"/>
            <w:vAlign w:val="bottom"/>
            <w:tcBorders>
              <w:bottom w:val="single" w:sz="8" w:color="0067B3"/>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680" w:space="140"/>
            <w:col w:w="9420"/>
          </w:cols>
          <w:pgMar w:left="320" w:top="1356" w:right="339" w:bottom="327" w:gutter="0" w:footer="0" w:header="0"/>
          <w:type w:val="continuous"/>
        </w:sectPr>
      </w:pPr>
    </w:p>
    <w:p>
      <w:pPr>
        <w:spacing w:after="0" w:line="289"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6"/>
          <w:szCs w:val="16"/>
          <w:b w:val="1"/>
          <w:bCs w:val="1"/>
          <w:color w:val="auto"/>
        </w:rPr>
        <w:t>5</w:t>
      </w:r>
    </w:p>
    <w:p>
      <w:pPr>
        <w:sectPr>
          <w:pgSz w:w="11900" w:h="16838" w:orient="portrait"/>
          <w:cols w:equalWidth="0" w:num="1">
            <w:col w:w="11240"/>
          </w:cols>
          <w:pgMar w:left="320" w:top="1356" w:right="339" w:bottom="327" w:gutter="0" w:footer="0" w:header="0"/>
          <w:type w:val="continuous"/>
        </w:sectPr>
      </w:pPr>
    </w:p>
    <w:bookmarkStart w:id="13" w:name="page14"/>
    <w:bookmarkEnd w:id="13"/>
    <w:p>
      <w:pPr>
        <w:spacing w:after="0"/>
        <w:rPr>
          <w:sz w:val="20"/>
          <w:szCs w:val="20"/>
          <w:color w:val="auto"/>
        </w:rPr>
      </w:pPr>
      <w:r>
        <w:rPr>
          <w:rFonts w:ascii="Arial" w:cs="Arial" w:eastAsia="Arial" w:hAnsi="Arial"/>
          <w:sz w:val="32"/>
          <w:szCs w:val="32"/>
          <w:b w:val="1"/>
          <w:bCs w:val="1"/>
          <w:color w:val="auto"/>
        </w:rPr>
        <w:t>Diversity, Equity and Inclusion</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committed to cultivating an inclusive culture, implementing business practices that counteract systemic inequities and engaging with the communities around us to create a better, more just world. Through structural and cultural change, we aim to ensure that employees of all identities and cultures have an equal opportunity to grow and succeed at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5888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p>
      <w:pPr>
        <w:spacing w:after="0" w:line="211" w:lineRule="exact"/>
        <w:rPr>
          <w:sz w:val="20"/>
          <w:szCs w:val="20"/>
          <w:color w:val="auto"/>
        </w:rPr>
      </w:pPr>
    </w:p>
    <w:p>
      <w:pPr>
        <w:ind w:left="100"/>
        <w:spacing w:after="0" w:line="265" w:lineRule="auto"/>
        <w:rPr>
          <w:sz w:val="20"/>
          <w:szCs w:val="20"/>
          <w:color w:val="auto"/>
        </w:rPr>
      </w:pPr>
      <w:r>
        <w:rPr>
          <w:rFonts w:ascii="Arial" w:cs="Arial" w:eastAsia="Arial" w:hAnsi="Arial"/>
          <w:sz w:val="18"/>
          <w:szCs w:val="18"/>
          <w:b w:val="1"/>
          <w:bCs w:val="1"/>
          <w:color w:val="FFFFFF"/>
        </w:rPr>
        <w:t>Addressing Inequity Through a Holistic and Global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right="280"/>
        <w:spacing w:after="0" w:line="273" w:lineRule="auto"/>
        <w:rPr>
          <w:sz w:val="20"/>
          <w:szCs w:val="20"/>
          <w:color w:val="auto"/>
        </w:rPr>
      </w:pPr>
      <w:r>
        <w:rPr>
          <w:rFonts w:ascii="Arial" w:cs="Arial" w:eastAsia="Arial" w:hAnsi="Arial"/>
          <w:sz w:val="18"/>
          <w:szCs w:val="18"/>
          <w:b w:val="1"/>
          <w:bCs w:val="1"/>
          <w:color w:val="FFFFFF"/>
        </w:rPr>
        <w:t>Engaging and Empowering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right="80"/>
        <w:spacing w:after="0" w:line="265" w:lineRule="auto"/>
        <w:rPr>
          <w:sz w:val="20"/>
          <w:szCs w:val="20"/>
          <w:color w:val="auto"/>
        </w:rPr>
      </w:pPr>
      <w:r>
        <w:rPr>
          <w:rFonts w:ascii="Arial" w:cs="Arial" w:eastAsia="Arial" w:hAnsi="Arial"/>
          <w:sz w:val="18"/>
          <w:szCs w:val="18"/>
          <w:b w:val="1"/>
          <w:bCs w:val="1"/>
          <w:color w:val="FFFFFF"/>
        </w:rPr>
        <w:t>Building Educational and Professional Partnerships</w:t>
      </w:r>
    </w:p>
    <w:p>
      <w:pPr>
        <w:spacing w:after="0" w:line="200" w:lineRule="exact"/>
        <w:rPr>
          <w:sz w:val="20"/>
          <w:szCs w:val="20"/>
          <w:color w:val="auto"/>
        </w:rPr>
      </w:pPr>
    </w:p>
    <w:p>
      <w:pPr>
        <w:spacing w:after="0" w:line="276" w:lineRule="exact"/>
        <w:rPr>
          <w:sz w:val="20"/>
          <w:szCs w:val="20"/>
          <w:color w:val="auto"/>
        </w:rPr>
      </w:pPr>
    </w:p>
    <w:p>
      <w:pPr>
        <w:ind w:left="100" w:right="180"/>
        <w:spacing w:after="0" w:line="273" w:lineRule="auto"/>
        <w:rPr>
          <w:sz w:val="20"/>
          <w:szCs w:val="20"/>
          <w:color w:val="auto"/>
        </w:rPr>
      </w:pPr>
      <w:r>
        <w:rPr>
          <w:rFonts w:ascii="Arial" w:cs="Arial" w:eastAsia="Arial" w:hAnsi="Arial"/>
          <w:sz w:val="18"/>
          <w:szCs w:val="18"/>
          <w:b w:val="1"/>
          <w:bCs w:val="1"/>
          <w:color w:val="FFFFFF"/>
        </w:rPr>
        <w:t>Enhancing and Supporting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right="260"/>
        <w:spacing w:after="0" w:line="273" w:lineRule="auto"/>
        <w:rPr>
          <w:sz w:val="20"/>
          <w:szCs w:val="20"/>
          <w:color w:val="auto"/>
        </w:rPr>
      </w:pPr>
      <w:r>
        <w:rPr>
          <w:rFonts w:ascii="Arial" w:cs="Arial" w:eastAsia="Arial" w:hAnsi="Arial"/>
          <w:sz w:val="18"/>
          <w:szCs w:val="18"/>
          <w:b w:val="1"/>
          <w:bCs w:val="1"/>
          <w:color w:val="FFFFFF"/>
        </w:rPr>
        <w:t>Ensuring Governance and Oversight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3" w:right="440" w:hanging="203"/>
        <w:spacing w:after="0" w:line="268"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We continue to transform the way we operate so inclusion and equity remain an integrated part of how we do business. This means redesigning our talent practices to address systemic barriers and building a culture that confronts bias.</w:t>
      </w:r>
    </w:p>
    <w:p>
      <w:pPr>
        <w:spacing w:after="0" w:line="22" w:lineRule="exact"/>
        <w:rPr>
          <w:rFonts w:ascii="Arial" w:cs="Arial" w:eastAsia="Arial" w:hAnsi="Arial"/>
          <w:sz w:val="18"/>
          <w:szCs w:val="18"/>
          <w:color w:val="0067B3"/>
        </w:rPr>
      </w:pPr>
    </w:p>
    <w:p>
      <w:pPr>
        <w:ind w:left="203" w:right="80" w:hanging="203"/>
        <w:spacing w:after="0" w:line="259"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At a high level, our focus is on programs that target societal and organizational practices. From a societal perspective, we are establishing new partnerships and launching programs that increase access to STEM education for communities that are historically denied access. From an organizational perspective, we are revising our processes to mitigate bias and customizing our training programs to accelerate the development of underrepresented communities.</w:t>
      </w:r>
    </w:p>
    <w:p>
      <w:pPr>
        <w:spacing w:after="0" w:line="206" w:lineRule="exact"/>
        <w:rPr>
          <w:rFonts w:ascii="Arial" w:cs="Arial" w:eastAsia="Arial" w:hAnsi="Arial"/>
          <w:sz w:val="18"/>
          <w:szCs w:val="18"/>
          <w:color w:val="0067B3"/>
        </w:rPr>
      </w:pPr>
    </w:p>
    <w:p>
      <w:pPr>
        <w:ind w:left="203" w:right="520" w:hanging="203"/>
        <w:spacing w:after="0" w:line="268"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We have formed a Global Diversity Council that is made up of senior leaders from across our organization. Together, they represent a mix of business units, regions, genders and races. They meet quarterly to provide feedback on strategic priorities and help to champion organizational change.</w:t>
      </w:r>
    </w:p>
    <w:p>
      <w:pPr>
        <w:spacing w:after="0" w:line="22" w:lineRule="exact"/>
        <w:rPr>
          <w:rFonts w:ascii="Arial" w:cs="Arial" w:eastAsia="Arial" w:hAnsi="Arial"/>
          <w:sz w:val="18"/>
          <w:szCs w:val="18"/>
          <w:color w:val="0067B3"/>
        </w:rPr>
      </w:pPr>
    </w:p>
    <w:p>
      <w:pPr>
        <w:ind w:left="203" w:right="160" w:hanging="203"/>
        <w:spacing w:after="0" w:line="262"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We have a growing list of Employee Networks that are the driving force behind our evolving culture. Comprised of over 2,500 members across eight networks and thirty-five chapters, they foster community, build allyship, accelerate professional development and impact organizational policy. Each network has a formalized leadership team and structure, which includes an executive sponsor and annual goals.</w:t>
      </w:r>
    </w:p>
    <w:p>
      <w:pPr>
        <w:spacing w:after="0" w:line="203" w:lineRule="exact"/>
        <w:rPr>
          <w:rFonts w:ascii="Arial" w:cs="Arial" w:eastAsia="Arial" w:hAnsi="Arial"/>
          <w:sz w:val="18"/>
          <w:szCs w:val="18"/>
          <w:color w:val="0067B3"/>
        </w:rPr>
      </w:pPr>
    </w:p>
    <w:p>
      <w:pPr>
        <w:ind w:left="203" w:right="360" w:hanging="203"/>
        <w:spacing w:after="0" w:line="287"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We continue to expand our outreach and support higher education, including engagement with an HBCU which includes sponsoring a research project enabling students dedicated time to explore and innovate.</w:t>
      </w:r>
    </w:p>
    <w:p>
      <w:pPr>
        <w:spacing w:after="0" w:line="4" w:lineRule="exact"/>
        <w:rPr>
          <w:rFonts w:ascii="Arial" w:cs="Arial" w:eastAsia="Arial" w:hAnsi="Arial"/>
          <w:sz w:val="18"/>
          <w:szCs w:val="18"/>
          <w:color w:val="0067B3"/>
        </w:rPr>
      </w:pPr>
    </w:p>
    <w:p>
      <w:pPr>
        <w:ind w:left="203" w:right="240" w:hanging="203"/>
        <w:spacing w:after="0" w:line="268"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In addition, we continue our outreach to professional associations that serve underrepresented communities. We host educational talks and focus on skill building as a way to increase candidate capabilities and foster greater brand and STEM awareness.</w:t>
      </w:r>
    </w:p>
    <w:p>
      <w:pPr>
        <w:spacing w:after="0" w:line="197" w:lineRule="exact"/>
        <w:rPr>
          <w:rFonts w:ascii="Arial" w:cs="Arial" w:eastAsia="Arial" w:hAnsi="Arial"/>
          <w:sz w:val="18"/>
          <w:szCs w:val="18"/>
          <w:color w:val="0067B3"/>
        </w:rPr>
      </w:pPr>
    </w:p>
    <w:p>
      <w:pPr>
        <w:ind w:left="203" w:right="340" w:hanging="203"/>
        <w:spacing w:after="0" w:line="268"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We recognize that employees of different identities encounter different systemic and cultural challenges. Understanding these unique experiences allows us to create impactful learning programs that build community, drive performance and advance gender and racial equity.</w:t>
      </w:r>
    </w:p>
    <w:p>
      <w:pPr>
        <w:spacing w:after="0" w:line="22" w:lineRule="exact"/>
        <w:rPr>
          <w:rFonts w:ascii="Arial" w:cs="Arial" w:eastAsia="Arial" w:hAnsi="Arial"/>
          <w:sz w:val="18"/>
          <w:szCs w:val="18"/>
          <w:color w:val="0067B3"/>
        </w:rPr>
      </w:pPr>
    </w:p>
    <w:p>
      <w:pPr>
        <w:ind w:left="203" w:right="140" w:hanging="203"/>
        <w:spacing w:after="0" w:line="257"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One example is Elevate, our flagship leadership development series for women. Employees in this program build new skills and expand their global networks through an exciting combination of action learning, mentorship and sponsorship. The program places an emphasis on enhancing business insight, increasing customer focus, developing strategic mindsets and improving situational adaptability. The program cohorts were thoughtfully assembled to include representation from technical, sales and corporate functions across Asia, Europe and North America.</w:t>
      </w:r>
    </w:p>
    <w:p>
      <w:pPr>
        <w:spacing w:after="0" w:line="209" w:lineRule="exact"/>
        <w:rPr>
          <w:rFonts w:ascii="Arial" w:cs="Arial" w:eastAsia="Arial" w:hAnsi="Arial"/>
          <w:sz w:val="18"/>
          <w:szCs w:val="18"/>
          <w:color w:val="0067B3"/>
        </w:rPr>
      </w:pPr>
    </w:p>
    <w:p>
      <w:pPr>
        <w:ind w:left="203" w:right="160" w:hanging="203"/>
        <w:spacing w:after="0" w:line="256" w:lineRule="auto"/>
        <w:tabs>
          <w:tab w:leader="none" w:pos="165" w:val="left"/>
        </w:tabs>
        <w:numPr>
          <w:ilvl w:val="0"/>
          <w:numId w:val="17"/>
        </w:numPr>
        <w:rPr>
          <w:rFonts w:ascii="Arial" w:cs="Arial" w:eastAsia="Arial" w:hAnsi="Arial"/>
          <w:sz w:val="18"/>
          <w:szCs w:val="18"/>
          <w:color w:val="0067B3"/>
        </w:rPr>
      </w:pPr>
      <w:r>
        <w:rPr>
          <w:rFonts w:ascii="Arial" w:cs="Arial" w:eastAsia="Arial" w:hAnsi="Arial"/>
          <w:sz w:val="18"/>
          <w:szCs w:val="18"/>
          <w:color w:val="auto"/>
        </w:rPr>
        <w:t>The Nominating and Corporate Governance Committee oversees ADI’s ESG policies, goals and programs, including reviewing our sustainability initiatives and goals, as well as our progress towards achieving those goals. Management regularly reports to our full Board of Directors on ESG topics, providing an update on key metrics and progress. Our Board of Directors provides direct feedback on strategic approach and initiatives once a year. Our Leadership Team, which includes our executive officers and any Senior Vice President reporting to the CEO, is engaged collectively on a semi-annual basis, and individual leaders provide ongoing sponsorship of core initiatives, such as our HBCU partnership and secondary school outreach program.</w:t>
      </w:r>
    </w:p>
    <w:p>
      <w:pPr>
        <w:spacing w:after="0" w:line="200" w:lineRule="exact"/>
        <w:rPr>
          <w:sz w:val="20"/>
          <w:szCs w:val="20"/>
          <w:color w:val="auto"/>
        </w:rPr>
      </w:pPr>
    </w:p>
    <w:p>
      <w:pPr>
        <w:sectPr>
          <w:pgSz w:w="11900" w:h="16838" w:orient="portrait"/>
          <w:cols w:equalWidth="0" w:num="2">
            <w:col w:w="1580" w:space="317"/>
            <w:col w:w="9343"/>
          </w:cols>
          <w:pgMar w:left="320" w:top="1378"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9"/>
          <w:szCs w:val="19"/>
          <w:b w:val="1"/>
          <w:bCs w:val="1"/>
          <w:color w:val="auto"/>
        </w:rPr>
      </w:pPr>
      <w:r>
        <w:rPr>
          <w:rFonts w:ascii="Arial" w:cs="Arial" w:eastAsia="Arial" w:hAnsi="Arial"/>
          <w:sz w:val="15"/>
          <w:szCs w:val="15"/>
          <w:color w:val="6D6E71"/>
        </w:rPr>
        <w:t>Highlights</w:t>
      </w:r>
    </w:p>
    <w:p>
      <w:pPr>
        <w:sectPr>
          <w:pgSz w:w="11900" w:h="16838" w:orient="portrait"/>
          <w:cols w:equalWidth="0" w:num="1">
            <w:col w:w="11240"/>
          </w:cols>
          <w:pgMar w:left="320" w:top="137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58"/>
          <w:szCs w:val="58"/>
          <w:color w:val="auto"/>
        </w:rPr>
        <w:t>Proxy Summary</w:t>
      </w:r>
    </w:p>
    <w:p>
      <w:pPr>
        <w:spacing w:after="0" w:line="200" w:lineRule="exact"/>
        <w:rPr>
          <w:sz w:val="20"/>
          <w:szCs w:val="20"/>
          <w:color w:val="auto"/>
        </w:rPr>
      </w:pPr>
    </w:p>
    <w:p>
      <w:pPr>
        <w:spacing w:after="0" w:line="30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This summary provides an overview of select information in this Proxy Statement. We encourage you to read the entire Proxy Statement before voting. Shareholders will be asked to vote on the following matters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23430" cy="2357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235712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960" w:type="dxa"/>
            <w:vAlign w:val="bottom"/>
            <w:shd w:val="clear" w:color="auto" w:fill="0066BA"/>
          </w:tcPr>
          <w:p>
            <w:pPr>
              <w:spacing w:after="0"/>
              <w:rPr>
                <w:sz w:val="4"/>
                <w:szCs w:val="4"/>
                <w:color w:val="auto"/>
              </w:rPr>
            </w:pPr>
          </w:p>
        </w:tc>
        <w:tc>
          <w:tcPr>
            <w:tcW w:w="6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15"/>
        </w:trPr>
        <w:tc>
          <w:tcPr>
            <w:tcW w:w="960" w:type="dxa"/>
            <w:vAlign w:val="bottom"/>
            <w:shd w:val="clear" w:color="auto" w:fill="0066BA"/>
          </w:tcPr>
          <w:p>
            <w:pPr>
              <w:spacing w:after="0"/>
              <w:rPr>
                <w:sz w:val="18"/>
                <w:szCs w:val="18"/>
                <w:color w:val="auto"/>
              </w:rPr>
            </w:pPr>
          </w:p>
        </w:tc>
        <w:tc>
          <w:tcPr>
            <w:tcW w:w="6780" w:type="dxa"/>
            <w:vAlign w:val="bottom"/>
            <w:shd w:val="clear" w:color="auto" w:fill="0066BA"/>
          </w:tcPr>
          <w:p>
            <w:pPr>
              <w:spacing w:after="0"/>
              <w:rPr>
                <w:sz w:val="18"/>
                <w:szCs w:val="18"/>
                <w:color w:val="auto"/>
              </w:rPr>
            </w:pPr>
          </w:p>
        </w:tc>
        <w:tc>
          <w:tcPr>
            <w:tcW w:w="1820" w:type="dxa"/>
            <w:vAlign w:val="bottom"/>
            <w:shd w:val="clear" w:color="auto" w:fill="0066BA"/>
          </w:tcPr>
          <w:p>
            <w:pPr>
              <w:ind w:left="120"/>
              <w:spacing w:after="0"/>
              <w:rPr>
                <w:sz w:val="20"/>
                <w:szCs w:val="20"/>
                <w:color w:val="auto"/>
              </w:rPr>
            </w:pPr>
            <w:r>
              <w:rPr>
                <w:rFonts w:ascii="Arial" w:cs="Arial" w:eastAsia="Arial" w:hAnsi="Arial"/>
                <w:sz w:val="16"/>
                <w:szCs w:val="16"/>
                <w:b w:val="1"/>
                <w:bCs w:val="1"/>
                <w:color w:val="FFFFFF"/>
              </w:rPr>
              <w:t>Board</w:t>
            </w:r>
          </w:p>
        </w:tc>
        <w:tc>
          <w:tcPr>
            <w:tcW w:w="1660" w:type="dxa"/>
            <w:vAlign w:val="bottom"/>
            <w:shd w:val="clear" w:color="auto" w:fill="0066BA"/>
          </w:tcPr>
          <w:p>
            <w:pPr>
              <w:ind w:left="360"/>
              <w:spacing w:after="0"/>
              <w:rPr>
                <w:sz w:val="20"/>
                <w:szCs w:val="20"/>
                <w:color w:val="auto"/>
              </w:rPr>
            </w:pPr>
            <w:r>
              <w:rPr>
                <w:rFonts w:ascii="Arial" w:cs="Arial" w:eastAsia="Arial" w:hAnsi="Arial"/>
                <w:sz w:val="16"/>
                <w:szCs w:val="16"/>
                <w:b w:val="1"/>
                <w:bCs w:val="1"/>
                <w:color w:val="FFFFFF"/>
              </w:rPr>
              <w:t>Where to</w:t>
            </w:r>
          </w:p>
        </w:tc>
      </w:tr>
      <w:tr>
        <w:trPr>
          <w:trHeight w:val="230"/>
        </w:trPr>
        <w:tc>
          <w:tcPr>
            <w:tcW w:w="960" w:type="dxa"/>
            <w:vAlign w:val="bottom"/>
            <w:shd w:val="clear" w:color="auto" w:fill="0066BA"/>
          </w:tcPr>
          <w:p>
            <w:pPr>
              <w:ind w:left="140"/>
              <w:spacing w:after="0"/>
              <w:rPr>
                <w:sz w:val="20"/>
                <w:szCs w:val="20"/>
                <w:color w:val="auto"/>
              </w:rPr>
            </w:pPr>
            <w:r>
              <w:rPr>
                <w:rFonts w:ascii="Arial" w:cs="Arial" w:eastAsia="Arial" w:hAnsi="Arial"/>
                <w:sz w:val="16"/>
                <w:szCs w:val="16"/>
                <w:b w:val="1"/>
                <w:bCs w:val="1"/>
                <w:color w:val="FFFFFF"/>
              </w:rPr>
              <w:t>Proposal</w:t>
            </w:r>
          </w:p>
        </w:tc>
        <w:tc>
          <w:tcPr>
            <w:tcW w:w="6780" w:type="dxa"/>
            <w:vAlign w:val="bottom"/>
            <w:shd w:val="clear" w:color="auto" w:fill="0066BA"/>
          </w:tcPr>
          <w:p>
            <w:pPr>
              <w:ind w:left="100"/>
              <w:spacing w:after="0"/>
              <w:rPr>
                <w:sz w:val="20"/>
                <w:szCs w:val="20"/>
                <w:color w:val="auto"/>
              </w:rPr>
            </w:pPr>
            <w:r>
              <w:rPr>
                <w:rFonts w:ascii="Arial" w:cs="Arial" w:eastAsia="Arial" w:hAnsi="Arial"/>
                <w:sz w:val="16"/>
                <w:szCs w:val="16"/>
                <w:b w:val="1"/>
                <w:bCs w:val="1"/>
                <w:color w:val="FFFFFF"/>
              </w:rPr>
              <w:t>Items of Business</w:t>
            </w:r>
          </w:p>
        </w:tc>
        <w:tc>
          <w:tcPr>
            <w:tcW w:w="1820" w:type="dxa"/>
            <w:vAlign w:val="bottom"/>
            <w:shd w:val="clear" w:color="auto" w:fill="0066BA"/>
          </w:tcPr>
          <w:p>
            <w:pPr>
              <w:ind w:left="120"/>
              <w:spacing w:after="0"/>
              <w:rPr>
                <w:sz w:val="20"/>
                <w:szCs w:val="20"/>
                <w:color w:val="auto"/>
              </w:rPr>
            </w:pPr>
            <w:r>
              <w:rPr>
                <w:rFonts w:ascii="Arial" w:cs="Arial" w:eastAsia="Arial" w:hAnsi="Arial"/>
                <w:sz w:val="16"/>
                <w:szCs w:val="16"/>
                <w:b w:val="1"/>
                <w:bCs w:val="1"/>
                <w:color w:val="FFFFFF"/>
              </w:rPr>
              <w:t>Recommendation</w:t>
            </w:r>
          </w:p>
        </w:tc>
        <w:tc>
          <w:tcPr>
            <w:tcW w:w="1660" w:type="dxa"/>
            <w:vAlign w:val="bottom"/>
            <w:shd w:val="clear" w:color="auto" w:fill="0066BA"/>
          </w:tcPr>
          <w:p>
            <w:pPr>
              <w:ind w:left="360"/>
              <w:spacing w:after="0"/>
              <w:rPr>
                <w:sz w:val="20"/>
                <w:szCs w:val="20"/>
                <w:color w:val="auto"/>
              </w:rPr>
            </w:pPr>
            <w:r>
              <w:rPr>
                <w:rFonts w:ascii="Arial" w:cs="Arial" w:eastAsia="Arial" w:hAnsi="Arial"/>
                <w:sz w:val="16"/>
                <w:szCs w:val="16"/>
                <w:b w:val="1"/>
                <w:bCs w:val="1"/>
                <w:color w:val="FFFFFF"/>
              </w:rPr>
              <w:t>Find Details</w:t>
            </w:r>
          </w:p>
        </w:tc>
      </w:tr>
      <w:tr>
        <w:trPr>
          <w:trHeight w:val="54"/>
        </w:trPr>
        <w:tc>
          <w:tcPr>
            <w:tcW w:w="960" w:type="dxa"/>
            <w:vAlign w:val="bottom"/>
            <w:shd w:val="clear" w:color="auto" w:fill="0066BA"/>
          </w:tcPr>
          <w:p>
            <w:pPr>
              <w:spacing w:after="0"/>
              <w:rPr>
                <w:sz w:val="4"/>
                <w:szCs w:val="4"/>
                <w:color w:val="auto"/>
              </w:rPr>
            </w:pPr>
          </w:p>
        </w:tc>
        <w:tc>
          <w:tcPr>
            <w:tcW w:w="6780" w:type="dxa"/>
            <w:vAlign w:val="bottom"/>
            <w:shd w:val="clear" w:color="auto" w:fill="0066BA"/>
          </w:tcPr>
          <w:p>
            <w:pPr>
              <w:spacing w:after="0"/>
              <w:rPr>
                <w:sz w:val="4"/>
                <w:szCs w:val="4"/>
                <w:color w:val="auto"/>
              </w:rPr>
            </w:pPr>
          </w:p>
        </w:tc>
        <w:tc>
          <w:tcPr>
            <w:tcW w:w="1820" w:type="dxa"/>
            <w:vAlign w:val="bottom"/>
          </w:tcPr>
          <w:p>
            <w:pPr>
              <w:spacing w:after="0"/>
              <w:rPr>
                <w:sz w:val="4"/>
                <w:szCs w:val="4"/>
                <w:color w:val="auto"/>
              </w:rPr>
            </w:pPr>
          </w:p>
        </w:tc>
        <w:tc>
          <w:tcPr>
            <w:tcW w:w="1660" w:type="dxa"/>
            <w:vAlign w:val="bottom"/>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960" w:type="dxa"/>
            <w:vAlign w:val="bottom"/>
            <w:vMerge w:val="restart"/>
          </w:tcPr>
          <w:p>
            <w:pPr>
              <w:jc w:val="right"/>
              <w:ind w:right="312"/>
              <w:spacing w:after="0"/>
              <w:rPr>
                <w:sz w:val="20"/>
                <w:szCs w:val="20"/>
                <w:color w:val="auto"/>
              </w:rPr>
            </w:pPr>
            <w:r>
              <w:rPr>
                <w:rFonts w:ascii="Arial" w:cs="Arial" w:eastAsia="Arial" w:hAnsi="Arial"/>
                <w:sz w:val="22"/>
                <w:szCs w:val="22"/>
                <w:color w:val="auto"/>
              </w:rPr>
              <w:t>1</w:t>
            </w:r>
          </w:p>
        </w:tc>
        <w:tc>
          <w:tcPr>
            <w:tcW w:w="678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Election of 11 directors</w:t>
            </w:r>
          </w:p>
        </w:tc>
        <w:tc>
          <w:tcPr>
            <w:tcW w:w="2060" w:type="dxa"/>
            <w:vAlign w:val="bottom"/>
          </w:tcPr>
          <w:p>
            <w:pPr>
              <w:jc w:val="center"/>
              <w:spacing w:after="0"/>
              <w:rPr>
                <w:sz w:val="20"/>
                <w:szCs w:val="20"/>
                <w:color w:val="auto"/>
              </w:rPr>
            </w:pPr>
            <w:r>
              <w:rPr>
                <w:rFonts w:ascii="Arial" w:cs="Arial" w:eastAsia="Arial" w:hAnsi="Arial"/>
                <w:sz w:val="22"/>
                <w:szCs w:val="22"/>
                <w:color w:val="0067B3"/>
                <w:w w:val="98"/>
              </w:rPr>
              <w:t>FOR</w:t>
            </w:r>
          </w:p>
        </w:tc>
        <w:tc>
          <w:tcPr>
            <w:tcW w:w="1420" w:type="dxa"/>
            <w:vAlign w:val="bottom"/>
            <w:vMerge w:val="restart"/>
            <w:shd w:val="clear" w:color="auto" w:fill="E2E6F4"/>
          </w:tcPr>
          <w:p>
            <w:pPr>
              <w:jc w:val="right"/>
              <w:ind w:right="472"/>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780" w:type="dxa"/>
            <w:vAlign w:val="bottom"/>
            <w:vMerge w:val="continue"/>
            <w:shd w:val="clear" w:color="auto" w:fill="E2E6F4"/>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67B3"/>
                <w:w w:val="99"/>
              </w:rPr>
              <w:t>each director nominee</w:t>
            </w:r>
          </w:p>
        </w:tc>
        <w:tc>
          <w:tcPr>
            <w:tcW w:w="1420" w:type="dxa"/>
            <w:vAlign w:val="bottom"/>
            <w:vMerge w:val="continue"/>
            <w:shd w:val="clear" w:color="auto" w:fill="E2E6F4"/>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6780" w:type="dxa"/>
            <w:vAlign w:val="bottom"/>
            <w:shd w:val="clear" w:color="auto" w:fill="E2E6F4"/>
          </w:tcPr>
          <w:p>
            <w:pPr>
              <w:spacing w:after="0"/>
              <w:rPr>
                <w:sz w:val="10"/>
                <w:szCs w:val="10"/>
                <w:color w:val="auto"/>
              </w:rPr>
            </w:pPr>
          </w:p>
        </w:tc>
        <w:tc>
          <w:tcPr>
            <w:tcW w:w="2060" w:type="dxa"/>
            <w:vAlign w:val="bottom"/>
            <w:vMerge w:val="continue"/>
          </w:tcPr>
          <w:p>
            <w:pPr>
              <w:spacing w:after="0"/>
              <w:rPr>
                <w:sz w:val="10"/>
                <w:szCs w:val="10"/>
                <w:color w:val="auto"/>
              </w:rPr>
            </w:pPr>
          </w:p>
        </w:tc>
        <w:tc>
          <w:tcPr>
            <w:tcW w:w="1420" w:type="dxa"/>
            <w:vAlign w:val="bottom"/>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960" w:type="dxa"/>
            <w:vAlign w:val="bottom"/>
            <w:tcBorders>
              <w:bottom w:val="single" w:sz="8" w:color="0066BA"/>
            </w:tcBorders>
          </w:tcPr>
          <w:p>
            <w:pPr>
              <w:spacing w:after="0"/>
              <w:rPr>
                <w:sz w:val="9"/>
                <w:szCs w:val="9"/>
                <w:color w:val="auto"/>
              </w:rPr>
            </w:pPr>
          </w:p>
        </w:tc>
        <w:tc>
          <w:tcPr>
            <w:tcW w:w="6780" w:type="dxa"/>
            <w:vAlign w:val="bottom"/>
            <w:tcBorders>
              <w:bottom w:val="single" w:sz="8" w:color="0066BA"/>
            </w:tcBorders>
            <w:shd w:val="clear" w:color="auto" w:fill="E2E6F4"/>
          </w:tcPr>
          <w:p>
            <w:pPr>
              <w:spacing w:after="0"/>
              <w:rPr>
                <w:sz w:val="9"/>
                <w:szCs w:val="9"/>
                <w:color w:val="auto"/>
              </w:rPr>
            </w:pPr>
          </w:p>
        </w:tc>
        <w:tc>
          <w:tcPr>
            <w:tcW w:w="2060" w:type="dxa"/>
            <w:vAlign w:val="bottom"/>
            <w:tcBorders>
              <w:bottom w:val="single" w:sz="8" w:color="0066BA"/>
            </w:tcBorders>
          </w:tcPr>
          <w:p>
            <w:pPr>
              <w:spacing w:after="0"/>
              <w:rPr>
                <w:sz w:val="9"/>
                <w:szCs w:val="9"/>
                <w:color w:val="auto"/>
              </w:rPr>
            </w:pPr>
          </w:p>
        </w:tc>
        <w:tc>
          <w:tcPr>
            <w:tcW w:w="1420" w:type="dxa"/>
            <w:vAlign w:val="bottom"/>
            <w:tcBorders>
              <w:bottom w:val="single" w:sz="8" w:color="0066BA"/>
            </w:tcBorders>
            <w:shd w:val="clear" w:color="auto" w:fill="E2E6F4"/>
          </w:tcPr>
          <w:p>
            <w:pPr>
              <w:spacing w:after="0"/>
              <w:rPr>
                <w:sz w:val="9"/>
                <w:szCs w:val="9"/>
                <w:color w:val="auto"/>
              </w:rPr>
            </w:pPr>
          </w:p>
        </w:tc>
        <w:tc>
          <w:tcPr>
            <w:tcW w:w="0" w:type="dxa"/>
            <w:vAlign w:val="bottom"/>
          </w:tcPr>
          <w:p>
            <w:pPr>
              <w:spacing w:after="0"/>
              <w:rPr>
                <w:sz w:val="1"/>
                <w:szCs w:val="1"/>
                <w:color w:val="auto"/>
              </w:rPr>
            </w:pPr>
          </w:p>
        </w:tc>
      </w:tr>
      <w:tr>
        <w:trPr>
          <w:trHeight w:val="467"/>
        </w:trPr>
        <w:tc>
          <w:tcPr>
            <w:tcW w:w="960" w:type="dxa"/>
            <w:vAlign w:val="bottom"/>
          </w:tcPr>
          <w:p>
            <w:pPr>
              <w:jc w:val="right"/>
              <w:ind w:right="312"/>
              <w:spacing w:after="0"/>
              <w:rPr>
                <w:sz w:val="20"/>
                <w:szCs w:val="20"/>
                <w:color w:val="auto"/>
              </w:rPr>
            </w:pPr>
            <w:r>
              <w:rPr>
                <w:rFonts w:ascii="Arial" w:cs="Arial" w:eastAsia="Arial" w:hAnsi="Arial"/>
                <w:sz w:val="22"/>
                <w:szCs w:val="22"/>
                <w:color w:val="auto"/>
              </w:rPr>
              <w:t>2</w:t>
            </w:r>
          </w:p>
        </w:tc>
        <w:tc>
          <w:tcPr>
            <w:tcW w:w="67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Advisory approval of the compensation of our named executive officers</w:t>
            </w:r>
          </w:p>
        </w:tc>
        <w:tc>
          <w:tcPr>
            <w:tcW w:w="2060" w:type="dxa"/>
            <w:vAlign w:val="bottom"/>
          </w:tcPr>
          <w:p>
            <w:pPr>
              <w:jc w:val="center"/>
              <w:spacing w:after="0"/>
              <w:rPr>
                <w:sz w:val="20"/>
                <w:szCs w:val="20"/>
                <w:color w:val="auto"/>
              </w:rPr>
            </w:pPr>
            <w:r>
              <w:rPr>
                <w:rFonts w:ascii="Arial" w:cs="Arial" w:eastAsia="Arial" w:hAnsi="Arial"/>
                <w:sz w:val="22"/>
                <w:szCs w:val="22"/>
                <w:color w:val="0067B3"/>
                <w:w w:val="98"/>
              </w:rPr>
              <w:t>FOR</w:t>
            </w:r>
          </w:p>
        </w:tc>
        <w:tc>
          <w:tcPr>
            <w:tcW w:w="1420" w:type="dxa"/>
            <w:vAlign w:val="bottom"/>
            <w:shd w:val="clear" w:color="auto" w:fill="E2E6F4"/>
          </w:tcPr>
          <w:p>
            <w:pPr>
              <w:jc w:val="right"/>
              <w:ind w:right="472"/>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15"/>
        </w:trPr>
        <w:tc>
          <w:tcPr>
            <w:tcW w:w="960" w:type="dxa"/>
            <w:vAlign w:val="bottom"/>
            <w:tcBorders>
              <w:bottom w:val="single" w:sz="8" w:color="0067B3"/>
            </w:tcBorders>
          </w:tcPr>
          <w:p>
            <w:pPr>
              <w:spacing w:after="0"/>
              <w:rPr>
                <w:sz w:val="18"/>
                <w:szCs w:val="18"/>
                <w:color w:val="auto"/>
              </w:rPr>
            </w:pPr>
          </w:p>
        </w:tc>
        <w:tc>
          <w:tcPr>
            <w:tcW w:w="6780" w:type="dxa"/>
            <w:vAlign w:val="bottom"/>
            <w:tcBorders>
              <w:bottom w:val="single" w:sz="8" w:color="0067B3"/>
            </w:tcBorders>
            <w:shd w:val="clear" w:color="auto" w:fill="E2E6F4"/>
          </w:tcPr>
          <w:p>
            <w:pPr>
              <w:spacing w:after="0"/>
              <w:rPr>
                <w:sz w:val="18"/>
                <w:szCs w:val="18"/>
                <w:color w:val="auto"/>
              </w:rPr>
            </w:pPr>
          </w:p>
        </w:tc>
        <w:tc>
          <w:tcPr>
            <w:tcW w:w="2060" w:type="dxa"/>
            <w:vAlign w:val="bottom"/>
            <w:tcBorders>
              <w:bottom w:val="single" w:sz="8" w:color="0067B3"/>
            </w:tcBorders>
          </w:tcPr>
          <w:p>
            <w:pPr>
              <w:spacing w:after="0"/>
              <w:rPr>
                <w:sz w:val="18"/>
                <w:szCs w:val="18"/>
                <w:color w:val="auto"/>
              </w:rPr>
            </w:pPr>
          </w:p>
        </w:tc>
        <w:tc>
          <w:tcPr>
            <w:tcW w:w="1420" w:type="dxa"/>
            <w:vAlign w:val="bottom"/>
            <w:tcBorders>
              <w:bottom w:val="single" w:sz="8" w:color="0067B3"/>
            </w:tcBorders>
            <w:shd w:val="clear" w:color="auto" w:fill="E2E6F4"/>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960" w:type="dxa"/>
            <w:vAlign w:val="bottom"/>
            <w:vMerge w:val="restart"/>
          </w:tcPr>
          <w:p>
            <w:pPr>
              <w:jc w:val="right"/>
              <w:ind w:right="312"/>
              <w:spacing w:after="0"/>
              <w:rPr>
                <w:sz w:val="20"/>
                <w:szCs w:val="20"/>
                <w:color w:val="auto"/>
              </w:rPr>
            </w:pPr>
            <w:r>
              <w:rPr>
                <w:rFonts w:ascii="Arial" w:cs="Arial" w:eastAsia="Arial" w:hAnsi="Arial"/>
                <w:sz w:val="22"/>
                <w:szCs w:val="22"/>
                <w:color w:val="auto"/>
              </w:rPr>
              <w:t>3</w:t>
            </w:r>
          </w:p>
        </w:tc>
        <w:tc>
          <w:tcPr>
            <w:tcW w:w="67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Non-binding “say-on-frequency” vote regarding the frequency of future advisory</w:t>
            </w:r>
          </w:p>
        </w:tc>
        <w:tc>
          <w:tcPr>
            <w:tcW w:w="2060" w:type="dxa"/>
            <w:vAlign w:val="bottom"/>
            <w:vMerge w:val="restart"/>
          </w:tcPr>
          <w:p>
            <w:pPr>
              <w:jc w:val="center"/>
              <w:spacing w:after="0"/>
              <w:rPr>
                <w:sz w:val="20"/>
                <w:szCs w:val="20"/>
                <w:color w:val="auto"/>
              </w:rPr>
            </w:pPr>
            <w:r>
              <w:rPr>
                <w:rFonts w:ascii="Arial" w:cs="Arial" w:eastAsia="Arial" w:hAnsi="Arial"/>
                <w:sz w:val="22"/>
                <w:szCs w:val="22"/>
                <w:color w:val="0067B3"/>
                <w:w w:val="98"/>
              </w:rPr>
              <w:t>Every 1 YEAR</w:t>
            </w:r>
          </w:p>
        </w:tc>
        <w:tc>
          <w:tcPr>
            <w:tcW w:w="1420" w:type="dxa"/>
            <w:vAlign w:val="bottom"/>
            <w:vMerge w:val="restart"/>
            <w:shd w:val="clear" w:color="auto" w:fill="E2E6F4"/>
          </w:tcPr>
          <w:p>
            <w:pPr>
              <w:jc w:val="right"/>
              <w:ind w:right="472"/>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168"/>
        </w:trPr>
        <w:tc>
          <w:tcPr>
            <w:tcW w:w="960" w:type="dxa"/>
            <w:vAlign w:val="bottom"/>
            <w:vMerge w:val="continue"/>
          </w:tcPr>
          <w:p>
            <w:pPr>
              <w:spacing w:after="0"/>
              <w:rPr>
                <w:sz w:val="14"/>
                <w:szCs w:val="14"/>
                <w:color w:val="auto"/>
              </w:rPr>
            </w:pPr>
          </w:p>
        </w:tc>
        <w:tc>
          <w:tcPr>
            <w:tcW w:w="678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votes on the compensation of our named executive officers</w:t>
            </w:r>
          </w:p>
        </w:tc>
        <w:tc>
          <w:tcPr>
            <w:tcW w:w="2060" w:type="dxa"/>
            <w:vAlign w:val="bottom"/>
            <w:vMerge w:val="continue"/>
          </w:tcPr>
          <w:p>
            <w:pPr>
              <w:spacing w:after="0"/>
              <w:rPr>
                <w:sz w:val="14"/>
                <w:szCs w:val="14"/>
                <w:color w:val="auto"/>
              </w:rPr>
            </w:pPr>
          </w:p>
        </w:tc>
        <w:tc>
          <w:tcPr>
            <w:tcW w:w="1420" w:type="dxa"/>
            <w:vAlign w:val="bottom"/>
            <w:vMerge w:val="continue"/>
            <w:shd w:val="clear" w:color="auto" w:fill="E2E6F4"/>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6780" w:type="dxa"/>
            <w:vAlign w:val="bottom"/>
            <w:vMerge w:val="continue"/>
            <w:shd w:val="clear" w:color="auto" w:fill="E2E6F4"/>
          </w:tcPr>
          <w:p>
            <w:pPr>
              <w:spacing w:after="0"/>
              <w:rPr>
                <w:sz w:val="6"/>
                <w:szCs w:val="6"/>
                <w:color w:val="auto"/>
              </w:rPr>
            </w:pPr>
          </w:p>
        </w:tc>
        <w:tc>
          <w:tcPr>
            <w:tcW w:w="2060" w:type="dxa"/>
            <w:vAlign w:val="bottom"/>
          </w:tcPr>
          <w:p>
            <w:pPr>
              <w:spacing w:after="0"/>
              <w:rPr>
                <w:sz w:val="6"/>
                <w:szCs w:val="6"/>
                <w:color w:val="auto"/>
              </w:rPr>
            </w:pPr>
          </w:p>
        </w:tc>
        <w:tc>
          <w:tcPr>
            <w:tcW w:w="1420" w:type="dxa"/>
            <w:vAlign w:val="bottom"/>
            <w:shd w:val="clear" w:color="auto" w:fill="E2E6F4"/>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960" w:type="dxa"/>
            <w:vAlign w:val="bottom"/>
            <w:tcBorders>
              <w:bottom w:val="single" w:sz="8" w:color="0067B3"/>
            </w:tcBorders>
          </w:tcPr>
          <w:p>
            <w:pPr>
              <w:spacing w:after="0"/>
              <w:rPr>
                <w:sz w:val="19"/>
                <w:szCs w:val="19"/>
                <w:color w:val="auto"/>
              </w:rPr>
            </w:pPr>
          </w:p>
        </w:tc>
        <w:tc>
          <w:tcPr>
            <w:tcW w:w="6780" w:type="dxa"/>
            <w:vAlign w:val="bottom"/>
            <w:tcBorders>
              <w:bottom w:val="single" w:sz="8" w:color="0067B3"/>
            </w:tcBorders>
            <w:shd w:val="clear" w:color="auto" w:fill="E2E6F4"/>
          </w:tcPr>
          <w:p>
            <w:pPr>
              <w:spacing w:after="0"/>
              <w:rPr>
                <w:sz w:val="19"/>
                <w:szCs w:val="19"/>
                <w:color w:val="auto"/>
              </w:rPr>
            </w:pPr>
          </w:p>
        </w:tc>
        <w:tc>
          <w:tcPr>
            <w:tcW w:w="2060" w:type="dxa"/>
            <w:vAlign w:val="bottom"/>
            <w:tcBorders>
              <w:bottom w:val="single" w:sz="8" w:color="0067B3"/>
            </w:tcBorders>
          </w:tcPr>
          <w:p>
            <w:pPr>
              <w:spacing w:after="0"/>
              <w:rPr>
                <w:sz w:val="19"/>
                <w:szCs w:val="19"/>
                <w:color w:val="auto"/>
              </w:rPr>
            </w:pPr>
          </w:p>
        </w:tc>
        <w:tc>
          <w:tcPr>
            <w:tcW w:w="1420" w:type="dxa"/>
            <w:vAlign w:val="bottom"/>
            <w:tcBorders>
              <w:bottom w:val="single" w:sz="8" w:color="0067B3"/>
            </w:tcBorders>
            <w:shd w:val="clear" w:color="auto" w:fill="E2E6F4"/>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960" w:type="dxa"/>
            <w:vAlign w:val="bottom"/>
            <w:vMerge w:val="restart"/>
          </w:tcPr>
          <w:p>
            <w:pPr>
              <w:jc w:val="right"/>
              <w:ind w:right="312"/>
              <w:spacing w:after="0"/>
              <w:rPr>
                <w:sz w:val="20"/>
                <w:szCs w:val="20"/>
                <w:color w:val="auto"/>
              </w:rPr>
            </w:pPr>
            <w:r>
              <w:rPr>
                <w:rFonts w:ascii="Arial" w:cs="Arial" w:eastAsia="Arial" w:hAnsi="Arial"/>
                <w:sz w:val="22"/>
                <w:szCs w:val="22"/>
                <w:color w:val="auto"/>
              </w:rPr>
              <w:t>4</w:t>
            </w:r>
          </w:p>
        </w:tc>
        <w:tc>
          <w:tcPr>
            <w:tcW w:w="6780" w:type="dxa"/>
            <w:vAlign w:val="bottom"/>
            <w:shd w:val="clear" w:color="auto" w:fill="E2E6F4"/>
          </w:tcPr>
          <w:p>
            <w:pPr>
              <w:ind w:left="140"/>
              <w:spacing w:after="0"/>
              <w:rPr>
                <w:sz w:val="20"/>
                <w:szCs w:val="20"/>
                <w:color w:val="auto"/>
              </w:rPr>
            </w:pPr>
            <w:r>
              <w:rPr>
                <w:rFonts w:ascii="Arial" w:cs="Arial" w:eastAsia="Arial" w:hAnsi="Arial"/>
                <w:sz w:val="18"/>
                <w:szCs w:val="18"/>
                <w:color w:val="auto"/>
              </w:rPr>
              <w:t>Ratification of the selection of Ernst &amp; Young LLP as independent registered</w:t>
            </w:r>
          </w:p>
        </w:tc>
        <w:tc>
          <w:tcPr>
            <w:tcW w:w="2060" w:type="dxa"/>
            <w:vAlign w:val="bottom"/>
            <w:vMerge w:val="restart"/>
          </w:tcPr>
          <w:p>
            <w:pPr>
              <w:jc w:val="center"/>
              <w:spacing w:after="0"/>
              <w:rPr>
                <w:sz w:val="20"/>
                <w:szCs w:val="20"/>
                <w:color w:val="auto"/>
              </w:rPr>
            </w:pPr>
            <w:r>
              <w:rPr>
                <w:rFonts w:ascii="Arial" w:cs="Arial" w:eastAsia="Arial" w:hAnsi="Arial"/>
                <w:sz w:val="22"/>
                <w:szCs w:val="22"/>
                <w:color w:val="0067B3"/>
                <w:w w:val="98"/>
              </w:rPr>
              <w:t>FOR</w:t>
            </w:r>
          </w:p>
        </w:tc>
        <w:tc>
          <w:tcPr>
            <w:tcW w:w="1420" w:type="dxa"/>
            <w:vAlign w:val="bottom"/>
            <w:vMerge w:val="restart"/>
            <w:shd w:val="clear" w:color="auto" w:fill="E2E6F4"/>
          </w:tcPr>
          <w:p>
            <w:pPr>
              <w:jc w:val="right"/>
              <w:ind w:right="472"/>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168"/>
        </w:trPr>
        <w:tc>
          <w:tcPr>
            <w:tcW w:w="960" w:type="dxa"/>
            <w:vAlign w:val="bottom"/>
            <w:vMerge w:val="continue"/>
          </w:tcPr>
          <w:p>
            <w:pPr>
              <w:spacing w:after="0"/>
              <w:rPr>
                <w:sz w:val="14"/>
                <w:szCs w:val="14"/>
                <w:color w:val="auto"/>
              </w:rPr>
            </w:pPr>
          </w:p>
        </w:tc>
        <w:tc>
          <w:tcPr>
            <w:tcW w:w="6780" w:type="dxa"/>
            <w:vAlign w:val="bottom"/>
            <w:vMerge w:val="restart"/>
            <w:shd w:val="clear" w:color="auto" w:fill="E2E6F4"/>
          </w:tcPr>
          <w:p>
            <w:pPr>
              <w:ind w:left="140"/>
              <w:spacing w:after="0"/>
              <w:rPr>
                <w:sz w:val="20"/>
                <w:szCs w:val="20"/>
                <w:color w:val="auto"/>
              </w:rPr>
            </w:pPr>
            <w:r>
              <w:rPr>
                <w:rFonts w:ascii="Arial" w:cs="Arial" w:eastAsia="Arial" w:hAnsi="Arial"/>
                <w:sz w:val="18"/>
                <w:szCs w:val="18"/>
                <w:color w:val="auto"/>
              </w:rPr>
              <w:t>public accounting firm for ADI’s fiscal year ending October 28, 2023</w:t>
            </w:r>
          </w:p>
        </w:tc>
        <w:tc>
          <w:tcPr>
            <w:tcW w:w="2060" w:type="dxa"/>
            <w:vAlign w:val="bottom"/>
            <w:vMerge w:val="continue"/>
          </w:tcPr>
          <w:p>
            <w:pPr>
              <w:spacing w:after="0"/>
              <w:rPr>
                <w:sz w:val="14"/>
                <w:szCs w:val="14"/>
                <w:color w:val="auto"/>
              </w:rPr>
            </w:pPr>
          </w:p>
        </w:tc>
        <w:tc>
          <w:tcPr>
            <w:tcW w:w="1420" w:type="dxa"/>
            <w:vAlign w:val="bottom"/>
            <w:vMerge w:val="continue"/>
            <w:shd w:val="clear" w:color="auto" w:fill="E2E6F4"/>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6780" w:type="dxa"/>
            <w:vAlign w:val="bottom"/>
            <w:vMerge w:val="continue"/>
            <w:shd w:val="clear" w:color="auto" w:fill="E2E6F4"/>
          </w:tcPr>
          <w:p>
            <w:pPr>
              <w:spacing w:after="0"/>
              <w:rPr>
                <w:sz w:val="6"/>
                <w:szCs w:val="6"/>
                <w:color w:val="auto"/>
              </w:rPr>
            </w:pPr>
          </w:p>
        </w:tc>
        <w:tc>
          <w:tcPr>
            <w:tcW w:w="2060" w:type="dxa"/>
            <w:vAlign w:val="bottom"/>
          </w:tcPr>
          <w:p>
            <w:pPr>
              <w:spacing w:after="0"/>
              <w:rPr>
                <w:sz w:val="6"/>
                <w:szCs w:val="6"/>
                <w:color w:val="auto"/>
              </w:rPr>
            </w:pPr>
          </w:p>
        </w:tc>
        <w:tc>
          <w:tcPr>
            <w:tcW w:w="1420" w:type="dxa"/>
            <w:vAlign w:val="bottom"/>
            <w:shd w:val="clear" w:color="auto" w:fill="E2E6F4"/>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960" w:type="dxa"/>
            <w:vAlign w:val="bottom"/>
          </w:tcPr>
          <w:p>
            <w:pPr>
              <w:spacing w:after="0"/>
              <w:rPr>
                <w:sz w:val="19"/>
                <w:szCs w:val="19"/>
                <w:color w:val="auto"/>
              </w:rPr>
            </w:pPr>
          </w:p>
        </w:tc>
        <w:tc>
          <w:tcPr>
            <w:tcW w:w="6780" w:type="dxa"/>
            <w:vAlign w:val="bottom"/>
            <w:shd w:val="clear" w:color="auto" w:fill="E2E6F4"/>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shd w:val="clear" w:color="auto" w:fill="E2E6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3214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41"/>
          <w:szCs w:val="41"/>
          <w:b w:val="1"/>
          <w:bCs w:val="1"/>
          <w:color w:val="0067B3"/>
        </w:rPr>
        <w:t>What’s New</w:t>
      </w:r>
    </w:p>
    <w:p>
      <w:pPr>
        <w:spacing w:after="0" w:line="156" w:lineRule="exact"/>
        <w:rPr>
          <w:sz w:val="20"/>
          <w:szCs w:val="20"/>
          <w:color w:val="auto"/>
        </w:rPr>
      </w:pPr>
    </w:p>
    <w:p>
      <w:pPr>
        <w:jc w:val="both"/>
        <w:ind w:left="160" w:right="380"/>
        <w:spacing w:after="0" w:line="262" w:lineRule="auto"/>
        <w:rPr>
          <w:sz w:val="20"/>
          <w:szCs w:val="20"/>
          <w:color w:val="auto"/>
        </w:rPr>
      </w:pPr>
      <w:r>
        <w:rPr>
          <w:rFonts w:ascii="Arial" w:cs="Arial" w:eastAsia="Arial" w:hAnsi="Arial"/>
          <w:sz w:val="18"/>
          <w:szCs w:val="18"/>
          <w:color w:val="auto"/>
        </w:rPr>
        <w:t>We continually review our corporate strategy and governance practices to ensure that ADI is in a position to consistently deliver on our commitment to sustaining a culture of innovation, collaboration, solid performance, and fiduciary responsibility. We believe providing a broader understanding of our perspectives on these items will be beneficial to you as you consider this year’s voting matters. Updated items for fiscal year 2022 include:</w:t>
      </w:r>
    </w:p>
    <w:p>
      <w:pPr>
        <w:spacing w:after="0" w:line="68" w:lineRule="exact"/>
        <w:rPr>
          <w:sz w:val="20"/>
          <w:szCs w:val="20"/>
          <w:color w:val="auto"/>
        </w:rPr>
      </w:pPr>
    </w:p>
    <w:p>
      <w:pPr>
        <w:ind w:left="360" w:right="20" w:hanging="191"/>
        <w:spacing w:after="0" w:line="287" w:lineRule="auto"/>
        <w:tabs>
          <w:tab w:leader="none" w:pos="323"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Appointed Vincent Roche, our CEO, as Chair to lead ADI’s ongoing transformation, with James Champy continuing to serve as Presiding Director</w:t>
      </w:r>
    </w:p>
    <w:p>
      <w:pPr>
        <w:spacing w:after="0" w:line="17" w:lineRule="exact"/>
        <w:rPr>
          <w:rFonts w:ascii="Arial" w:cs="Arial" w:eastAsia="Arial" w:hAnsi="Arial"/>
          <w:sz w:val="18"/>
          <w:szCs w:val="18"/>
          <w:color w:val="0067B3"/>
        </w:rPr>
      </w:pPr>
    </w:p>
    <w:p>
      <w:pPr>
        <w:ind w:left="360" w:right="120" w:hanging="191"/>
        <w:spacing w:after="0" w:line="287" w:lineRule="auto"/>
        <w:tabs>
          <w:tab w:leader="none" w:pos="323"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Continued to focus on active board refreshment by welcoming André Andonian, who brings significant industry, strategic and leadership experience to our Board of Directors</w:t>
      </w:r>
    </w:p>
    <w:p>
      <w:pPr>
        <w:spacing w:after="0" w:line="4" w:lineRule="exact"/>
        <w:rPr>
          <w:rFonts w:ascii="Arial" w:cs="Arial" w:eastAsia="Arial" w:hAnsi="Arial"/>
          <w:sz w:val="18"/>
          <w:szCs w:val="18"/>
          <w:color w:val="0067B3"/>
        </w:rPr>
      </w:pPr>
    </w:p>
    <w:p>
      <w:pPr>
        <w:ind w:left="320" w:hanging="151"/>
        <w:spacing w:after="0"/>
        <w:tabs>
          <w:tab w:leader="none" w:pos="320"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Expanded the role of the Compensation and Talent Committee to oversee human capital and diversity initiatives</w:t>
      </w:r>
    </w:p>
    <w:p>
      <w:pPr>
        <w:spacing w:after="0" w:line="76" w:lineRule="exact"/>
        <w:rPr>
          <w:rFonts w:ascii="Arial" w:cs="Arial" w:eastAsia="Arial" w:hAnsi="Arial"/>
          <w:sz w:val="18"/>
          <w:szCs w:val="18"/>
          <w:color w:val="0067B3"/>
        </w:rPr>
      </w:pPr>
    </w:p>
    <w:p>
      <w:pPr>
        <w:ind w:left="320" w:hanging="151"/>
        <w:spacing w:after="0"/>
        <w:tabs>
          <w:tab w:leader="none" w:pos="320"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Engaged with shareholders representing nearly 30% of total shares outstanding, with a focus on ESG and compensation practices</w:t>
      </w:r>
    </w:p>
    <w:p>
      <w:pPr>
        <w:spacing w:after="0" w:line="90" w:lineRule="exact"/>
        <w:rPr>
          <w:rFonts w:ascii="Arial" w:cs="Arial" w:eastAsia="Arial" w:hAnsi="Arial"/>
          <w:sz w:val="18"/>
          <w:szCs w:val="18"/>
          <w:color w:val="0067B3"/>
        </w:rPr>
      </w:pPr>
    </w:p>
    <w:p>
      <w:pPr>
        <w:ind w:left="360" w:right="360" w:hanging="191"/>
        <w:spacing w:after="0" w:line="287" w:lineRule="auto"/>
        <w:tabs>
          <w:tab w:leader="none" w:pos="323"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Formed a management-led cross-functional steering committee chaired by our Chief Information Security Officer that is charged with security governance, coordination and monitoring of cyber risks, potential cyber incidents and key mitigation initiatives</w:t>
      </w:r>
    </w:p>
    <w:p>
      <w:pPr>
        <w:spacing w:after="0" w:line="4" w:lineRule="exact"/>
        <w:rPr>
          <w:rFonts w:ascii="Arial" w:cs="Arial" w:eastAsia="Arial" w:hAnsi="Arial"/>
          <w:sz w:val="18"/>
          <w:szCs w:val="18"/>
          <w:color w:val="0067B3"/>
        </w:rPr>
      </w:pPr>
    </w:p>
    <w:p>
      <w:pPr>
        <w:ind w:left="320" w:hanging="151"/>
        <w:spacing w:after="0"/>
        <w:tabs>
          <w:tab w:leader="none" w:pos="320"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Chief Information Officer began providing quarterly cyber and IT reports to the Audit Committee</w:t>
      </w:r>
    </w:p>
    <w:p>
      <w:pPr>
        <w:spacing w:after="0" w:line="76" w:lineRule="exact"/>
        <w:rPr>
          <w:rFonts w:ascii="Arial" w:cs="Arial" w:eastAsia="Arial" w:hAnsi="Arial"/>
          <w:sz w:val="18"/>
          <w:szCs w:val="18"/>
          <w:color w:val="0067B3"/>
        </w:rPr>
      </w:pPr>
    </w:p>
    <w:p>
      <w:pPr>
        <w:ind w:left="360" w:right="200" w:hanging="191"/>
        <w:spacing w:after="0" w:line="287" w:lineRule="auto"/>
        <w:tabs>
          <w:tab w:leader="none" w:pos="323" w:val="left"/>
        </w:tabs>
        <w:numPr>
          <w:ilvl w:val="0"/>
          <w:numId w:val="19"/>
        </w:numPr>
        <w:rPr>
          <w:rFonts w:ascii="Arial" w:cs="Arial" w:eastAsia="Arial" w:hAnsi="Arial"/>
          <w:sz w:val="18"/>
          <w:szCs w:val="18"/>
          <w:color w:val="0067B3"/>
        </w:rPr>
      </w:pPr>
      <w:r>
        <w:rPr>
          <w:rFonts w:ascii="Arial" w:cs="Arial" w:eastAsia="Arial" w:hAnsi="Arial"/>
          <w:sz w:val="18"/>
          <w:szCs w:val="18"/>
          <w:color w:val="auto"/>
        </w:rPr>
        <w:t>Enhanced our global data privacy and compliance programs, including updating policies and procedures, publishing values, expanding data privacy trainings for employees, and centralizing privacy inquiries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160" w:type="dxa"/>
        <w:tblCellMar>
          <w:top w:w="0" w:type="dxa"/>
          <w:left w:w="0" w:type="dxa"/>
          <w:bottom w:w="0" w:type="dxa"/>
          <w:right w:w="0" w:type="dxa"/>
        </w:tblCellMar>
      </w:tblPr>
      <w:tr>
        <w:trPr>
          <w:trHeight w:val="273"/>
        </w:trPr>
        <w:tc>
          <w:tcPr>
            <w:tcW w:w="1780" w:type="dxa"/>
            <w:vAlign w:val="bottom"/>
          </w:tcPr>
          <w:p>
            <w:pPr>
              <w:spacing w:after="0"/>
              <w:rPr>
                <w:sz w:val="20"/>
                <w:szCs w:val="20"/>
                <w:color w:val="auto"/>
              </w:rPr>
            </w:pPr>
            <w:r>
              <w:rPr>
                <w:rFonts w:ascii="Arial" w:cs="Arial" w:eastAsia="Arial" w:hAnsi="Arial"/>
                <w:sz w:val="16"/>
                <w:szCs w:val="16"/>
                <w:color w:val="0067B3"/>
              </w:rPr>
              <w:t>2023 Proxy Statement</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bl>
    <w:p>
      <w:pPr>
        <w:sectPr>
          <w:pgSz w:w="11900" w:h="16838" w:orient="portrait"/>
          <w:cols w:equalWidth="0" w:num="1">
            <w:col w:w="11220"/>
          </w:cols>
          <w:pgMar w:left="320" w:top="1126" w:right="359" w:bottom="1440" w:gutter="0" w:footer="0" w:header="0"/>
        </w:sectPr>
      </w:pPr>
    </w:p>
    <w:bookmarkStart w:id="15" w:name="page16"/>
    <w:bookmarkEnd w:id="1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028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Election of 11 Directors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each director nominee.</w:t>
            </w:r>
          </w:p>
        </w:tc>
        <w:tc>
          <w:tcPr>
            <w:tcW w:w="16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See page 17</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41"/>
          <w:szCs w:val="41"/>
          <w:b w:val="1"/>
          <w:bCs w:val="1"/>
          <w:color w:val="0067B3"/>
        </w:rPr>
        <w:t>Our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Nominees</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ADI’s Board is composed of a diverse, experienced group of global thought, business, and academic leaders. On January 17, 2023, each of Messrs. Doluca and Evans informed our Board of Directors of their intent to retire from our Board of Directors and not stand for re-election. Consequently, each of Messrs. Doluca and Evans term as a director will expire at the Annual Meeting on March 8, 2023. Our Nominating and Corporate Governance Committee has recommended, and our Board of Directors has determined, to nominate all other members of our Board of Directors for re-election at the Annual Meeting. If the current nominees are elected, we will have eleven members serving on our Board of Directors and the size of our Board of Directors will decrease to eleven members at such time.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240" w:type="dxa"/>
            <w:vAlign w:val="bottom"/>
          </w:tcPr>
          <w:p>
            <w:pPr>
              <w:ind w:left="1800"/>
              <w:spacing w:after="0"/>
              <w:rPr>
                <w:sz w:val="20"/>
                <w:szCs w:val="20"/>
                <w:color w:val="auto"/>
              </w:rPr>
            </w:pPr>
            <w:r>
              <w:rPr>
                <w:rFonts w:ascii="Arial" w:cs="Arial" w:eastAsia="Arial" w:hAnsi="Arial"/>
                <w:sz w:val="15"/>
                <w:szCs w:val="15"/>
                <w:b w:val="1"/>
                <w:bCs w:val="1"/>
                <w:color w:val="0067B3"/>
              </w:rPr>
              <w:t>VINCENT ROCHE, 62</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0067B3"/>
              </w:rPr>
              <w:t>KAREN M. GOLZ, 68</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2013</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Principal Occupation:</w:t>
            </w:r>
          </w:p>
        </w:tc>
        <w:tc>
          <w:tcPr>
            <w:tcW w:w="0" w:type="dxa"/>
            <w:vAlign w:val="bottom"/>
          </w:tcPr>
          <w:p>
            <w:pPr>
              <w:spacing w:after="0"/>
              <w:rPr>
                <w:sz w:val="1"/>
                <w:szCs w:val="1"/>
                <w:color w:val="auto"/>
              </w:rPr>
            </w:pPr>
          </w:p>
        </w:tc>
      </w:tr>
      <w:tr>
        <w:trPr>
          <w:trHeight w:val="197"/>
        </w:trPr>
        <w:tc>
          <w:tcPr>
            <w:tcW w:w="4240" w:type="dxa"/>
            <w:vAlign w:val="bottom"/>
          </w:tcPr>
          <w:p>
            <w:pPr>
              <w:ind w:left="1800"/>
              <w:spacing w:after="0"/>
              <w:rPr>
                <w:sz w:val="20"/>
                <w:szCs w:val="20"/>
                <w:color w:val="auto"/>
              </w:rPr>
            </w:pPr>
            <w:r>
              <w:rPr>
                <w:rFonts w:ascii="Arial" w:cs="Arial" w:eastAsia="Arial" w:hAnsi="Arial"/>
                <w:sz w:val="15"/>
                <w:szCs w:val="15"/>
                <w:color w:val="auto"/>
              </w:rPr>
              <w:t>Chief Executive Officer and</w:t>
            </w:r>
          </w:p>
        </w:tc>
        <w:tc>
          <w:tcPr>
            <w:tcW w:w="3400" w:type="dxa"/>
            <w:vAlign w:val="bottom"/>
          </w:tcPr>
          <w:p>
            <w:pPr>
              <w:spacing w:after="0"/>
              <w:rPr>
                <w:sz w:val="17"/>
                <w:szCs w:val="17"/>
                <w:color w:val="auto"/>
              </w:rPr>
            </w:pPr>
          </w:p>
        </w:tc>
        <w:tc>
          <w:tcPr>
            <w:tcW w:w="3620" w:type="dxa"/>
            <w:vAlign w:val="bottom"/>
          </w:tcPr>
          <w:p>
            <w:pPr>
              <w:ind w:left="60"/>
              <w:spacing w:after="0"/>
              <w:rPr>
                <w:sz w:val="20"/>
                <w:szCs w:val="20"/>
                <w:color w:val="auto"/>
              </w:rPr>
            </w:pPr>
            <w:r>
              <w:rPr>
                <w:rFonts w:ascii="Arial" w:cs="Arial" w:eastAsia="Arial" w:hAnsi="Arial"/>
                <w:sz w:val="15"/>
                <w:szCs w:val="15"/>
                <w:color w:val="auto"/>
              </w:rPr>
              <w:t>Former Global Vice Chair of Ernst &amp; Young</w:t>
            </w:r>
          </w:p>
        </w:tc>
        <w:tc>
          <w:tcPr>
            <w:tcW w:w="0" w:type="dxa"/>
            <w:vAlign w:val="bottom"/>
          </w:tcPr>
          <w:p>
            <w:pPr>
              <w:spacing w:after="0"/>
              <w:rPr>
                <w:sz w:val="1"/>
                <w:szCs w:val="1"/>
                <w:color w:val="auto"/>
              </w:rPr>
            </w:pPr>
          </w:p>
        </w:tc>
      </w:tr>
      <w:tr>
        <w:trPr>
          <w:trHeight w:val="193"/>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Chair of the Board of Directors of Analog</w:t>
            </w: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Other Public Company Board(s):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0"/>
        </w:trPr>
        <w:tc>
          <w:tcPr>
            <w:tcW w:w="4240" w:type="dxa"/>
            <w:vAlign w:val="bottom"/>
          </w:tcPr>
          <w:p>
            <w:pPr>
              <w:ind w:left="1800"/>
              <w:spacing w:after="0" w:line="169" w:lineRule="exact"/>
              <w:rPr>
                <w:sz w:val="20"/>
                <w:szCs w:val="20"/>
                <w:color w:val="auto"/>
              </w:rPr>
            </w:pPr>
            <w:r>
              <w:rPr>
                <w:rFonts w:ascii="Arial" w:cs="Arial" w:eastAsia="Arial" w:hAnsi="Arial"/>
                <w:sz w:val="15"/>
                <w:szCs w:val="15"/>
                <w:color w:val="auto"/>
              </w:rPr>
              <w:t>Devices, Inc.</w:t>
            </w:r>
          </w:p>
        </w:tc>
        <w:tc>
          <w:tcPr>
            <w:tcW w:w="3400" w:type="dxa"/>
            <w:vAlign w:val="bottom"/>
          </w:tcPr>
          <w:p>
            <w:pPr>
              <w:spacing w:after="0"/>
              <w:rPr>
                <w:sz w:val="14"/>
                <w:szCs w:val="14"/>
                <w:color w:val="auto"/>
              </w:rPr>
            </w:pPr>
          </w:p>
        </w:tc>
        <w:tc>
          <w:tcPr>
            <w:tcW w:w="36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AC (Chair)</w:t>
            </w:r>
          </w:p>
        </w:tc>
        <w:tc>
          <w:tcPr>
            <w:tcW w:w="0" w:type="dxa"/>
            <w:vAlign w:val="bottom"/>
          </w:tcPr>
          <w:p>
            <w:pPr>
              <w:spacing w:after="0"/>
              <w:rPr>
                <w:sz w:val="1"/>
                <w:szCs w:val="1"/>
                <w:color w:val="auto"/>
              </w:rPr>
            </w:pPr>
          </w:p>
        </w:tc>
      </w:tr>
      <w:tr>
        <w:trPr>
          <w:trHeight w:val="102"/>
        </w:trPr>
        <w:tc>
          <w:tcPr>
            <w:tcW w:w="7640" w:type="dxa"/>
            <w:vAlign w:val="bottom"/>
            <w:gridSpan w:val="2"/>
            <w:vMerge w:val="restart"/>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CDC (Chair)</w:t>
            </w: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40" w:type="dxa"/>
            <w:vAlign w:val="bottom"/>
            <w:gridSpan w:val="2"/>
            <w:vMerge w:val="continue"/>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4240" w:type="dxa"/>
            <w:vAlign w:val="bottom"/>
          </w:tcPr>
          <w:p>
            <w:pPr>
              <w:ind w:left="1800"/>
              <w:spacing w:after="0"/>
              <w:rPr>
                <w:sz w:val="20"/>
                <w:szCs w:val="20"/>
                <w:color w:val="auto"/>
              </w:rPr>
            </w:pPr>
            <w:r>
              <w:rPr>
                <w:rFonts w:ascii="Arial" w:cs="Arial" w:eastAsia="Arial" w:hAnsi="Arial"/>
                <w:sz w:val="15"/>
                <w:szCs w:val="15"/>
                <w:b w:val="1"/>
                <w:bCs w:val="1"/>
                <w:color w:val="0067B3"/>
              </w:rPr>
              <w:t>JAMES A. CHAMPY, 80</w:t>
            </w:r>
          </w:p>
        </w:tc>
        <w:tc>
          <w:tcPr>
            <w:tcW w:w="340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0067B3"/>
              </w:rPr>
              <w:t>MERCEDES JOHNSON, 68</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2003</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Principal Occupation:</w:t>
            </w:r>
          </w:p>
        </w:tc>
        <w:tc>
          <w:tcPr>
            <w:tcW w:w="0" w:type="dxa"/>
            <w:vAlign w:val="bottom"/>
          </w:tcPr>
          <w:p>
            <w:pPr>
              <w:spacing w:after="0"/>
              <w:rPr>
                <w:sz w:val="1"/>
                <w:szCs w:val="1"/>
                <w:color w:val="auto"/>
              </w:rPr>
            </w:pPr>
          </w:p>
        </w:tc>
      </w:tr>
      <w:tr>
        <w:trPr>
          <w:trHeight w:val="197"/>
        </w:trPr>
        <w:tc>
          <w:tcPr>
            <w:tcW w:w="4240" w:type="dxa"/>
            <w:vAlign w:val="bottom"/>
          </w:tcPr>
          <w:p>
            <w:pPr>
              <w:ind w:left="1800"/>
              <w:spacing w:after="0"/>
              <w:rPr>
                <w:sz w:val="20"/>
                <w:szCs w:val="20"/>
                <w:color w:val="auto"/>
              </w:rPr>
            </w:pPr>
            <w:r>
              <w:rPr>
                <w:rFonts w:ascii="Arial" w:cs="Arial" w:eastAsia="Arial" w:hAnsi="Arial"/>
                <w:sz w:val="15"/>
                <w:szCs w:val="15"/>
                <w:color w:val="auto"/>
              </w:rPr>
              <w:t>Former Vice President of the Dell/</w:t>
            </w:r>
          </w:p>
        </w:tc>
        <w:tc>
          <w:tcPr>
            <w:tcW w:w="3400" w:type="dxa"/>
            <w:vAlign w:val="bottom"/>
          </w:tcPr>
          <w:p>
            <w:pPr>
              <w:spacing w:after="0"/>
              <w:rPr>
                <w:sz w:val="17"/>
                <w:szCs w:val="17"/>
                <w:color w:val="auto"/>
              </w:rPr>
            </w:pPr>
          </w:p>
        </w:tc>
        <w:tc>
          <w:tcPr>
            <w:tcW w:w="3620" w:type="dxa"/>
            <w:vAlign w:val="bottom"/>
          </w:tcPr>
          <w:p>
            <w:pPr>
              <w:ind w:left="60"/>
              <w:spacing w:after="0"/>
              <w:rPr>
                <w:sz w:val="20"/>
                <w:szCs w:val="20"/>
                <w:color w:val="auto"/>
              </w:rPr>
            </w:pPr>
            <w:r>
              <w:rPr>
                <w:rFonts w:ascii="Arial" w:cs="Arial" w:eastAsia="Arial" w:hAnsi="Arial"/>
                <w:sz w:val="15"/>
                <w:szCs w:val="15"/>
                <w:color w:val="auto"/>
              </w:rPr>
              <w:t>Former Chief Financial Officer of Avago</w:t>
            </w:r>
          </w:p>
        </w:tc>
        <w:tc>
          <w:tcPr>
            <w:tcW w:w="0" w:type="dxa"/>
            <w:vAlign w:val="bottom"/>
          </w:tcPr>
          <w:p>
            <w:pPr>
              <w:spacing w:after="0"/>
              <w:rPr>
                <w:sz w:val="1"/>
                <w:szCs w:val="1"/>
                <w:color w:val="auto"/>
              </w:rPr>
            </w:pPr>
          </w:p>
        </w:tc>
      </w:tr>
      <w:tr>
        <w:trPr>
          <w:trHeight w:val="200"/>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Perot Systems business unit of Dell, Inc.</w:t>
            </w:r>
          </w:p>
        </w:tc>
        <w:tc>
          <w:tcPr>
            <w:tcW w:w="3620" w:type="dxa"/>
            <w:vAlign w:val="bottom"/>
          </w:tcPr>
          <w:p>
            <w:pPr>
              <w:ind w:left="60"/>
              <w:spacing w:after="0"/>
              <w:rPr>
                <w:sz w:val="20"/>
                <w:szCs w:val="20"/>
                <w:color w:val="auto"/>
              </w:rPr>
            </w:pPr>
            <w:r>
              <w:rPr>
                <w:rFonts w:ascii="Arial" w:cs="Arial" w:eastAsia="Arial" w:hAnsi="Arial"/>
                <w:sz w:val="15"/>
                <w:szCs w:val="15"/>
                <w:color w:val="auto"/>
              </w:rPr>
              <w:t>Technologies (now Broadcom Inc.)</w:t>
            </w:r>
          </w:p>
        </w:tc>
        <w:tc>
          <w:tcPr>
            <w:tcW w:w="0" w:type="dxa"/>
            <w:vAlign w:val="bottom"/>
          </w:tcPr>
          <w:p>
            <w:pPr>
              <w:spacing w:after="0"/>
              <w:rPr>
                <w:sz w:val="1"/>
                <w:szCs w:val="1"/>
                <w:color w:val="auto"/>
              </w:rPr>
            </w:pPr>
          </w:p>
        </w:tc>
      </w:tr>
      <w:tr>
        <w:trPr>
          <w:trHeight w:val="224"/>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 (Chair)</w:t>
            </w: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Other Public Company Board(s):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AC</w:t>
            </w:r>
          </w:p>
        </w:tc>
        <w:tc>
          <w:tcPr>
            <w:tcW w:w="0" w:type="dxa"/>
            <w:vAlign w:val="bottom"/>
          </w:tcPr>
          <w:p>
            <w:pPr>
              <w:spacing w:after="0"/>
              <w:rPr>
                <w:sz w:val="1"/>
                <w:szCs w:val="1"/>
                <w:color w:val="auto"/>
              </w:rPr>
            </w:pPr>
          </w:p>
        </w:tc>
      </w:tr>
      <w:tr>
        <w:trPr>
          <w:trHeight w:val="391"/>
        </w:trPr>
        <w:tc>
          <w:tcPr>
            <w:tcW w:w="4240" w:type="dxa"/>
            <w:vAlign w:val="bottom"/>
          </w:tcPr>
          <w:p>
            <w:pPr>
              <w:ind w:left="1800"/>
              <w:spacing w:after="0"/>
              <w:rPr>
                <w:sz w:val="20"/>
                <w:szCs w:val="20"/>
                <w:color w:val="auto"/>
              </w:rPr>
            </w:pPr>
            <w:r>
              <w:rPr>
                <w:rFonts w:ascii="Arial" w:cs="Arial" w:eastAsia="Arial" w:hAnsi="Arial"/>
                <w:sz w:val="15"/>
                <w:szCs w:val="15"/>
                <w:b w:val="1"/>
                <w:bCs w:val="1"/>
                <w:color w:val="0067B3"/>
              </w:rPr>
              <w:t>ANDRÉ ANDONIAN, 60</w:t>
            </w:r>
          </w:p>
        </w:tc>
        <w:tc>
          <w:tcPr>
            <w:tcW w:w="340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0067B3"/>
              </w:rPr>
              <w:t>KENTON J. SICCHITANO, 78</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2022</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2003</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Principal Occupation:</w:t>
            </w:r>
          </w:p>
        </w:tc>
        <w:tc>
          <w:tcPr>
            <w:tcW w:w="0" w:type="dxa"/>
            <w:vAlign w:val="bottom"/>
          </w:tcPr>
          <w:p>
            <w:pPr>
              <w:spacing w:after="0"/>
              <w:rPr>
                <w:sz w:val="1"/>
                <w:szCs w:val="1"/>
                <w:color w:val="auto"/>
              </w:rPr>
            </w:pPr>
          </w:p>
        </w:tc>
      </w:tr>
      <w:tr>
        <w:trPr>
          <w:trHeight w:val="197"/>
        </w:trPr>
        <w:tc>
          <w:tcPr>
            <w:tcW w:w="4240" w:type="dxa"/>
            <w:vAlign w:val="bottom"/>
          </w:tcPr>
          <w:p>
            <w:pPr>
              <w:ind w:left="1800"/>
              <w:spacing w:after="0"/>
              <w:rPr>
                <w:sz w:val="20"/>
                <w:szCs w:val="20"/>
                <w:color w:val="auto"/>
              </w:rPr>
            </w:pPr>
            <w:r>
              <w:rPr>
                <w:rFonts w:ascii="Arial" w:cs="Arial" w:eastAsia="Arial" w:hAnsi="Arial"/>
                <w:sz w:val="15"/>
                <w:szCs w:val="15"/>
                <w:color w:val="auto"/>
              </w:rPr>
              <w:t>Chief Executive Officer of Andonian</w:t>
            </w:r>
          </w:p>
        </w:tc>
        <w:tc>
          <w:tcPr>
            <w:tcW w:w="3400" w:type="dxa"/>
            <w:vAlign w:val="bottom"/>
          </w:tcPr>
          <w:p>
            <w:pPr>
              <w:spacing w:after="0"/>
              <w:rPr>
                <w:sz w:val="17"/>
                <w:szCs w:val="17"/>
                <w:color w:val="auto"/>
              </w:rPr>
            </w:pPr>
          </w:p>
        </w:tc>
        <w:tc>
          <w:tcPr>
            <w:tcW w:w="3620" w:type="dxa"/>
            <w:vAlign w:val="bottom"/>
          </w:tcPr>
          <w:p>
            <w:pPr>
              <w:ind w:left="60"/>
              <w:spacing w:after="0"/>
              <w:rPr>
                <w:sz w:val="20"/>
                <w:szCs w:val="20"/>
                <w:color w:val="auto"/>
              </w:rPr>
            </w:pPr>
            <w:r>
              <w:rPr>
                <w:rFonts w:ascii="Arial" w:cs="Arial" w:eastAsia="Arial" w:hAnsi="Arial"/>
                <w:sz w:val="15"/>
                <w:szCs w:val="15"/>
                <w:color w:val="auto"/>
              </w:rPr>
              <w:t>Former Global Managing Partner of</w:t>
            </w:r>
          </w:p>
        </w:tc>
        <w:tc>
          <w:tcPr>
            <w:tcW w:w="0" w:type="dxa"/>
            <w:vAlign w:val="bottom"/>
          </w:tcPr>
          <w:p>
            <w:pPr>
              <w:spacing w:after="0"/>
              <w:rPr>
                <w:sz w:val="1"/>
                <w:szCs w:val="1"/>
                <w:color w:val="auto"/>
              </w:rPr>
            </w:pPr>
          </w:p>
        </w:tc>
      </w:tr>
      <w:tr>
        <w:trPr>
          <w:trHeight w:val="200"/>
        </w:trPr>
        <w:tc>
          <w:tcPr>
            <w:tcW w:w="4240" w:type="dxa"/>
            <w:vAlign w:val="bottom"/>
          </w:tcPr>
          <w:p>
            <w:pPr>
              <w:ind w:left="1800"/>
              <w:spacing w:after="0"/>
              <w:rPr>
                <w:sz w:val="20"/>
                <w:szCs w:val="20"/>
                <w:color w:val="auto"/>
              </w:rPr>
            </w:pPr>
            <w:r>
              <w:rPr>
                <w:rFonts w:ascii="Arial" w:cs="Arial" w:eastAsia="Arial" w:hAnsi="Arial"/>
                <w:sz w:val="15"/>
                <w:szCs w:val="15"/>
                <w:color w:val="auto"/>
              </w:rPr>
              <w:t>Advisory Pte. Ltd.</w:t>
            </w:r>
          </w:p>
        </w:tc>
        <w:tc>
          <w:tcPr>
            <w:tcW w:w="3400" w:type="dxa"/>
            <w:vAlign w:val="bottom"/>
          </w:tcPr>
          <w:p>
            <w:pPr>
              <w:spacing w:after="0"/>
              <w:rPr>
                <w:sz w:val="17"/>
                <w:szCs w:val="17"/>
                <w:color w:val="auto"/>
              </w:rPr>
            </w:pPr>
          </w:p>
        </w:tc>
        <w:tc>
          <w:tcPr>
            <w:tcW w:w="3620" w:type="dxa"/>
            <w:vAlign w:val="bottom"/>
          </w:tcPr>
          <w:p>
            <w:pPr>
              <w:ind w:left="60"/>
              <w:spacing w:after="0"/>
              <w:rPr>
                <w:sz w:val="20"/>
                <w:szCs w:val="20"/>
                <w:color w:val="auto"/>
              </w:rPr>
            </w:pPr>
            <w:r>
              <w:rPr>
                <w:rFonts w:ascii="Arial" w:cs="Arial" w:eastAsia="Arial" w:hAnsi="Arial"/>
                <w:sz w:val="15"/>
                <w:szCs w:val="15"/>
                <w:color w:val="auto"/>
              </w:rPr>
              <w:t>PricewaterhouseCoopers LLP</w:t>
            </w:r>
          </w:p>
        </w:tc>
        <w:tc>
          <w:tcPr>
            <w:tcW w:w="0" w:type="dxa"/>
            <w:vAlign w:val="bottom"/>
          </w:tcPr>
          <w:p>
            <w:pPr>
              <w:spacing w:after="0"/>
              <w:rPr>
                <w:sz w:val="1"/>
                <w:szCs w:val="1"/>
                <w:color w:val="auto"/>
              </w:rPr>
            </w:pPr>
          </w:p>
        </w:tc>
      </w:tr>
      <w:tr>
        <w:trPr>
          <w:trHeight w:val="224"/>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Other Public Company Board(s): </w:t>
            </w:r>
            <w:r>
              <w:rPr>
                <w:rFonts w:ascii="Arial" w:cs="Arial" w:eastAsia="Arial" w:hAnsi="Arial"/>
                <w:sz w:val="15"/>
                <w:szCs w:val="15"/>
                <w:color w:val="auto"/>
              </w:rPr>
              <w:t>1</w:t>
            </w: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 CDC</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0067B3"/>
              </w:rPr>
              <w:t>ANANTHA P. CHANDRAKASAN, 54</w:t>
            </w:r>
          </w:p>
        </w:tc>
        <w:tc>
          <w:tcPr>
            <w:tcW w:w="3620" w:type="dxa"/>
            <w:vAlign w:val="bottom"/>
          </w:tcPr>
          <w:p>
            <w:pPr>
              <w:ind w:left="60"/>
              <w:spacing w:after="0"/>
              <w:rPr>
                <w:sz w:val="20"/>
                <w:szCs w:val="20"/>
                <w:color w:val="auto"/>
              </w:rPr>
            </w:pPr>
            <w:r>
              <w:rPr>
                <w:rFonts w:ascii="Arial" w:cs="Arial" w:eastAsia="Arial" w:hAnsi="Arial"/>
                <w:sz w:val="15"/>
                <w:szCs w:val="15"/>
                <w:b w:val="1"/>
                <w:bCs w:val="1"/>
                <w:color w:val="0067B3"/>
              </w:rPr>
              <w:t>RAY STATA, 88</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2019</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1965</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Principal Occupation:</w:t>
            </w:r>
          </w:p>
        </w:tc>
        <w:tc>
          <w:tcPr>
            <w:tcW w:w="0" w:type="dxa"/>
            <w:vAlign w:val="bottom"/>
          </w:tcPr>
          <w:p>
            <w:pPr>
              <w:spacing w:after="0"/>
              <w:rPr>
                <w:sz w:val="1"/>
                <w:szCs w:val="1"/>
                <w:color w:val="auto"/>
              </w:rPr>
            </w:pPr>
          </w:p>
        </w:tc>
      </w:tr>
      <w:tr>
        <w:trPr>
          <w:trHeight w:val="197"/>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Dean of MIT’s School of Engineering and</w:t>
            </w:r>
          </w:p>
        </w:tc>
        <w:tc>
          <w:tcPr>
            <w:tcW w:w="3620" w:type="dxa"/>
            <w:vAlign w:val="bottom"/>
          </w:tcPr>
          <w:p>
            <w:pPr>
              <w:ind w:left="60"/>
              <w:spacing w:after="0"/>
              <w:rPr>
                <w:sz w:val="20"/>
                <w:szCs w:val="20"/>
                <w:color w:val="auto"/>
              </w:rPr>
            </w:pPr>
            <w:r>
              <w:rPr>
                <w:rFonts w:ascii="Arial" w:cs="Arial" w:eastAsia="Arial" w:hAnsi="Arial"/>
                <w:sz w:val="15"/>
                <w:szCs w:val="15"/>
                <w:color w:val="auto"/>
              </w:rPr>
              <w:t>Co-Founder and Former Chair of the Board of</w:t>
            </w:r>
          </w:p>
        </w:tc>
        <w:tc>
          <w:tcPr>
            <w:tcW w:w="0" w:type="dxa"/>
            <w:vAlign w:val="bottom"/>
          </w:tcPr>
          <w:p>
            <w:pPr>
              <w:spacing w:after="0"/>
              <w:rPr>
                <w:sz w:val="1"/>
                <w:szCs w:val="1"/>
                <w:color w:val="auto"/>
              </w:rPr>
            </w:pPr>
          </w:p>
        </w:tc>
      </w:tr>
      <w:tr>
        <w:trPr>
          <w:trHeight w:val="189"/>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Vannevar Bush Professor of Electrical Engineering</w:t>
            </w:r>
          </w:p>
        </w:tc>
        <w:tc>
          <w:tcPr>
            <w:tcW w:w="3620" w:type="dxa"/>
            <w:vAlign w:val="bottom"/>
          </w:tcPr>
          <w:p>
            <w:pPr>
              <w:ind w:left="60"/>
              <w:spacing w:after="0"/>
              <w:rPr>
                <w:sz w:val="20"/>
                <w:szCs w:val="20"/>
                <w:color w:val="auto"/>
              </w:rPr>
            </w:pPr>
            <w:r>
              <w:rPr>
                <w:rFonts w:ascii="Arial" w:cs="Arial" w:eastAsia="Arial" w:hAnsi="Arial"/>
                <w:sz w:val="15"/>
                <w:szCs w:val="15"/>
                <w:color w:val="auto"/>
              </w:rPr>
              <w:t>Directors of Analog Devices, Inc.</w:t>
            </w:r>
          </w:p>
        </w:tc>
        <w:tc>
          <w:tcPr>
            <w:tcW w:w="0" w:type="dxa"/>
            <w:vAlign w:val="bottom"/>
          </w:tcPr>
          <w:p>
            <w:pPr>
              <w:spacing w:after="0"/>
              <w:rPr>
                <w:sz w:val="1"/>
                <w:szCs w:val="1"/>
                <w:color w:val="auto"/>
              </w:rPr>
            </w:pPr>
          </w:p>
        </w:tc>
      </w:tr>
      <w:tr>
        <w:trPr>
          <w:trHeight w:val="200"/>
        </w:trPr>
        <w:tc>
          <w:tcPr>
            <w:tcW w:w="4240" w:type="dxa"/>
            <w:vAlign w:val="bottom"/>
          </w:tcPr>
          <w:p>
            <w:pPr>
              <w:ind w:left="1800"/>
              <w:spacing w:after="0"/>
              <w:rPr>
                <w:sz w:val="20"/>
                <w:szCs w:val="20"/>
                <w:color w:val="auto"/>
              </w:rPr>
            </w:pPr>
            <w:r>
              <w:rPr>
                <w:rFonts w:ascii="Arial" w:cs="Arial" w:eastAsia="Arial" w:hAnsi="Arial"/>
                <w:sz w:val="15"/>
                <w:szCs w:val="15"/>
                <w:color w:val="auto"/>
              </w:rPr>
              <w:t>and Computer Science</w:t>
            </w:r>
          </w:p>
        </w:tc>
        <w:tc>
          <w:tcPr>
            <w:tcW w:w="34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NCGC; CDC</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40" w:type="dxa"/>
            <w:vAlign w:val="bottom"/>
          </w:tcPr>
          <w:p>
            <w:pPr>
              <w:ind w:left="1800"/>
              <w:spacing w:after="0"/>
              <w:rPr>
                <w:sz w:val="20"/>
                <w:szCs w:val="20"/>
                <w:color w:val="auto"/>
              </w:rPr>
            </w:pPr>
            <w:r>
              <w:rPr>
                <w:rFonts w:ascii="Arial" w:cs="Arial" w:eastAsia="Arial" w:hAnsi="Arial"/>
                <w:sz w:val="15"/>
                <w:szCs w:val="15"/>
                <w:b w:val="1"/>
                <w:bCs w:val="1"/>
                <w:color w:val="0067B3"/>
              </w:rPr>
              <w:t>EDWARD H. FRANK, 66</w:t>
            </w:r>
          </w:p>
        </w:tc>
        <w:tc>
          <w:tcPr>
            <w:tcW w:w="340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0067B3"/>
              </w:rPr>
              <w:t>SUSIE WEE, 53</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2014</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Principal Occupation:</w:t>
            </w:r>
          </w:p>
        </w:tc>
        <w:tc>
          <w:tcPr>
            <w:tcW w:w="0" w:type="dxa"/>
            <w:vAlign w:val="bottom"/>
          </w:tcPr>
          <w:p>
            <w:pPr>
              <w:spacing w:after="0"/>
              <w:rPr>
                <w:sz w:val="1"/>
                <w:szCs w:val="1"/>
                <w:color w:val="auto"/>
              </w:rPr>
            </w:pPr>
          </w:p>
        </w:tc>
      </w:tr>
      <w:tr>
        <w:trPr>
          <w:trHeight w:val="222"/>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Executive Chair of Gradient Technologies</w:t>
            </w:r>
          </w:p>
        </w:tc>
        <w:tc>
          <w:tcPr>
            <w:tcW w:w="3620" w:type="dxa"/>
            <w:vAlign w:val="bottom"/>
          </w:tcPr>
          <w:p>
            <w:pPr>
              <w:ind w:left="60"/>
              <w:spacing w:after="0"/>
              <w:rPr>
                <w:sz w:val="20"/>
                <w:szCs w:val="20"/>
                <w:color w:val="auto"/>
              </w:rPr>
            </w:pPr>
            <w:r>
              <w:rPr>
                <w:rFonts w:ascii="Arial" w:cs="Arial" w:eastAsia="Arial" w:hAnsi="Arial"/>
                <w:sz w:val="15"/>
                <w:szCs w:val="15"/>
                <w:color w:val="auto"/>
              </w:rPr>
              <w:t>Vice President, Google</w:t>
            </w:r>
          </w:p>
        </w:tc>
        <w:tc>
          <w:tcPr>
            <w:tcW w:w="0" w:type="dxa"/>
            <w:vAlign w:val="bottom"/>
          </w:tcPr>
          <w:p>
            <w:pPr>
              <w:spacing w:after="0"/>
              <w:rPr>
                <w:sz w:val="1"/>
                <w:szCs w:val="1"/>
                <w:color w:val="auto"/>
              </w:rPr>
            </w:pPr>
          </w:p>
        </w:tc>
      </w:tr>
      <w:tr>
        <w:trPr>
          <w:trHeight w:val="224"/>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Other Public Company Board(s): </w:t>
            </w:r>
            <w:r>
              <w:rPr>
                <w:rFonts w:ascii="Arial" w:cs="Arial" w:eastAsia="Arial" w:hAnsi="Arial"/>
                <w:sz w:val="15"/>
                <w:szCs w:val="15"/>
                <w:color w:val="auto"/>
              </w:rPr>
              <w:t>3</w:t>
            </w:r>
          </w:p>
        </w:tc>
        <w:tc>
          <w:tcPr>
            <w:tcW w:w="3620" w:type="dxa"/>
            <w:vAlign w:val="bottom"/>
          </w:tcPr>
          <w:p>
            <w:pPr>
              <w:ind w:left="6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w:t>
            </w:r>
          </w:p>
        </w:tc>
        <w:tc>
          <w:tcPr>
            <w:tcW w:w="0" w:type="dxa"/>
            <w:vAlign w:val="bottom"/>
          </w:tcPr>
          <w:p>
            <w:pPr>
              <w:spacing w:after="0"/>
              <w:rPr>
                <w:sz w:val="1"/>
                <w:szCs w:val="1"/>
                <w:color w:val="auto"/>
              </w:rPr>
            </w:pPr>
          </w:p>
        </w:tc>
      </w:tr>
      <w:tr>
        <w:trPr>
          <w:trHeight w:val="216"/>
        </w:trPr>
        <w:tc>
          <w:tcPr>
            <w:tcW w:w="7640" w:type="dxa"/>
            <w:vAlign w:val="bottom"/>
            <w:gridSpan w:val="2"/>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 (Chair); CDC</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4240" w:type="dxa"/>
            <w:vAlign w:val="bottom"/>
          </w:tcPr>
          <w:p>
            <w:pPr>
              <w:ind w:left="1800"/>
              <w:spacing w:after="0"/>
              <w:rPr>
                <w:sz w:val="20"/>
                <w:szCs w:val="20"/>
                <w:color w:val="auto"/>
              </w:rPr>
            </w:pPr>
            <w:r>
              <w:rPr>
                <w:rFonts w:ascii="Arial" w:cs="Arial" w:eastAsia="Arial" w:hAnsi="Arial"/>
                <w:sz w:val="15"/>
                <w:szCs w:val="15"/>
                <w:b w:val="1"/>
                <w:bCs w:val="1"/>
                <w:color w:val="0067B3"/>
              </w:rPr>
              <w:t>LAURIE H. GLIMCHER, 71</w:t>
            </w:r>
          </w:p>
        </w:tc>
        <w:tc>
          <w:tcPr>
            <w:tcW w:w="3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2020</w:t>
            </w:r>
          </w:p>
        </w:tc>
        <w:tc>
          <w:tcPr>
            <w:tcW w:w="3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Principal Occupation:</w:t>
            </w:r>
          </w:p>
        </w:tc>
        <w:tc>
          <w:tcPr>
            <w:tcW w:w="3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Professor of Medicine at Harvard Medical School</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gridSpan w:val="2"/>
          </w:tcPr>
          <w:p>
            <w:pPr>
              <w:ind w:left="1800"/>
              <w:spacing w:after="0"/>
              <w:rPr>
                <w:sz w:val="20"/>
                <w:szCs w:val="20"/>
                <w:color w:val="auto"/>
              </w:rPr>
            </w:pPr>
            <w:r>
              <w:rPr>
                <w:rFonts w:ascii="Arial" w:cs="Arial" w:eastAsia="Arial" w:hAnsi="Arial"/>
                <w:sz w:val="15"/>
                <w:szCs w:val="15"/>
                <w:color w:val="auto"/>
              </w:rPr>
              <w:t>and President and Chief Executive Officer of the Dana-</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40" w:type="dxa"/>
            <w:vAlign w:val="bottom"/>
          </w:tcPr>
          <w:p>
            <w:pPr>
              <w:ind w:left="1800"/>
              <w:spacing w:after="0"/>
              <w:rPr>
                <w:sz w:val="20"/>
                <w:szCs w:val="20"/>
                <w:color w:val="auto"/>
              </w:rPr>
            </w:pPr>
            <w:r>
              <w:rPr>
                <w:rFonts w:ascii="Arial" w:cs="Arial" w:eastAsia="Arial" w:hAnsi="Arial"/>
                <w:sz w:val="15"/>
                <w:szCs w:val="15"/>
                <w:color w:val="auto"/>
              </w:rPr>
              <w:t>Farber Cancer Institute</w:t>
            </w:r>
          </w:p>
        </w:tc>
        <w:tc>
          <w:tcPr>
            <w:tcW w:w="34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0"/>
              <w:spacing w:after="0"/>
              <w:rPr>
                <w:sz w:val="20"/>
                <w:szCs w:val="20"/>
                <w:color w:val="auto"/>
              </w:rPr>
            </w:pPr>
            <w:r>
              <w:rPr>
                <w:rFonts w:ascii="Arial" w:cs="Arial" w:eastAsia="Arial" w:hAnsi="Arial"/>
                <w:sz w:val="15"/>
                <w:szCs w:val="15"/>
                <w:b w:val="1"/>
                <w:bCs w:val="1"/>
                <w:color w:val="auto"/>
              </w:rPr>
              <w:t xml:space="preserve">Committee Membership(s): </w:t>
            </w:r>
            <w:r>
              <w:rPr>
                <w:rFonts w:ascii="Arial" w:cs="Arial" w:eastAsia="Arial" w:hAnsi="Arial"/>
                <w:sz w:val="15"/>
                <w:szCs w:val="15"/>
                <w:color w:val="auto"/>
              </w:rPr>
              <w:t>CTC</w:t>
            </w:r>
          </w:p>
        </w:tc>
        <w:tc>
          <w:tcPr>
            <w:tcW w:w="34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0067B3"/>
            </w:tcBorders>
          </w:tcPr>
          <w:p>
            <w:pPr>
              <w:spacing w:after="0"/>
              <w:rPr>
                <w:sz w:val="20"/>
                <w:szCs w:val="20"/>
                <w:color w:val="auto"/>
              </w:rPr>
            </w:pPr>
          </w:p>
        </w:tc>
        <w:tc>
          <w:tcPr>
            <w:tcW w:w="7020" w:type="dxa"/>
            <w:vAlign w:val="bottom"/>
            <w:tcBorders>
              <w:bottom w:val="single" w:sz="8" w:color="0067B3"/>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240" w:type="dxa"/>
            <w:vAlign w:val="bottom"/>
            <w:tcBorders>
              <w:left w:val="single" w:sz="8" w:color="0067B3"/>
            </w:tcBorders>
          </w:tcPr>
          <w:p>
            <w:pPr>
              <w:ind w:left="440"/>
              <w:spacing w:after="0"/>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Audit Committee</w:t>
            </w:r>
          </w:p>
        </w:tc>
        <w:tc>
          <w:tcPr>
            <w:tcW w:w="7020" w:type="dxa"/>
            <w:vAlign w:val="bottom"/>
            <w:tcBorders>
              <w:right w:val="single" w:sz="8" w:color="0067B3"/>
            </w:tcBorders>
            <w:gridSpan w:val="2"/>
          </w:tcPr>
          <w:p>
            <w:pPr>
              <w:ind w:left="20"/>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Nominating and Corporate Governance Committee</w:t>
            </w:r>
          </w:p>
        </w:tc>
        <w:tc>
          <w:tcPr>
            <w:tcW w:w="0" w:type="dxa"/>
            <w:vAlign w:val="bottom"/>
          </w:tcPr>
          <w:p>
            <w:pPr>
              <w:spacing w:after="0"/>
              <w:rPr>
                <w:sz w:val="1"/>
                <w:szCs w:val="1"/>
                <w:color w:val="auto"/>
              </w:rPr>
            </w:pPr>
          </w:p>
        </w:tc>
      </w:tr>
      <w:tr>
        <w:trPr>
          <w:trHeight w:val="391"/>
        </w:trPr>
        <w:tc>
          <w:tcPr>
            <w:tcW w:w="4240" w:type="dxa"/>
            <w:vAlign w:val="bottom"/>
            <w:tcBorders>
              <w:left w:val="single" w:sz="8" w:color="0067B3"/>
            </w:tcBorders>
          </w:tcPr>
          <w:p>
            <w:pPr>
              <w:ind w:left="440"/>
              <w:spacing w:after="0"/>
              <w:rPr>
                <w:sz w:val="20"/>
                <w:szCs w:val="20"/>
                <w:color w:val="auto"/>
              </w:rPr>
            </w:pPr>
            <w:r>
              <w:rPr>
                <w:rFonts w:ascii="Arial" w:cs="Arial" w:eastAsia="Arial" w:hAnsi="Arial"/>
                <w:sz w:val="18"/>
                <w:szCs w:val="18"/>
                <w:b w:val="1"/>
                <w:bCs w:val="1"/>
                <w:color w:val="auto"/>
              </w:rPr>
              <w:t xml:space="preserve">CTC </w:t>
            </w:r>
            <w:r>
              <w:rPr>
                <w:rFonts w:ascii="Arial" w:cs="Arial" w:eastAsia="Arial" w:hAnsi="Arial"/>
                <w:sz w:val="18"/>
                <w:szCs w:val="18"/>
                <w:color w:val="auto"/>
              </w:rPr>
              <w:t>Compensation and Talent Committee</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 xml:space="preserve">CDC </w:t>
            </w:r>
            <w:r>
              <w:rPr>
                <w:rFonts w:ascii="Arial" w:cs="Arial" w:eastAsia="Arial" w:hAnsi="Arial"/>
                <w:sz w:val="18"/>
                <w:szCs w:val="18"/>
                <w:color w:val="auto"/>
              </w:rPr>
              <w:t>Corporate Development Committee</w:t>
            </w:r>
          </w:p>
        </w:tc>
        <w:tc>
          <w:tcPr>
            <w:tcW w:w="362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40" w:type="dxa"/>
            <w:vAlign w:val="bottom"/>
            <w:tcBorders>
              <w:left w:val="single" w:sz="8" w:color="0067B3"/>
              <w:bottom w:val="single" w:sz="8" w:color="0067B3"/>
            </w:tcBorders>
          </w:tcPr>
          <w:p>
            <w:pPr>
              <w:spacing w:after="0"/>
              <w:rPr>
                <w:sz w:val="9"/>
                <w:szCs w:val="9"/>
                <w:color w:val="auto"/>
              </w:rPr>
            </w:pPr>
          </w:p>
        </w:tc>
        <w:tc>
          <w:tcPr>
            <w:tcW w:w="3400" w:type="dxa"/>
            <w:vAlign w:val="bottom"/>
            <w:tcBorders>
              <w:bottom w:val="single" w:sz="8" w:color="0067B3"/>
            </w:tcBorders>
          </w:tcPr>
          <w:p>
            <w:pPr>
              <w:spacing w:after="0"/>
              <w:rPr>
                <w:sz w:val="9"/>
                <w:szCs w:val="9"/>
                <w:color w:val="auto"/>
              </w:rPr>
            </w:pPr>
          </w:p>
        </w:tc>
        <w:tc>
          <w:tcPr>
            <w:tcW w:w="3620" w:type="dxa"/>
            <w:vAlign w:val="bottom"/>
            <w:tcBorders>
              <w:bottom w:val="single" w:sz="8" w:color="0067B3"/>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-6874510</wp:posOffset>
            </wp:positionV>
            <wp:extent cx="822960" cy="822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-6874510</wp:posOffset>
            </wp:positionV>
            <wp:extent cx="822960" cy="822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-5811520</wp:posOffset>
            </wp:positionV>
            <wp:extent cx="822960" cy="822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-5811520</wp:posOffset>
            </wp:positionV>
            <wp:extent cx="822960" cy="822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-4756785</wp:posOffset>
            </wp:positionV>
            <wp:extent cx="840105" cy="822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105" cy="8229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-4756785</wp:posOffset>
            </wp:positionV>
            <wp:extent cx="822960" cy="822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-3693795</wp:posOffset>
            </wp:positionV>
            <wp:extent cx="822960" cy="822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-3693795</wp:posOffset>
            </wp:positionV>
            <wp:extent cx="822960" cy="822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-2630805</wp:posOffset>
            </wp:positionV>
            <wp:extent cx="822960" cy="822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-2630805</wp:posOffset>
            </wp:positionV>
            <wp:extent cx="822960" cy="822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-1567815</wp:posOffset>
            </wp:positionV>
            <wp:extent cx="822960" cy="822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ectPr>
          <w:pgSz w:w="11900" w:h="16838" w:orient="portrait"/>
          <w:cols w:equalWidth="0" w:num="1">
            <w:col w:w="11260"/>
          </w:cols>
          <w:pgMar w:left="320" w:top="1356" w:right="319" w:bottom="746" w:gutter="0" w:footer="0" w:header="0"/>
        </w:sectPr>
      </w:pPr>
    </w:p>
    <w:p>
      <w:pPr>
        <w:spacing w:after="0" w:line="327" w:lineRule="exact"/>
        <w:rPr>
          <w:sz w:val="20"/>
          <w:szCs w:val="20"/>
          <w:color w:val="auto"/>
        </w:rPr>
      </w:pPr>
    </w:p>
    <w:p>
      <w:pPr>
        <w:ind w:left="9160"/>
        <w:spacing w:after="0"/>
        <w:tabs>
          <w:tab w:leader="none" w:pos="111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6"/>
          <w:szCs w:val="16"/>
          <w:b w:val="1"/>
          <w:bCs w:val="1"/>
          <w:color w:val="auto"/>
        </w:rPr>
        <w:t>9</w:t>
      </w:r>
    </w:p>
    <w:p>
      <w:pPr>
        <w:sectPr>
          <w:pgSz w:w="11900" w:h="16838" w:orient="portrait"/>
          <w:cols w:equalWidth="0" w:num="1">
            <w:col w:w="11260"/>
          </w:cols>
          <w:pgMar w:left="320" w:top="1356" w:right="319" w:bottom="746" w:gutter="0" w:footer="0" w:header="0"/>
          <w:type w:val="continuous"/>
        </w:sectPr>
      </w:pPr>
    </w:p>
    <w:bookmarkStart w:id="17" w:name="page18"/>
    <w:bookmarkEnd w:id="17"/>
    <w:p>
      <w:pPr>
        <w:spacing w:after="0"/>
        <w:rPr>
          <w:sz w:val="20"/>
          <w:szCs w:val="20"/>
          <w:color w:val="auto"/>
        </w:rPr>
      </w:pPr>
      <w:r>
        <w:rPr>
          <w:rFonts w:ascii="Arial" w:cs="Arial" w:eastAsia="Arial" w:hAnsi="Arial"/>
          <w:sz w:val="32"/>
          <w:szCs w:val="32"/>
          <w:b w:val="1"/>
          <w:bCs w:val="1"/>
          <w:color w:val="auto"/>
        </w:rPr>
        <w:t>Board Composition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comprised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 of shareholders, drive shareholder value, exercise sound judgment and reflect our corporate values of integrity, honesty and adherence to high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942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p>
      <w:pPr>
        <w:spacing w:after="0" w:line="119" w:lineRule="exact"/>
        <w:rPr>
          <w:sz w:val="20"/>
          <w:szCs w:val="20"/>
          <w:color w:val="auto"/>
        </w:rPr>
      </w:pPr>
    </w:p>
    <w:p>
      <w:pPr>
        <w:ind w:left="80"/>
        <w:spacing w:after="0"/>
        <w:rPr>
          <w:sz w:val="20"/>
          <w:szCs w:val="20"/>
          <w:color w:val="auto"/>
        </w:rPr>
      </w:pPr>
      <w:r>
        <w:rPr>
          <w:rFonts w:ascii="Arial" w:cs="Arial" w:eastAsia="Arial" w:hAnsi="Arial"/>
          <w:sz w:val="41"/>
          <w:szCs w:val="41"/>
          <w:b w:val="1"/>
          <w:bCs w:val="1"/>
          <w:color w:val="0067B3"/>
        </w:rPr>
        <w:t>54%</w:t>
      </w:r>
    </w:p>
    <w:p>
      <w:pPr>
        <w:spacing w:after="0" w:line="99" w:lineRule="exact"/>
        <w:rPr>
          <w:sz w:val="20"/>
          <w:szCs w:val="20"/>
          <w:color w:val="auto"/>
        </w:rPr>
      </w:pPr>
    </w:p>
    <w:p>
      <w:pPr>
        <w:ind w:left="80"/>
        <w:spacing w:after="0" w:line="274" w:lineRule="auto"/>
        <w:rPr>
          <w:sz w:val="20"/>
          <w:szCs w:val="20"/>
          <w:color w:val="auto"/>
        </w:rPr>
      </w:pPr>
      <w:r>
        <w:rPr>
          <w:rFonts w:ascii="Arial" w:cs="Arial" w:eastAsia="Arial" w:hAnsi="Arial"/>
          <w:sz w:val="18"/>
          <w:szCs w:val="18"/>
          <w:color w:val="auto"/>
        </w:rPr>
        <w:t>of director nominees added in the last 5 years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99%</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overall attendance of incumbent directors at Board of Directors and Committee meetings in fiscal year 2022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2"/>
        </w:trPr>
        <w:tc>
          <w:tcPr>
            <w:tcW w:w="2640" w:type="dxa"/>
            <w:vAlign w:val="bottom"/>
            <w:tcBorders>
              <w:right w:val="single" w:sz="8" w:color="auto"/>
            </w:tcBorders>
          </w:tcPr>
          <w:p>
            <w:pPr>
              <w:spacing w:after="0"/>
              <w:rPr>
                <w:sz w:val="20"/>
                <w:szCs w:val="20"/>
                <w:color w:val="auto"/>
              </w:rPr>
            </w:pPr>
            <w:r>
              <w:rPr>
                <w:rFonts w:ascii="Arial" w:cs="Arial" w:eastAsia="Arial" w:hAnsi="Arial"/>
                <w:sz w:val="41"/>
                <w:szCs w:val="41"/>
                <w:b w:val="1"/>
                <w:bCs w:val="1"/>
                <w:color w:val="0067B3"/>
              </w:rPr>
              <w:t>39</w:t>
            </w:r>
          </w:p>
        </w:tc>
        <w:tc>
          <w:tcPr>
            <w:tcW w:w="1500" w:type="dxa"/>
            <w:vAlign w:val="bottom"/>
          </w:tcPr>
          <w:p>
            <w:pPr>
              <w:ind w:left="60"/>
              <w:spacing w:after="0"/>
              <w:rPr>
                <w:sz w:val="20"/>
                <w:szCs w:val="20"/>
                <w:color w:val="auto"/>
              </w:rPr>
            </w:pPr>
            <w:r>
              <w:rPr>
                <w:rFonts w:ascii="Arial" w:cs="Arial" w:eastAsia="Arial" w:hAnsi="Arial"/>
                <w:sz w:val="41"/>
                <w:szCs w:val="41"/>
                <w:b w:val="1"/>
                <w:bCs w:val="1"/>
                <w:color w:val="0067B3"/>
              </w:rPr>
              <w:t>9 of 11</w:t>
            </w:r>
          </w:p>
        </w:tc>
      </w:tr>
      <w:tr>
        <w:trPr>
          <w:trHeight w:val="216"/>
        </w:trPr>
        <w:tc>
          <w:tcPr>
            <w:tcW w:w="2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Board of Directors and</w:t>
            </w:r>
          </w:p>
        </w:tc>
        <w:tc>
          <w:tcPr>
            <w:tcW w:w="1500" w:type="dxa"/>
            <w:vAlign w:val="bottom"/>
          </w:tcPr>
          <w:p>
            <w:pPr>
              <w:ind w:left="60"/>
              <w:spacing w:after="0"/>
              <w:rPr>
                <w:sz w:val="20"/>
                <w:szCs w:val="20"/>
                <w:color w:val="auto"/>
              </w:rPr>
            </w:pPr>
            <w:r>
              <w:rPr>
                <w:rFonts w:ascii="Arial" w:cs="Arial" w:eastAsia="Arial" w:hAnsi="Arial"/>
                <w:sz w:val="18"/>
                <w:szCs w:val="18"/>
                <w:color w:val="auto"/>
                <w:w w:val="99"/>
              </w:rPr>
              <w:t>director nominees</w:t>
            </w:r>
          </w:p>
        </w:tc>
      </w:tr>
      <w:tr>
        <w:trPr>
          <w:trHeight w:val="216"/>
        </w:trPr>
        <w:tc>
          <w:tcPr>
            <w:tcW w:w="2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Committee meetings held in</w:t>
            </w:r>
          </w:p>
        </w:tc>
        <w:tc>
          <w:tcPr>
            <w:tcW w:w="1500" w:type="dxa"/>
            <w:vAlign w:val="bottom"/>
          </w:tcPr>
          <w:p>
            <w:pPr>
              <w:ind w:left="60"/>
              <w:spacing w:after="0"/>
              <w:rPr>
                <w:sz w:val="20"/>
                <w:szCs w:val="20"/>
                <w:color w:val="auto"/>
              </w:rPr>
            </w:pPr>
            <w:r>
              <w:rPr>
                <w:rFonts w:ascii="Arial" w:cs="Arial" w:eastAsia="Arial" w:hAnsi="Arial"/>
                <w:sz w:val="18"/>
                <w:szCs w:val="18"/>
                <w:color w:val="auto"/>
              </w:rPr>
              <w:t>are independent</w:t>
            </w:r>
          </w:p>
        </w:tc>
      </w:tr>
      <w:tr>
        <w:trPr>
          <w:trHeight w:val="239"/>
        </w:trPr>
        <w:tc>
          <w:tcPr>
            <w:tcW w:w="2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fiscal year 2022</w:t>
            </w:r>
          </w:p>
        </w:tc>
        <w:tc>
          <w:tcPr>
            <w:tcW w:w="1500" w:type="dxa"/>
            <w:vAlign w:val="bottom"/>
          </w:tcPr>
          <w:p>
            <w:pPr>
              <w:spacing w:after="0"/>
              <w:rPr>
                <w:sz w:val="20"/>
                <w:szCs w:val="20"/>
                <w:color w:val="auto"/>
              </w:rPr>
            </w:pPr>
          </w:p>
        </w:tc>
      </w:tr>
      <w:tr>
        <w:trPr>
          <w:trHeight w:val="253"/>
        </w:trPr>
        <w:tc>
          <w:tcPr>
            <w:tcW w:w="264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3">
            <w:col w:w="2760" w:space="180"/>
            <w:col w:w="2540" w:space="620"/>
            <w:col w:w="5120"/>
          </w:cols>
          <w:pgMar w:left="320" w:top="1311" w:right="35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Strong Board Diversity</w:t>
      </w:r>
    </w:p>
    <w:p>
      <w:pPr>
        <w:spacing w:after="0" w:line="15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Our Board of Directors also believes that having directors with a mix of tenure helps transition the institutional knowledge of the more experienced directors while providing a broad, fresh set of perspectives. Our Board of Directors has continued to make progress in broadening the experience, gender and tenure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560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97" w:lineRule="exact"/>
        <w:rPr>
          <w:sz w:val="20"/>
          <w:szCs w:val="20"/>
          <w:color w:val="auto"/>
        </w:rPr>
      </w:pPr>
    </w:p>
    <w:tbl>
      <w:tblPr>
        <w:tblLayout w:type="fixed"/>
        <w:tblInd w:w="1380" w:type="dxa"/>
        <w:tblCellMar>
          <w:top w:w="0" w:type="dxa"/>
          <w:left w:w="0" w:type="dxa"/>
          <w:bottom w:w="0" w:type="dxa"/>
          <w:right w:w="0" w:type="dxa"/>
        </w:tblCellMar>
      </w:tblPr>
      <w:tr>
        <w:trPr>
          <w:trHeight w:val="247"/>
        </w:trPr>
        <w:tc>
          <w:tcPr>
            <w:tcW w:w="1180" w:type="dxa"/>
            <w:vAlign w:val="bottom"/>
          </w:tcPr>
          <w:p>
            <w:pPr>
              <w:spacing w:after="0"/>
              <w:rPr>
                <w:sz w:val="20"/>
                <w:szCs w:val="20"/>
                <w:color w:val="auto"/>
              </w:rPr>
            </w:pPr>
            <w:r>
              <w:rPr>
                <w:rFonts w:ascii="Arial" w:cs="Arial" w:eastAsia="Arial" w:hAnsi="Arial"/>
                <w:sz w:val="18"/>
                <w:szCs w:val="18"/>
                <w:b w:val="1"/>
                <w:bCs w:val="1"/>
                <w:color w:val="0067B3"/>
              </w:rPr>
              <w:t>AGE*</w:t>
            </w:r>
          </w:p>
        </w:tc>
        <w:tc>
          <w:tcPr>
            <w:tcW w:w="4780" w:type="dxa"/>
            <w:vAlign w:val="bottom"/>
          </w:tcPr>
          <w:p>
            <w:pPr>
              <w:ind w:left="700"/>
              <w:spacing w:after="0"/>
              <w:rPr>
                <w:sz w:val="20"/>
                <w:szCs w:val="20"/>
                <w:color w:val="auto"/>
              </w:rPr>
            </w:pPr>
            <w:r>
              <w:rPr>
                <w:rFonts w:ascii="Arial" w:cs="Arial" w:eastAsia="Arial" w:hAnsi="Arial"/>
                <w:sz w:val="18"/>
                <w:szCs w:val="18"/>
                <w:b w:val="1"/>
                <w:bCs w:val="1"/>
                <w:color w:val="0067B3"/>
              </w:rPr>
              <w:t>INDEPENDENT DIRECTOR TENURE</w:t>
            </w:r>
          </w:p>
        </w:tc>
        <w:tc>
          <w:tcPr>
            <w:tcW w:w="1960" w:type="dxa"/>
            <w:vAlign w:val="bottom"/>
          </w:tcPr>
          <w:p>
            <w:pPr>
              <w:ind w:left="1000"/>
              <w:spacing w:after="0"/>
              <w:rPr>
                <w:sz w:val="20"/>
                <w:szCs w:val="20"/>
                <w:color w:val="auto"/>
              </w:rPr>
            </w:pPr>
            <w:r>
              <w:rPr>
                <w:rFonts w:ascii="Arial" w:cs="Arial" w:eastAsia="Arial" w:hAnsi="Arial"/>
                <w:sz w:val="18"/>
                <w:szCs w:val="18"/>
                <w:b w:val="1"/>
                <w:bCs w:val="1"/>
                <w:color w:val="0067B3"/>
                <w:w w:val="98"/>
              </w:rPr>
              <w:t>DIVERSITY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Average Age: 68 years</w:t>
            </w:r>
          </w:p>
        </w:tc>
        <w:tc>
          <w:tcPr>
            <w:tcW w:w="3740" w:type="dxa"/>
            <w:vAlign w:val="bottom"/>
          </w:tcPr>
          <w:p>
            <w:pPr>
              <w:ind w:left="700"/>
              <w:spacing w:after="0"/>
              <w:rPr>
                <w:sz w:val="20"/>
                <w:szCs w:val="20"/>
                <w:color w:val="auto"/>
              </w:rPr>
            </w:pPr>
            <w:r>
              <w:rPr>
                <w:rFonts w:ascii="Arial" w:cs="Arial" w:eastAsia="Arial" w:hAnsi="Arial"/>
                <w:sz w:val="18"/>
                <w:szCs w:val="18"/>
                <w:color w:val="auto"/>
                <w:w w:val="98"/>
              </w:rPr>
              <w:t>Average Independent Director Tenure:</w:t>
            </w:r>
          </w:p>
        </w:tc>
      </w:tr>
      <w:tr>
        <w:trPr>
          <w:trHeight w:val="239"/>
        </w:trPr>
        <w:tc>
          <w:tcPr>
            <w:tcW w:w="2520" w:type="dxa"/>
            <w:vAlign w:val="bottom"/>
          </w:tcPr>
          <w:p>
            <w:pPr>
              <w:spacing w:after="0"/>
              <w:rPr>
                <w:sz w:val="20"/>
                <w:szCs w:val="20"/>
                <w:color w:val="auto"/>
              </w:rPr>
            </w:pPr>
          </w:p>
        </w:tc>
        <w:tc>
          <w:tcPr>
            <w:tcW w:w="3740" w:type="dxa"/>
            <w:vAlign w:val="bottom"/>
          </w:tcPr>
          <w:p>
            <w:pPr>
              <w:ind w:left="700"/>
              <w:spacing w:after="0"/>
              <w:rPr>
                <w:sz w:val="20"/>
                <w:szCs w:val="20"/>
                <w:color w:val="auto"/>
              </w:rPr>
            </w:pPr>
            <w:r>
              <w:rPr>
                <w:rFonts w:ascii="Arial" w:cs="Arial" w:eastAsia="Arial" w:hAnsi="Arial"/>
                <w:sz w:val="18"/>
                <w:szCs w:val="18"/>
                <w:color w:val="auto"/>
              </w:rPr>
              <w:t>7.3 years</w:t>
            </w:r>
          </w:p>
        </w:tc>
      </w:tr>
    </w:tbl>
    <w:p>
      <w:pPr>
        <w:spacing w:after="0" w:line="225"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The sum of the individual percentages may not equal 100% due to rounding.</w:t>
      </w:r>
    </w:p>
    <w:p>
      <w:pPr>
        <w:spacing w:after="0" w:line="200" w:lineRule="exact"/>
        <w:rPr>
          <w:sz w:val="20"/>
          <w:szCs w:val="20"/>
          <w:color w:val="auto"/>
        </w:rPr>
      </w:pPr>
    </w:p>
    <w:p>
      <w:pPr>
        <w:spacing w:after="0" w:line="289"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ectPr>
          <w:pgSz w:w="11900" w:h="16838" w:orient="portrait"/>
          <w:cols w:equalWidth="0" w:num="1">
            <w:col w:w="11220"/>
          </w:cols>
          <w:pgMar w:left="320" w:top="1311"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2"/>
          <w:szCs w:val="32"/>
          <w:b w:val="1"/>
          <w:bCs w:val="1"/>
          <w:color w:val="auto"/>
        </w:rPr>
        <w:t>Board Profile</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ADI’s directors contribute significant experience in the areas most relevant to overseeing our business and strategy. The below matrix provides a high-level summary of the experience and qualifications of our director nominees: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8280" w:type="dxa"/>
            <w:vAlign w:val="bottom"/>
            <w:tcBorders>
              <w:top w:val="single" w:sz="8" w:color="0067B3"/>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Executive Leadership:</w:t>
            </w:r>
          </w:p>
        </w:tc>
        <w:tc>
          <w:tcPr>
            <w:tcW w:w="2960" w:type="dxa"/>
            <w:vAlign w:val="bottom"/>
            <w:tcBorders>
              <w:top w:val="single" w:sz="8" w:color="0067B3"/>
            </w:tcBorders>
            <w:vMerge w:val="restart"/>
          </w:tcPr>
          <w:p>
            <w:pPr>
              <w:jc w:val="center"/>
              <w:ind w:right="2331"/>
              <w:spacing w:after="0"/>
              <w:rPr>
                <w:sz w:val="20"/>
                <w:szCs w:val="20"/>
                <w:color w:val="auto"/>
              </w:rPr>
            </w:pPr>
            <w:r>
              <w:rPr>
                <w:rFonts w:ascii="Arial" w:cs="Arial" w:eastAsia="Arial" w:hAnsi="Arial"/>
                <w:sz w:val="18"/>
                <w:szCs w:val="18"/>
                <w:color w:val="auto"/>
                <w:w w:val="96"/>
              </w:rPr>
              <w:t>6/11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Experienced leadership of complex global businesses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939598"/>
              <w:right w:val="single" w:sz="8" w:color="939598"/>
            </w:tcBorders>
          </w:tcPr>
          <w:p>
            <w:pPr>
              <w:spacing w:after="0"/>
              <w:rPr>
                <w:sz w:val="11"/>
                <w:szCs w:val="11"/>
                <w:color w:val="auto"/>
              </w:rPr>
            </w:pPr>
          </w:p>
        </w:tc>
        <w:tc>
          <w:tcPr>
            <w:tcW w:w="296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Industry:</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9/11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key issues affecting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939598"/>
              <w:right w:val="single" w:sz="8" w:color="939598"/>
            </w:tcBorders>
          </w:tcPr>
          <w:p>
            <w:pPr>
              <w:spacing w:after="0"/>
              <w:rPr>
                <w:sz w:val="11"/>
                <w:szCs w:val="11"/>
                <w:color w:val="auto"/>
              </w:rPr>
            </w:pPr>
          </w:p>
        </w:tc>
        <w:tc>
          <w:tcPr>
            <w:tcW w:w="296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Innovation and Emerging Technologies: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Expertise and thought leadership relating to technological innovation in our industry and our</w:t>
            </w:r>
          </w:p>
        </w:tc>
        <w:tc>
          <w:tcPr>
            <w:tcW w:w="2960" w:type="dxa"/>
            <w:vAlign w:val="bottom"/>
          </w:tcPr>
          <w:p>
            <w:pPr>
              <w:jc w:val="center"/>
              <w:ind w:right="2331"/>
              <w:spacing w:after="0"/>
              <w:rPr>
                <w:sz w:val="20"/>
                <w:szCs w:val="20"/>
                <w:color w:val="auto"/>
              </w:rPr>
            </w:pPr>
            <w:r>
              <w:rPr>
                <w:rFonts w:ascii="Arial" w:cs="Arial" w:eastAsia="Arial" w:hAnsi="Arial"/>
                <w:sz w:val="18"/>
                <w:szCs w:val="18"/>
                <w:color w:val="auto"/>
                <w:w w:val="96"/>
              </w:rPr>
              <w:t>9/11</w:t>
            </w: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end markets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8280" w:type="dxa"/>
            <w:vAlign w:val="bottom"/>
            <w:tcBorders>
              <w:bottom w:val="single" w:sz="8" w:color="939598"/>
              <w:right w:val="single" w:sz="8" w:color="939598"/>
            </w:tcBorders>
          </w:tcPr>
          <w:p>
            <w:pPr>
              <w:spacing w:after="0"/>
              <w:rPr>
                <w:sz w:val="3"/>
                <w:szCs w:val="3"/>
                <w:color w:val="auto"/>
              </w:rPr>
            </w:pPr>
          </w:p>
        </w:tc>
        <w:tc>
          <w:tcPr>
            <w:tcW w:w="2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Corporate Governance/Public Company Board:</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7/11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public company governance issues and policies to enhance Board practices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280" w:type="dxa"/>
            <w:vAlign w:val="bottom"/>
            <w:tcBorders>
              <w:bottom w:val="single" w:sz="8" w:color="939598"/>
              <w:right w:val="single" w:sz="8" w:color="939598"/>
            </w:tcBorders>
          </w:tcPr>
          <w:p>
            <w:pPr>
              <w:spacing w:after="0"/>
              <w:rPr>
                <w:sz w:val="12"/>
                <w:szCs w:val="12"/>
                <w:color w:val="auto"/>
              </w:rPr>
            </w:pPr>
          </w:p>
        </w:tc>
        <w:tc>
          <w:tcPr>
            <w:tcW w:w="296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Financial, Accounting, Auditing:</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Oversight of ADI’s audit function and preparation of financial statements and capital</w:t>
            </w:r>
          </w:p>
        </w:tc>
        <w:tc>
          <w:tcPr>
            <w:tcW w:w="2960" w:type="dxa"/>
            <w:vAlign w:val="bottom"/>
          </w:tcPr>
          <w:p>
            <w:pPr>
              <w:jc w:val="center"/>
              <w:ind w:right="2331"/>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239"/>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auto"/>
              </w:rPr>
              <w:t>market expertise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8280" w:type="dxa"/>
            <w:vAlign w:val="bottom"/>
            <w:tcBorders>
              <w:bottom w:val="single" w:sz="8" w:color="939598"/>
              <w:right w:val="single" w:sz="8" w:color="939598"/>
            </w:tcBorders>
          </w:tcPr>
          <w:p>
            <w:pPr>
              <w:spacing w:after="0"/>
              <w:rPr>
                <w:sz w:val="3"/>
                <w:szCs w:val="3"/>
                <w:color w:val="auto"/>
              </w:rPr>
            </w:pPr>
          </w:p>
        </w:tc>
        <w:tc>
          <w:tcPr>
            <w:tcW w:w="2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0067B3"/>
              </w:rPr>
              <w:t>International, Large Scale Global Operations, Manufacturing:</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9/11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Insight into the many factors involved in overseeing management of ADI’s global footprint</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280" w:type="dxa"/>
            <w:vAlign w:val="bottom"/>
            <w:tcBorders>
              <w:bottom w:val="single" w:sz="8" w:color="939598"/>
              <w:right w:val="single" w:sz="8" w:color="939598"/>
            </w:tcBorders>
          </w:tcPr>
          <w:p>
            <w:pPr>
              <w:spacing w:after="0"/>
              <w:rPr>
                <w:sz w:val="12"/>
                <w:szCs w:val="12"/>
                <w:color w:val="auto"/>
              </w:rPr>
            </w:pPr>
          </w:p>
        </w:tc>
        <w:tc>
          <w:tcPr>
            <w:tcW w:w="296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380"/>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color w:val="0067B3"/>
              </w:rPr>
              <w:t>Government Affairs, Public Policy:</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Expertise handling government affairs and public policy matters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280" w:type="dxa"/>
            <w:vAlign w:val="bottom"/>
            <w:tcBorders>
              <w:bottom w:val="single" w:sz="8" w:color="939598"/>
              <w:right w:val="single" w:sz="8" w:color="939598"/>
            </w:tcBorders>
          </w:tcPr>
          <w:p>
            <w:pPr>
              <w:spacing w:after="0"/>
              <w:rPr>
                <w:sz w:val="17"/>
                <w:szCs w:val="17"/>
                <w:color w:val="auto"/>
              </w:rPr>
            </w:pPr>
          </w:p>
        </w:tc>
        <w:tc>
          <w:tcPr>
            <w:tcW w:w="296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Strategy:</w:t>
            </w:r>
          </w:p>
        </w:tc>
        <w:tc>
          <w:tcPr>
            <w:tcW w:w="2960" w:type="dxa"/>
            <w:vAlign w:val="bottom"/>
            <w:vMerge w:val="restart"/>
          </w:tcPr>
          <w:p>
            <w:pPr>
              <w:jc w:val="center"/>
              <w:ind w:right="2311"/>
              <w:spacing w:after="0"/>
              <w:rPr>
                <w:sz w:val="20"/>
                <w:szCs w:val="20"/>
                <w:color w:val="auto"/>
              </w:rPr>
            </w:pPr>
            <w:r>
              <w:rPr>
                <w:rFonts w:ascii="Arial" w:cs="Arial" w:eastAsia="Arial" w:hAnsi="Arial"/>
                <w:sz w:val="18"/>
                <w:szCs w:val="18"/>
                <w:color w:val="auto"/>
                <w:w w:val="97"/>
              </w:rPr>
              <w:t>10/11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Oversight of management’s development and implementation of strategic priorities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939598"/>
              <w:right w:val="single" w:sz="8" w:color="939598"/>
            </w:tcBorders>
          </w:tcPr>
          <w:p>
            <w:pPr>
              <w:spacing w:after="0"/>
              <w:rPr>
                <w:sz w:val="11"/>
                <w:szCs w:val="11"/>
                <w:color w:val="auto"/>
              </w:rPr>
            </w:pPr>
          </w:p>
        </w:tc>
        <w:tc>
          <w:tcPr>
            <w:tcW w:w="296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Risk Management, Regulatory, Compliance:</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2/11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Oversight of risks facing ADI and a comprehensive approach to risk management</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939598"/>
              <w:right w:val="single" w:sz="8" w:color="939598"/>
            </w:tcBorders>
          </w:tcPr>
          <w:p>
            <w:pPr>
              <w:spacing w:after="0"/>
              <w:rPr>
                <w:sz w:val="11"/>
                <w:szCs w:val="11"/>
                <w:color w:val="auto"/>
              </w:rPr>
            </w:pPr>
          </w:p>
        </w:tc>
        <w:tc>
          <w:tcPr>
            <w:tcW w:w="296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Cybersecurity, Information Systems:</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4/11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Oversight of our efforts to maintain our customers’ trust and protect the security of their data</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939598"/>
              <w:right w:val="single" w:sz="8" w:color="939598"/>
            </w:tcBorders>
          </w:tcPr>
          <w:p>
            <w:pPr>
              <w:spacing w:after="0"/>
              <w:rPr>
                <w:sz w:val="16"/>
                <w:szCs w:val="16"/>
                <w:color w:val="auto"/>
              </w:rPr>
            </w:pPr>
          </w:p>
        </w:tc>
        <w:tc>
          <w:tcPr>
            <w:tcW w:w="296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Mergers and Acquisitions:</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4/11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Experience evaluating strategic transactions</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939598"/>
              <w:right w:val="single" w:sz="8" w:color="939598"/>
            </w:tcBorders>
          </w:tcPr>
          <w:p>
            <w:pPr>
              <w:spacing w:after="0"/>
              <w:rPr>
                <w:sz w:val="16"/>
                <w:szCs w:val="16"/>
                <w:color w:val="auto"/>
              </w:rPr>
            </w:pPr>
          </w:p>
        </w:tc>
        <w:tc>
          <w:tcPr>
            <w:tcW w:w="296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8280" w:type="dxa"/>
            <w:vAlign w:val="bottom"/>
            <w:tcBorders>
              <w:right w:val="single" w:sz="8" w:color="939598"/>
            </w:tcBorders>
          </w:tcPr>
          <w:p>
            <w:pPr>
              <w:ind w:left="760"/>
              <w:spacing w:after="0"/>
              <w:rPr>
                <w:sz w:val="20"/>
                <w:szCs w:val="20"/>
                <w:color w:val="auto"/>
              </w:rPr>
            </w:pPr>
            <w:r>
              <w:rPr>
                <w:rFonts w:ascii="Arial" w:cs="Arial" w:eastAsia="Arial" w:hAnsi="Arial"/>
                <w:sz w:val="18"/>
                <w:szCs w:val="18"/>
                <w:b w:val="1"/>
                <w:bCs w:val="1"/>
                <w:color w:val="0067B3"/>
              </w:rPr>
              <w:t>ESG (Including Sustainability, Human Capital, and Diversity):</w:t>
            </w:r>
          </w:p>
        </w:tc>
        <w:tc>
          <w:tcPr>
            <w:tcW w:w="2960" w:type="dxa"/>
            <w:vAlign w:val="bottom"/>
            <w:vMerge w:val="restart"/>
          </w:tcPr>
          <w:p>
            <w:pPr>
              <w:jc w:val="center"/>
              <w:ind w:right="2331"/>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131"/>
        </w:trPr>
        <w:tc>
          <w:tcPr>
            <w:tcW w:w="8280" w:type="dxa"/>
            <w:vAlign w:val="bottom"/>
            <w:tcBorders>
              <w:right w:val="single" w:sz="8" w:color="939598"/>
            </w:tcBorders>
            <w:vMerge w:val="restart"/>
          </w:tcPr>
          <w:p>
            <w:pPr>
              <w:ind w:left="760"/>
              <w:spacing w:after="0"/>
              <w:rPr>
                <w:sz w:val="20"/>
                <w:szCs w:val="20"/>
                <w:color w:val="auto"/>
              </w:rPr>
            </w:pPr>
            <w:r>
              <w:rPr>
                <w:rFonts w:ascii="Arial" w:cs="Arial" w:eastAsia="Arial" w:hAnsi="Arial"/>
                <w:sz w:val="18"/>
                <w:szCs w:val="18"/>
                <w:color w:val="auto"/>
              </w:rPr>
              <w:t>Knowledge of ESG topics impacting ADI</w:t>
            </w: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80" w:type="dxa"/>
            <w:vAlign w:val="bottom"/>
            <w:tcBorders>
              <w:right w:val="single" w:sz="8" w:color="93959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280" w:type="dxa"/>
            <w:vAlign w:val="bottom"/>
            <w:tcBorders>
              <w:bottom w:val="single" w:sz="8" w:color="0067B3"/>
              <w:right w:val="single" w:sz="8" w:color="939598"/>
            </w:tcBorders>
          </w:tcPr>
          <w:p>
            <w:pPr>
              <w:spacing w:after="0"/>
              <w:rPr>
                <w:sz w:val="7"/>
                <w:szCs w:val="7"/>
                <w:color w:val="auto"/>
              </w:rPr>
            </w:pPr>
          </w:p>
        </w:tc>
        <w:tc>
          <w:tcPr>
            <w:tcW w:w="2960" w:type="dxa"/>
            <w:vAlign w:val="bottom"/>
            <w:tcBorders>
              <w:bottom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607"/>
        </w:trPr>
        <w:tc>
          <w:tcPr>
            <w:tcW w:w="8280" w:type="dxa"/>
            <w:vAlign w:val="bottom"/>
          </w:tcPr>
          <w:p>
            <w:pPr>
              <w:spacing w:after="0"/>
              <w:rPr>
                <w:sz w:val="24"/>
                <w:szCs w:val="24"/>
                <w:color w:val="auto"/>
              </w:rPr>
            </w:pPr>
          </w:p>
        </w:tc>
        <w:tc>
          <w:tcPr>
            <w:tcW w:w="2960" w:type="dxa"/>
            <w:vAlign w:val="bottom"/>
          </w:tcPr>
          <w:p>
            <w:pPr>
              <w:ind w:left="880"/>
              <w:spacing w:after="0"/>
              <w:rPr>
                <w:sz w:val="20"/>
                <w:szCs w:val="20"/>
                <w:color w:val="auto"/>
              </w:rPr>
            </w:pPr>
            <w:r>
              <w:rPr>
                <w:rFonts w:ascii="Arial" w:cs="Arial" w:eastAsia="Arial" w:hAnsi="Arial"/>
                <w:sz w:val="16"/>
                <w:szCs w:val="16"/>
                <w:color w:val="0067B3"/>
              </w:rPr>
              <w:t xml:space="preserve">2023 Proxy Statement   </w:t>
            </w:r>
            <w:r>
              <w:rPr>
                <w:rFonts w:ascii="Arial" w:cs="Arial" w:eastAsia="Arial" w:hAnsi="Arial"/>
                <w:sz w:val="19"/>
                <w:szCs w:val="19"/>
                <w:b w:val="1"/>
                <w:bCs w:val="1"/>
                <w:color w:val="000000"/>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-5935345</wp:posOffset>
            </wp:positionV>
            <wp:extent cx="257175" cy="248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 cy="24828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-5858510</wp:posOffset>
            </wp:positionV>
            <wp:extent cx="1183005"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-5481320</wp:posOffset>
            </wp:positionV>
            <wp:extent cx="257175"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-5403850</wp:posOffset>
            </wp:positionV>
            <wp:extent cx="1183005"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-5026660</wp:posOffset>
            </wp:positionV>
            <wp:extent cx="257175"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-4940935</wp:posOffset>
            </wp:positionV>
            <wp:extent cx="1183005"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-4563745</wp:posOffset>
            </wp:positionV>
            <wp:extent cx="25717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-4486910</wp:posOffset>
            </wp:positionV>
            <wp:extent cx="118300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-4100830</wp:posOffset>
            </wp:positionV>
            <wp:extent cx="25717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-4015105</wp:posOffset>
            </wp:positionV>
            <wp:extent cx="118300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-3637915</wp:posOffset>
            </wp:positionV>
            <wp:extent cx="25717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-3552190</wp:posOffset>
            </wp:positionV>
            <wp:extent cx="1183005"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-3054985</wp:posOffset>
            </wp:positionV>
            <wp:extent cx="1183005"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-2643505</wp:posOffset>
            </wp:positionV>
            <wp:extent cx="18859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-2566670</wp:posOffset>
            </wp:positionV>
            <wp:extent cx="118300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-2197735</wp:posOffset>
            </wp:positionV>
            <wp:extent cx="25717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-2129155</wp:posOffset>
            </wp:positionV>
            <wp:extent cx="1183005"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-1751965</wp:posOffset>
            </wp:positionV>
            <wp:extent cx="20574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30861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-1649095</wp:posOffset>
            </wp:positionV>
            <wp:extent cx="1183005"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83005" cy="946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-1237615</wp:posOffset>
            </wp:positionV>
            <wp:extent cx="257175"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 cy="3175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-1126490</wp:posOffset>
            </wp:positionV>
            <wp:extent cx="1183005"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83005" cy="9398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-715010</wp:posOffset>
            </wp:positionV>
            <wp:extent cx="30861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861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-671830</wp:posOffset>
            </wp:positionV>
            <wp:extent cx="1183005"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83005" cy="9398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9" w:name="page20"/>
    <w:bookmarkEnd w:id="19"/>
    <w:p>
      <w:pPr>
        <w:spacing w:after="0"/>
        <w:rPr>
          <w:sz w:val="20"/>
          <w:szCs w:val="20"/>
          <w:color w:val="auto"/>
        </w:rPr>
      </w:pPr>
      <w:r>
        <w:rPr>
          <w:rFonts w:ascii="Arial" w:cs="Arial" w:eastAsia="Arial" w:hAnsi="Arial"/>
          <w:sz w:val="32"/>
          <w:szCs w:val="32"/>
          <w:b w:val="1"/>
          <w:bCs w:val="1"/>
          <w:color w:val="auto"/>
        </w:rPr>
        <w:t>Board Refreshment</w:t>
      </w:r>
    </w:p>
    <w:p>
      <w:pPr>
        <w:spacing w:after="0" w:line="14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Our Board of Directors has been focused on refreshment, regularly bringing in new viewpoints and skills. As a result of ongoing Board refreshment, we have added 6 new directors in the last five years: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877"/>
        </w:trPr>
        <w:tc>
          <w:tcPr>
            <w:tcW w:w="1880" w:type="dxa"/>
            <w:vAlign w:val="bottom"/>
            <w:tcBorders>
              <w:left w:val="single" w:sz="8" w:color="E2E6F4"/>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6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0067B3"/>
            </w:tcBorders>
            <w:shd w:val="clear" w:color="auto" w:fill="E2E6F4"/>
          </w:tcPr>
          <w:p>
            <w:pPr>
              <w:spacing w:after="0"/>
              <w:rPr>
                <w:sz w:val="24"/>
                <w:szCs w:val="24"/>
                <w:color w:val="auto"/>
              </w:rPr>
            </w:pPr>
          </w:p>
        </w:tc>
      </w:tr>
      <w:tr>
        <w:trPr>
          <w:trHeight w:val="269"/>
        </w:trPr>
        <w:tc>
          <w:tcPr>
            <w:tcW w:w="188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22"/>
                <w:szCs w:val="22"/>
                <w:b w:val="1"/>
                <w:bCs w:val="1"/>
                <w:color w:val="0067B3"/>
              </w:rPr>
              <w:t>Karen M. Golz</w:t>
            </w: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Anantha P.</w:t>
            </w: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Susie Wee</w:t>
            </w:r>
          </w:p>
        </w:tc>
        <w:tc>
          <w:tcPr>
            <w:tcW w:w="186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Laurie H.</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Mercedes</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André Andonian</w:t>
            </w:r>
          </w:p>
        </w:tc>
      </w:tr>
      <w:tr>
        <w:trPr>
          <w:trHeight w:val="315"/>
        </w:trPr>
        <w:tc>
          <w:tcPr>
            <w:tcW w:w="1880" w:type="dxa"/>
            <w:vAlign w:val="bottom"/>
            <w:tcBorders>
              <w:left w:val="single" w:sz="8" w:color="0067B3"/>
              <w:right w:val="single" w:sz="8" w:color="0067B3"/>
            </w:tcBorders>
          </w:tcPr>
          <w:p>
            <w:pPr>
              <w:spacing w:after="0"/>
              <w:rPr>
                <w:sz w:val="24"/>
                <w:szCs w:val="24"/>
                <w:color w:val="auto"/>
              </w:rPr>
            </w:pP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Chandrakasan</w:t>
            </w:r>
          </w:p>
        </w:tc>
        <w:tc>
          <w:tcPr>
            <w:tcW w:w="1880" w:type="dxa"/>
            <w:vAlign w:val="bottom"/>
            <w:tcBorders>
              <w:right w:val="single" w:sz="8" w:color="0067B3"/>
            </w:tcBorders>
          </w:tcPr>
          <w:p>
            <w:pPr>
              <w:spacing w:after="0"/>
              <w:rPr>
                <w:sz w:val="24"/>
                <w:szCs w:val="24"/>
                <w:color w:val="auto"/>
              </w:rPr>
            </w:pPr>
          </w:p>
        </w:tc>
        <w:tc>
          <w:tcPr>
            <w:tcW w:w="186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Glimcher</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Johnson</w:t>
            </w:r>
          </w:p>
        </w:tc>
        <w:tc>
          <w:tcPr>
            <w:tcW w:w="1880" w:type="dxa"/>
            <w:vAlign w:val="bottom"/>
            <w:tcBorders>
              <w:right w:val="single" w:sz="8" w:color="0067B3"/>
            </w:tcBorders>
          </w:tcPr>
          <w:p>
            <w:pPr>
              <w:spacing w:after="0"/>
              <w:rPr>
                <w:sz w:val="24"/>
                <w:szCs w:val="24"/>
                <w:color w:val="auto"/>
              </w:rPr>
            </w:pPr>
          </w:p>
        </w:tc>
      </w:tr>
      <w:tr>
        <w:trPr>
          <w:trHeight w:val="250"/>
        </w:trPr>
        <w:tc>
          <w:tcPr>
            <w:tcW w:w="188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7"/>
                <w:szCs w:val="17"/>
                <w:b w:val="1"/>
                <w:bCs w:val="1"/>
                <w:color w:val="auto"/>
              </w:rPr>
              <w:t>2018</w:t>
            </w:r>
          </w:p>
        </w:tc>
        <w:tc>
          <w:tcPr>
            <w:tcW w:w="188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2019</w:t>
            </w:r>
          </w:p>
        </w:tc>
        <w:tc>
          <w:tcPr>
            <w:tcW w:w="188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2019</w:t>
            </w:r>
          </w:p>
        </w:tc>
        <w:tc>
          <w:tcPr>
            <w:tcW w:w="186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2020</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17"/>
                <w:szCs w:val="17"/>
                <w:b w:val="1"/>
                <w:bCs w:val="1"/>
                <w:color w:val="auto"/>
              </w:rPr>
              <w:t>2021</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17"/>
                <w:szCs w:val="17"/>
                <w:b w:val="1"/>
                <w:bCs w:val="1"/>
                <w:color w:val="auto"/>
              </w:rPr>
              <w:t>2022</w:t>
            </w:r>
          </w:p>
        </w:tc>
      </w:tr>
      <w:tr>
        <w:trPr>
          <w:trHeight w:val="125"/>
        </w:trPr>
        <w:tc>
          <w:tcPr>
            <w:tcW w:w="1880" w:type="dxa"/>
            <w:vAlign w:val="bottom"/>
            <w:tcBorders>
              <w:left w:val="single" w:sz="8" w:color="0067B3"/>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6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-1713865</wp:posOffset>
            </wp:positionV>
            <wp:extent cx="6789420" cy="9340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89420" cy="9340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80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ectPr>
          <w:pgSz w:w="11900" w:h="16838" w:orient="portrait"/>
          <w:cols w:equalWidth="0" w:num="1">
            <w:col w:w="11260"/>
          </w:cols>
          <w:pgMar w:left="320" w:top="1311" w:right="319" w:bottom="570" w:gutter="0" w:footer="0" w:header="0"/>
        </w:sectPr>
      </w:pPr>
    </w:p>
    <w:p>
      <w:pPr>
        <w:spacing w:after="0" w:line="331" w:lineRule="exact"/>
        <w:rPr>
          <w:sz w:val="20"/>
          <w:szCs w:val="20"/>
          <w:color w:val="auto"/>
        </w:rPr>
      </w:pPr>
    </w:p>
    <w:p>
      <w:pPr>
        <w:jc w:val="center"/>
        <w:ind w:left="60" w:right="220"/>
        <w:spacing w:after="0" w:line="328" w:lineRule="auto"/>
        <w:rPr>
          <w:sz w:val="20"/>
          <w:szCs w:val="20"/>
          <w:color w:val="auto"/>
        </w:rPr>
      </w:pPr>
      <w:r>
        <w:rPr>
          <w:rFonts w:ascii="Arial" w:cs="Arial" w:eastAsia="Arial" w:hAnsi="Arial"/>
          <w:sz w:val="17"/>
          <w:szCs w:val="17"/>
          <w:b w:val="1"/>
          <w:bCs w:val="1"/>
          <w:color w:val="FFFFFF"/>
        </w:rPr>
        <w:t>EFFECTIVE BOARD LEADERSHIP, INDEPENDENT OVERSIGHT AND STRONG CORPORATE GOVERNANCE</w:t>
      </w:r>
    </w:p>
    <w:p>
      <w:pPr>
        <w:spacing w:after="0" w:line="127" w:lineRule="exact"/>
        <w:rPr>
          <w:sz w:val="20"/>
          <w:szCs w:val="20"/>
          <w:color w:val="auto"/>
        </w:rPr>
      </w:pPr>
    </w:p>
    <w:p>
      <w:pPr>
        <w:ind w:left="180" w:hanging="154"/>
        <w:spacing w:after="0"/>
        <w:tabs>
          <w:tab w:leader="none" w:pos="180" w:val="left"/>
        </w:tabs>
        <w:numPr>
          <w:ilvl w:val="0"/>
          <w:numId w:val="22"/>
        </w:numPr>
        <w:rPr>
          <w:rFonts w:ascii="Arial" w:cs="Arial" w:eastAsia="Arial" w:hAnsi="Arial"/>
          <w:sz w:val="18"/>
          <w:szCs w:val="18"/>
          <w:color w:val="0067B3"/>
        </w:rPr>
      </w:pPr>
      <w:r>
        <w:rPr>
          <w:rFonts w:ascii="Arial" w:cs="Arial" w:eastAsia="Arial" w:hAnsi="Arial"/>
          <w:sz w:val="18"/>
          <w:szCs w:val="18"/>
          <w:color w:val="auto"/>
        </w:rPr>
        <w:t>Majority of directors are independent</w:t>
      </w:r>
    </w:p>
    <w:p>
      <w:pPr>
        <w:spacing w:after="0" w:line="49" w:lineRule="exact"/>
        <w:rPr>
          <w:rFonts w:ascii="Arial" w:cs="Arial" w:eastAsia="Arial" w:hAnsi="Arial"/>
          <w:sz w:val="18"/>
          <w:szCs w:val="18"/>
          <w:color w:val="0067B3"/>
        </w:rPr>
      </w:pPr>
    </w:p>
    <w:p>
      <w:pPr>
        <w:ind w:left="220" w:right="60" w:hanging="194"/>
        <w:spacing w:after="0"/>
        <w:tabs>
          <w:tab w:leader="none" w:pos="183" w:val="left"/>
        </w:tabs>
        <w:numPr>
          <w:ilvl w:val="0"/>
          <w:numId w:val="22"/>
        </w:numPr>
        <w:rPr>
          <w:rFonts w:ascii="Arial" w:cs="Arial" w:eastAsia="Arial" w:hAnsi="Arial"/>
          <w:sz w:val="18"/>
          <w:szCs w:val="18"/>
          <w:color w:val="0067B3"/>
        </w:rPr>
      </w:pPr>
      <w:r>
        <w:rPr>
          <w:rFonts w:ascii="Arial" w:cs="Arial" w:eastAsia="Arial" w:hAnsi="Arial"/>
          <w:sz w:val="18"/>
          <w:szCs w:val="18"/>
          <w:color w:val="auto"/>
        </w:rPr>
        <w:t>Average tenure of independent directors standing for re-election is approximately 7.3 years</w:t>
      </w:r>
    </w:p>
    <w:p>
      <w:pPr>
        <w:spacing w:after="0" w:line="18" w:lineRule="exact"/>
        <w:rPr>
          <w:rFonts w:ascii="Arial" w:cs="Arial" w:eastAsia="Arial" w:hAnsi="Arial"/>
          <w:sz w:val="18"/>
          <w:szCs w:val="18"/>
          <w:color w:val="0067B3"/>
        </w:rPr>
      </w:pPr>
    </w:p>
    <w:p>
      <w:pPr>
        <w:ind w:left="180" w:hanging="154"/>
        <w:spacing w:after="0"/>
        <w:tabs>
          <w:tab w:leader="none" w:pos="180" w:val="left"/>
        </w:tabs>
        <w:numPr>
          <w:ilvl w:val="0"/>
          <w:numId w:val="22"/>
        </w:numPr>
        <w:rPr>
          <w:rFonts w:ascii="Arial" w:cs="Arial" w:eastAsia="Arial" w:hAnsi="Arial"/>
          <w:sz w:val="18"/>
          <w:szCs w:val="18"/>
          <w:color w:val="0067B3"/>
        </w:rPr>
      </w:pPr>
      <w:r>
        <w:rPr>
          <w:rFonts w:ascii="Arial" w:cs="Arial" w:eastAsia="Arial" w:hAnsi="Arial"/>
          <w:sz w:val="18"/>
          <w:szCs w:val="18"/>
          <w:color w:val="auto"/>
        </w:rPr>
        <w:t>Regular executive sessions of independent directors</w:t>
      </w:r>
    </w:p>
    <w:p>
      <w:pPr>
        <w:spacing w:after="0" w:line="49" w:lineRule="exact"/>
        <w:rPr>
          <w:rFonts w:ascii="Arial" w:cs="Arial" w:eastAsia="Arial" w:hAnsi="Arial"/>
          <w:sz w:val="18"/>
          <w:szCs w:val="18"/>
          <w:color w:val="0067B3"/>
        </w:rPr>
      </w:pPr>
    </w:p>
    <w:p>
      <w:pPr>
        <w:ind w:left="220" w:hanging="194"/>
        <w:spacing w:after="0"/>
        <w:tabs>
          <w:tab w:leader="none" w:pos="183" w:val="left"/>
        </w:tabs>
        <w:numPr>
          <w:ilvl w:val="0"/>
          <w:numId w:val="22"/>
        </w:numPr>
        <w:rPr>
          <w:rFonts w:ascii="Arial" w:cs="Arial" w:eastAsia="Arial" w:hAnsi="Arial"/>
          <w:sz w:val="18"/>
          <w:szCs w:val="18"/>
          <w:color w:val="0067B3"/>
        </w:rPr>
      </w:pPr>
      <w:r>
        <w:rPr>
          <w:rFonts w:ascii="Arial" w:cs="Arial" w:eastAsia="Arial" w:hAnsi="Arial"/>
          <w:sz w:val="18"/>
          <w:szCs w:val="18"/>
          <w:color w:val="auto"/>
        </w:rPr>
        <w:t>Clawback policy for our CEO and other named executive officers (NEOs)</w:t>
      </w:r>
    </w:p>
    <w:p>
      <w:pPr>
        <w:spacing w:after="0" w:line="18" w:lineRule="exact"/>
        <w:rPr>
          <w:rFonts w:ascii="Arial" w:cs="Arial" w:eastAsia="Arial" w:hAnsi="Arial"/>
          <w:sz w:val="18"/>
          <w:szCs w:val="18"/>
          <w:color w:val="0067B3"/>
        </w:rPr>
      </w:pPr>
    </w:p>
    <w:p>
      <w:pPr>
        <w:ind w:left="220" w:right="440" w:hanging="194"/>
        <w:spacing w:after="0"/>
        <w:tabs>
          <w:tab w:leader="none" w:pos="183" w:val="left"/>
        </w:tabs>
        <w:numPr>
          <w:ilvl w:val="0"/>
          <w:numId w:val="22"/>
        </w:numPr>
        <w:rPr>
          <w:rFonts w:ascii="Arial" w:cs="Arial" w:eastAsia="Arial" w:hAnsi="Arial"/>
          <w:sz w:val="18"/>
          <w:szCs w:val="18"/>
          <w:color w:val="0067B3"/>
        </w:rPr>
      </w:pPr>
      <w:r>
        <w:rPr>
          <w:rFonts w:ascii="Arial" w:cs="Arial" w:eastAsia="Arial" w:hAnsi="Arial"/>
          <w:sz w:val="18"/>
          <w:szCs w:val="18"/>
          <w:color w:val="auto"/>
        </w:rPr>
        <w:t>Active engagement by our Board of Directors in overseeing talent and long-term succession planning for executives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582"/>
        <w:spacing w:after="0"/>
        <w:rPr>
          <w:sz w:val="20"/>
          <w:szCs w:val="20"/>
          <w:color w:val="auto"/>
        </w:rPr>
      </w:pPr>
      <w:r>
        <w:rPr>
          <w:rFonts w:ascii="Arial" w:cs="Arial" w:eastAsia="Arial" w:hAnsi="Arial"/>
          <w:sz w:val="18"/>
          <w:szCs w:val="18"/>
          <w:b w:val="1"/>
          <w:bCs w:val="1"/>
          <w:color w:val="FFFFFF"/>
        </w:rPr>
        <w:t>SHAREHOLDER RIGHTS AND ACCOUNTABILITY</w:t>
      </w:r>
    </w:p>
    <w:p>
      <w:pPr>
        <w:spacing w:after="0" w:line="347" w:lineRule="exact"/>
        <w:rPr>
          <w:sz w:val="20"/>
          <w:szCs w:val="20"/>
          <w:color w:val="auto"/>
        </w:rPr>
      </w:pPr>
    </w:p>
    <w:p>
      <w:pPr>
        <w:ind w:left="162" w:hanging="162"/>
        <w:spacing w:after="0"/>
        <w:tabs>
          <w:tab w:leader="none" w:pos="162" w:val="left"/>
        </w:tabs>
        <w:numPr>
          <w:ilvl w:val="0"/>
          <w:numId w:val="23"/>
        </w:numPr>
        <w:rPr>
          <w:rFonts w:ascii="Arial" w:cs="Arial" w:eastAsia="Arial" w:hAnsi="Arial"/>
          <w:sz w:val="17"/>
          <w:szCs w:val="17"/>
          <w:color w:val="0067B3"/>
        </w:rPr>
      </w:pPr>
      <w:r>
        <w:rPr>
          <w:rFonts w:ascii="Arial" w:cs="Arial" w:eastAsia="Arial" w:hAnsi="Arial"/>
          <w:sz w:val="17"/>
          <w:szCs w:val="17"/>
          <w:color w:val="auto"/>
        </w:rPr>
        <w:t>Annual election of directors of a declassified Board of Directors</w:t>
      </w:r>
    </w:p>
    <w:p>
      <w:pPr>
        <w:spacing w:after="0" w:line="61" w:lineRule="exact"/>
        <w:rPr>
          <w:rFonts w:ascii="Arial" w:cs="Arial" w:eastAsia="Arial" w:hAnsi="Arial"/>
          <w:sz w:val="17"/>
          <w:szCs w:val="17"/>
          <w:color w:val="0067B3"/>
        </w:rPr>
      </w:pPr>
    </w:p>
    <w:p>
      <w:pPr>
        <w:ind w:left="162" w:hanging="162"/>
        <w:spacing w:after="0"/>
        <w:tabs>
          <w:tab w:leader="none" w:pos="162" w:val="left"/>
        </w:tabs>
        <w:numPr>
          <w:ilvl w:val="0"/>
          <w:numId w:val="23"/>
        </w:numPr>
        <w:rPr>
          <w:rFonts w:ascii="Arial" w:cs="Arial" w:eastAsia="Arial" w:hAnsi="Arial"/>
          <w:sz w:val="18"/>
          <w:szCs w:val="18"/>
          <w:color w:val="0067B3"/>
        </w:rPr>
      </w:pPr>
      <w:r>
        <w:rPr>
          <w:rFonts w:ascii="Arial" w:cs="Arial" w:eastAsia="Arial" w:hAnsi="Arial"/>
          <w:sz w:val="18"/>
          <w:szCs w:val="18"/>
          <w:color w:val="auto"/>
        </w:rPr>
        <w:t>Majority voting for directors in uncontested director elections</w:t>
      </w:r>
    </w:p>
    <w:p>
      <w:pPr>
        <w:spacing w:after="0" w:line="49" w:lineRule="exact"/>
        <w:rPr>
          <w:rFonts w:ascii="Arial" w:cs="Arial" w:eastAsia="Arial" w:hAnsi="Arial"/>
          <w:sz w:val="18"/>
          <w:szCs w:val="18"/>
          <w:color w:val="0067B3"/>
        </w:rPr>
      </w:pPr>
    </w:p>
    <w:p>
      <w:pPr>
        <w:ind w:left="162" w:hanging="162"/>
        <w:spacing w:after="0"/>
        <w:tabs>
          <w:tab w:leader="none" w:pos="162" w:val="left"/>
        </w:tabs>
        <w:numPr>
          <w:ilvl w:val="0"/>
          <w:numId w:val="23"/>
        </w:numPr>
        <w:rPr>
          <w:rFonts w:ascii="Arial" w:cs="Arial" w:eastAsia="Arial" w:hAnsi="Arial"/>
          <w:sz w:val="18"/>
          <w:szCs w:val="18"/>
          <w:color w:val="0067B3"/>
        </w:rPr>
      </w:pPr>
      <w:r>
        <w:rPr>
          <w:rFonts w:ascii="Arial" w:cs="Arial" w:eastAsia="Arial" w:hAnsi="Arial"/>
          <w:sz w:val="18"/>
          <w:szCs w:val="18"/>
          <w:color w:val="auto"/>
        </w:rPr>
        <w:t>Proxy access bylaw</w:t>
      </w:r>
    </w:p>
    <w:p>
      <w:pPr>
        <w:spacing w:after="0" w:line="36" w:lineRule="exact"/>
        <w:rPr>
          <w:rFonts w:ascii="Arial" w:cs="Arial" w:eastAsia="Arial" w:hAnsi="Arial"/>
          <w:sz w:val="18"/>
          <w:szCs w:val="18"/>
          <w:color w:val="0067B3"/>
        </w:rPr>
      </w:pPr>
    </w:p>
    <w:p>
      <w:pPr>
        <w:ind w:left="162" w:hanging="162"/>
        <w:spacing w:after="0"/>
        <w:tabs>
          <w:tab w:leader="none" w:pos="162" w:val="left"/>
        </w:tabs>
        <w:numPr>
          <w:ilvl w:val="0"/>
          <w:numId w:val="23"/>
        </w:numPr>
        <w:rPr>
          <w:rFonts w:ascii="Arial" w:cs="Arial" w:eastAsia="Arial" w:hAnsi="Arial"/>
          <w:sz w:val="18"/>
          <w:szCs w:val="18"/>
          <w:color w:val="0067B3"/>
        </w:rPr>
      </w:pPr>
      <w:r>
        <w:rPr>
          <w:rFonts w:ascii="Arial" w:cs="Arial" w:eastAsia="Arial" w:hAnsi="Arial"/>
          <w:sz w:val="18"/>
          <w:szCs w:val="18"/>
          <w:color w:val="auto"/>
        </w:rPr>
        <w:t>Annual Board of Directors and Committee self-evaluations</w:t>
      </w:r>
    </w:p>
    <w:p>
      <w:pPr>
        <w:spacing w:after="0" w:line="49" w:lineRule="exact"/>
        <w:rPr>
          <w:rFonts w:ascii="Arial" w:cs="Arial" w:eastAsia="Arial" w:hAnsi="Arial"/>
          <w:sz w:val="18"/>
          <w:szCs w:val="18"/>
          <w:color w:val="0067B3"/>
        </w:rPr>
      </w:pPr>
    </w:p>
    <w:p>
      <w:pPr>
        <w:ind w:left="162" w:hanging="162"/>
        <w:spacing w:after="0"/>
        <w:tabs>
          <w:tab w:leader="none" w:pos="162" w:val="left"/>
        </w:tabs>
        <w:numPr>
          <w:ilvl w:val="0"/>
          <w:numId w:val="23"/>
        </w:numPr>
        <w:rPr>
          <w:rFonts w:ascii="Arial" w:cs="Arial" w:eastAsia="Arial" w:hAnsi="Arial"/>
          <w:sz w:val="18"/>
          <w:szCs w:val="18"/>
          <w:color w:val="0067B3"/>
        </w:rPr>
      </w:pPr>
      <w:r>
        <w:rPr>
          <w:rFonts w:ascii="Arial" w:cs="Arial" w:eastAsia="Arial" w:hAnsi="Arial"/>
          <w:sz w:val="18"/>
          <w:szCs w:val="18"/>
          <w:color w:val="auto"/>
        </w:rPr>
        <w:t>No dual class of stock or controlling shareholder</w:t>
      </w:r>
    </w:p>
    <w:p>
      <w:pPr>
        <w:spacing w:after="0" w:line="771" w:lineRule="exact"/>
        <w:rPr>
          <w:sz w:val="20"/>
          <w:szCs w:val="20"/>
          <w:color w:val="auto"/>
        </w:rPr>
      </w:pPr>
    </w:p>
    <w:p>
      <w:pPr>
        <w:sectPr>
          <w:pgSz w:w="11900" w:h="16838" w:orient="portrait"/>
          <w:cols w:equalWidth="0" w:num="2">
            <w:col w:w="5340" w:space="518"/>
            <w:col w:w="5402"/>
          </w:cols>
          <w:pgMar w:left="320" w:top="1311" w:right="319" w:bottom="57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Engagement Highlights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conduct extensive investor outreach throughout the year involving our senior management, investor relations, legal and human resources</w:t>
      </w:r>
    </w:p>
    <w:p>
      <w:pPr>
        <w:ind w:right="180"/>
        <w:spacing w:after="0" w:line="229" w:lineRule="auto"/>
        <w:rPr>
          <w:sz w:val="20"/>
          <w:szCs w:val="20"/>
          <w:color w:val="auto"/>
        </w:rPr>
      </w:pPr>
      <w:r>
        <w:rPr>
          <w:rFonts w:ascii="Arial" w:cs="Arial" w:eastAsia="Arial" w:hAnsi="Arial"/>
          <w:sz w:val="18"/>
          <w:szCs w:val="18"/>
          <w:color w:val="auto"/>
        </w:rPr>
        <w:t>departments. This helps management and our Board of Directors understand and focus on the issues that matter most to our shareholders, so ADI can address them effectively.</w:t>
      </w:r>
    </w:p>
    <w:p>
      <w:pPr>
        <w:spacing w:after="0" w:line="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ADI’s Year-Round Engagement Process</w:t>
      </w:r>
    </w:p>
    <w:p>
      <w:pPr>
        <w:spacing w:after="0" w:line="143"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86360</wp:posOffset>
            </wp:positionV>
            <wp:extent cx="689229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92290" cy="68580"/>
                    </a:xfrm>
                    <a:prstGeom prst="rect">
                      <a:avLst/>
                    </a:prstGeom>
                    <a:noFill/>
                  </pic:spPr>
                </pic:pic>
              </a:graphicData>
            </a:graphic>
          </wp:anchor>
        </w:drawing>
      </w:r>
    </w:p>
    <w:p>
      <w:pPr>
        <w:spacing w:after="0" w:line="199" w:lineRule="exact"/>
        <w:rPr>
          <w:sz w:val="20"/>
          <w:szCs w:val="20"/>
          <w:color w:val="auto"/>
        </w:rPr>
      </w:pPr>
    </w:p>
    <w:p>
      <w:pPr>
        <w:ind w:left="960"/>
        <w:spacing w:after="0"/>
        <w:tabs>
          <w:tab w:leader="none" w:pos="2687"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sz w:val="1"/>
          <w:szCs w:val="1"/>
          <w:color w:val="auto"/>
        </w:rPr>
        <w:drawing>
          <wp:inline distT="0" distB="0" distL="0" distR="0">
            <wp:extent cx="205740" cy="2057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b w:val="1"/>
          <w:bCs w:val="1"/>
          <w:color w:val="auto"/>
        </w:rPr>
        <w:t xml:space="preserve">  Spring           </w:t>
      </w:r>
      <w:r>
        <w:rPr>
          <w:sz w:val="1"/>
          <w:szCs w:val="1"/>
          <w:color w:val="auto"/>
        </w:rPr>
        <w:drawing>
          <wp:inline distT="0" distB="0" distL="0" distR="0">
            <wp:extent cx="196850" cy="1974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97485"/>
                    </a:xfrm>
                    <a:prstGeom prst="rect">
                      <a:avLst/>
                    </a:prstGeom>
                    <a:noFill/>
                    <a:ln>
                      <a:noFill/>
                    </a:ln>
                  </pic:spPr>
                </pic:pic>
              </a:graphicData>
            </a:graphic>
          </wp:inline>
        </w:drawing>
      </w:r>
      <w:r>
        <w:rPr>
          <w:rFonts w:ascii="Arial" w:cs="Arial" w:eastAsia="Arial" w:hAnsi="Arial"/>
          <w:sz w:val="18"/>
          <w:szCs w:val="18"/>
          <w:b w:val="1"/>
          <w:bCs w:val="1"/>
          <w:color w:val="auto"/>
        </w:rPr>
        <w:t xml:space="preserve">    Summer                  </w:t>
      </w:r>
      <w:r>
        <w:rPr>
          <w:sz w:val="1"/>
          <w:szCs w:val="1"/>
          <w:color w:val="auto"/>
        </w:rPr>
        <w:drawing>
          <wp:inline distT="0" distB="0" distL="0" distR="0">
            <wp:extent cx="196850" cy="171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a:ln>
                      <a:noFill/>
                    </a:ln>
                  </pic:spPr>
                </pic:pic>
              </a:graphicData>
            </a:graphic>
          </wp:inline>
        </w:drawing>
      </w:r>
      <w:r>
        <w:rPr>
          <w:rFonts w:ascii="Arial" w:cs="Arial" w:eastAsia="Arial" w:hAnsi="Arial"/>
          <w:sz w:val="18"/>
          <w:szCs w:val="18"/>
          <w:b w:val="1"/>
          <w:bCs w:val="1"/>
          <w:color w:val="auto"/>
        </w:rPr>
        <w:t xml:space="preserve">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51435</wp:posOffset>
            </wp:positionV>
            <wp:extent cx="689229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92290" cy="8572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33401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010"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-144780</wp:posOffset>
            </wp:positionV>
            <wp:extent cx="11176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68580"/>
                    </a:xfrm>
                    <a:prstGeom prst="rect">
                      <a:avLst/>
                    </a:prstGeom>
                    <a:noFill/>
                  </pic:spPr>
                </pic:pic>
              </a:graphicData>
            </a:graphic>
          </wp:anchor>
        </w:drawing>
      </w:r>
    </w:p>
    <w:p>
      <w:pPr>
        <w:sectPr>
          <w:pgSz w:w="11900" w:h="16838" w:orient="portrait"/>
          <w:cols w:equalWidth="0" w:num="1">
            <w:col w:w="11260"/>
          </w:cols>
          <w:pgMar w:left="320" w:top="1311" w:right="319" w:bottom="570" w:gutter="0" w:footer="0" w:header="0"/>
          <w:type w:val="continuous"/>
        </w:sectPr>
      </w:pPr>
    </w:p>
    <w:p>
      <w:pPr>
        <w:spacing w:after="0" w:line="359" w:lineRule="exact"/>
        <w:rPr>
          <w:sz w:val="20"/>
          <w:szCs w:val="20"/>
          <w:color w:val="auto"/>
        </w:rPr>
      </w:pPr>
    </w:p>
    <w:p>
      <w:pPr>
        <w:ind w:left="560" w:hanging="156"/>
        <w:spacing w:after="0"/>
        <w:tabs>
          <w:tab w:leader="none" w:pos="560" w:val="left"/>
        </w:tabs>
        <w:numPr>
          <w:ilvl w:val="0"/>
          <w:numId w:val="24"/>
        </w:numPr>
        <w:rPr>
          <w:rFonts w:ascii="Arial" w:cs="Arial" w:eastAsia="Arial" w:hAnsi="Arial"/>
          <w:sz w:val="18"/>
          <w:szCs w:val="18"/>
          <w:color w:val="0067B3"/>
        </w:rPr>
      </w:pPr>
      <w:r>
        <w:rPr>
          <w:rFonts w:ascii="Arial" w:cs="Arial" w:eastAsia="Arial" w:hAnsi="Arial"/>
          <w:sz w:val="18"/>
          <w:szCs w:val="18"/>
          <w:color w:val="auto"/>
        </w:rPr>
        <w:t>Publish Annual Report and Proxy Statement</w:t>
      </w:r>
    </w:p>
    <w:p>
      <w:pPr>
        <w:spacing w:after="0" w:line="49" w:lineRule="exact"/>
        <w:rPr>
          <w:rFonts w:ascii="Arial" w:cs="Arial" w:eastAsia="Arial" w:hAnsi="Arial"/>
          <w:sz w:val="18"/>
          <w:szCs w:val="18"/>
          <w:color w:val="0067B3"/>
        </w:rPr>
      </w:pPr>
    </w:p>
    <w:p>
      <w:pPr>
        <w:ind w:left="600" w:hanging="196"/>
        <w:spacing w:after="0" w:line="227" w:lineRule="auto"/>
        <w:tabs>
          <w:tab w:leader="none" w:pos="563" w:val="left"/>
        </w:tabs>
        <w:numPr>
          <w:ilvl w:val="0"/>
          <w:numId w:val="24"/>
        </w:numPr>
        <w:rPr>
          <w:rFonts w:ascii="Arial" w:cs="Arial" w:eastAsia="Arial" w:hAnsi="Arial"/>
          <w:sz w:val="18"/>
          <w:szCs w:val="18"/>
          <w:color w:val="0067B3"/>
        </w:rPr>
      </w:pPr>
      <w:r>
        <w:rPr>
          <w:rFonts w:ascii="Arial" w:cs="Arial" w:eastAsia="Arial" w:hAnsi="Arial"/>
          <w:sz w:val="18"/>
          <w:szCs w:val="18"/>
          <w:color w:val="auto"/>
        </w:rPr>
        <w:t>Conduct active outreach with top investors to discuss items to be considered at the annual meeting, if needed, given matters to be considered</w:t>
      </w:r>
    </w:p>
    <w:p>
      <w:pPr>
        <w:spacing w:after="0" w:line="20" w:lineRule="exact"/>
        <w:rPr>
          <w:rFonts w:ascii="Arial" w:cs="Arial" w:eastAsia="Arial" w:hAnsi="Arial"/>
          <w:sz w:val="18"/>
          <w:szCs w:val="18"/>
          <w:color w:val="0067B3"/>
        </w:rPr>
      </w:pPr>
    </w:p>
    <w:p>
      <w:pPr>
        <w:ind w:left="560" w:hanging="156"/>
        <w:spacing w:after="0"/>
        <w:tabs>
          <w:tab w:leader="none" w:pos="560" w:val="left"/>
        </w:tabs>
        <w:numPr>
          <w:ilvl w:val="0"/>
          <w:numId w:val="24"/>
        </w:numPr>
        <w:rPr>
          <w:rFonts w:ascii="Arial" w:cs="Arial" w:eastAsia="Arial" w:hAnsi="Arial"/>
          <w:sz w:val="18"/>
          <w:szCs w:val="18"/>
          <w:color w:val="0067B3"/>
        </w:rPr>
      </w:pPr>
      <w:r>
        <w:rPr>
          <w:rFonts w:ascii="Arial" w:cs="Arial" w:eastAsia="Arial" w:hAnsi="Arial"/>
          <w:sz w:val="18"/>
          <w:szCs w:val="18"/>
          <w:color w:val="auto"/>
        </w:rPr>
        <w:t>Annual Meeting</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201" w:hanging="201"/>
        <w:spacing w:after="0" w:line="215" w:lineRule="auto"/>
        <w:tabs>
          <w:tab w:leader="none" w:pos="164" w:val="left"/>
        </w:tabs>
        <w:numPr>
          <w:ilvl w:val="0"/>
          <w:numId w:val="25"/>
        </w:numPr>
        <w:rPr>
          <w:rFonts w:ascii="Arial" w:cs="Arial" w:eastAsia="Arial" w:hAnsi="Arial"/>
          <w:sz w:val="18"/>
          <w:szCs w:val="18"/>
          <w:color w:val="0067B3"/>
        </w:rPr>
      </w:pPr>
      <w:r>
        <w:rPr>
          <w:rFonts w:ascii="Arial" w:cs="Arial" w:eastAsia="Arial" w:hAnsi="Arial"/>
          <w:sz w:val="18"/>
          <w:szCs w:val="18"/>
          <w:color w:val="auto"/>
        </w:rPr>
        <w:t>Evaluate proxy season outcome and trends, corporate governance best practices and</w:t>
      </w:r>
    </w:p>
    <w:p>
      <w:pPr>
        <w:spacing w:after="0" w:line="1" w:lineRule="exact"/>
        <w:rPr>
          <w:rFonts w:ascii="Arial" w:cs="Arial" w:eastAsia="Arial" w:hAnsi="Arial"/>
          <w:sz w:val="18"/>
          <w:szCs w:val="18"/>
          <w:color w:val="0067B3"/>
        </w:rPr>
      </w:pPr>
    </w:p>
    <w:p>
      <w:pPr>
        <w:ind w:left="201"/>
        <w:spacing w:after="0"/>
        <w:rPr>
          <w:rFonts w:ascii="Arial" w:cs="Arial" w:eastAsia="Arial" w:hAnsi="Arial"/>
          <w:sz w:val="18"/>
          <w:szCs w:val="18"/>
          <w:color w:val="0067B3"/>
        </w:rPr>
      </w:pPr>
      <w:r>
        <w:rPr>
          <w:rFonts w:ascii="Arial" w:cs="Arial" w:eastAsia="Arial" w:hAnsi="Arial"/>
          <w:sz w:val="18"/>
          <w:szCs w:val="18"/>
          <w:color w:val="auto"/>
        </w:rPr>
        <w:t>regulatory developments</w:t>
      </w:r>
    </w:p>
    <w:p>
      <w:pPr>
        <w:spacing w:after="0" w:line="31" w:lineRule="exact"/>
        <w:rPr>
          <w:rFonts w:ascii="Arial" w:cs="Arial" w:eastAsia="Arial" w:hAnsi="Arial"/>
          <w:sz w:val="18"/>
          <w:szCs w:val="18"/>
          <w:color w:val="0067B3"/>
        </w:rPr>
      </w:pPr>
    </w:p>
    <w:p>
      <w:pPr>
        <w:ind w:left="201" w:right="320" w:hanging="201"/>
        <w:spacing w:after="0" w:line="221" w:lineRule="auto"/>
        <w:tabs>
          <w:tab w:leader="none" w:pos="164" w:val="left"/>
        </w:tabs>
        <w:numPr>
          <w:ilvl w:val="0"/>
          <w:numId w:val="25"/>
        </w:numPr>
        <w:rPr>
          <w:rFonts w:ascii="Arial" w:cs="Arial" w:eastAsia="Arial" w:hAnsi="Arial"/>
          <w:sz w:val="18"/>
          <w:szCs w:val="18"/>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189" w:right="500" w:hanging="189"/>
        <w:spacing w:after="0" w:line="221" w:lineRule="auto"/>
        <w:tabs>
          <w:tab w:leader="none" w:pos="152" w:val="left"/>
        </w:tabs>
        <w:numPr>
          <w:ilvl w:val="0"/>
          <w:numId w:val="26"/>
        </w:numPr>
        <w:rPr>
          <w:rFonts w:ascii="Arial" w:cs="Arial" w:eastAsia="Arial" w:hAnsi="Arial"/>
          <w:sz w:val="18"/>
          <w:szCs w:val="18"/>
          <w:color w:val="0067B3"/>
        </w:rPr>
      </w:pPr>
      <w:r>
        <w:rPr>
          <w:rFonts w:ascii="Arial" w:cs="Arial" w:eastAsia="Arial" w:hAnsi="Arial"/>
          <w:sz w:val="18"/>
          <w:szCs w:val="18"/>
          <w:color w:val="auto"/>
        </w:rPr>
        <w:t>Conduct active outreach with top investors to understand their top priorities and solicit feedback on governance topics, including ESG and compensation</w:t>
      </w:r>
    </w:p>
    <w:p>
      <w:pPr>
        <w:spacing w:after="0" w:line="19" w:lineRule="exact"/>
        <w:rPr>
          <w:rFonts w:ascii="Arial" w:cs="Arial" w:eastAsia="Arial" w:hAnsi="Arial"/>
          <w:sz w:val="18"/>
          <w:szCs w:val="18"/>
          <w:color w:val="0067B3"/>
        </w:rPr>
      </w:pPr>
    </w:p>
    <w:p>
      <w:pPr>
        <w:ind w:left="189" w:right="800" w:hanging="189"/>
        <w:spacing w:after="0"/>
        <w:tabs>
          <w:tab w:leader="none" w:pos="152" w:val="left"/>
        </w:tabs>
        <w:numPr>
          <w:ilvl w:val="0"/>
          <w:numId w:val="26"/>
        </w:numPr>
        <w:rPr>
          <w:rFonts w:ascii="Arial" w:cs="Arial" w:eastAsia="Arial" w:hAnsi="Arial"/>
          <w:sz w:val="18"/>
          <w:szCs w:val="18"/>
          <w:color w:val="0067B3"/>
        </w:rPr>
      </w:pPr>
      <w:r>
        <w:rPr>
          <w:rFonts w:ascii="Arial" w:cs="Arial" w:eastAsia="Arial" w:hAnsi="Arial"/>
          <w:sz w:val="18"/>
          <w:szCs w:val="18"/>
          <w:color w:val="auto"/>
        </w:rPr>
        <w:t>Share investor feedback with our Board of Directors</w:t>
      </w:r>
    </w:p>
    <w:p>
      <w:pPr>
        <w:spacing w:after="0" w:line="563" w:lineRule="exact"/>
        <w:rPr>
          <w:sz w:val="20"/>
          <w:szCs w:val="20"/>
          <w:color w:val="auto"/>
        </w:rPr>
      </w:pPr>
    </w:p>
    <w:p>
      <w:pPr>
        <w:sectPr>
          <w:pgSz w:w="11900" w:h="16838" w:orient="portrait"/>
          <w:cols w:equalWidth="0" w:num="3">
            <w:col w:w="4800" w:space="59"/>
            <w:col w:w="2901" w:space="231"/>
            <w:col w:w="3269"/>
          </w:cols>
          <w:pgMar w:left="320" w:top="1311" w:right="319" w:bottom="570" w:gutter="0" w:footer="0" w:header="0"/>
          <w:type w:val="continuous"/>
        </w:sectPr>
      </w:pPr>
    </w:p>
    <w:p>
      <w:pPr>
        <w:spacing w:after="0" w:line="8" w:lineRule="exact"/>
        <w:rPr>
          <w:sz w:val="20"/>
          <w:szCs w:val="20"/>
          <w:color w:val="auto"/>
        </w:rPr>
      </w:pPr>
    </w:p>
    <w:p>
      <w:pPr>
        <w:jc w:val="both"/>
        <w:ind w:right="40"/>
        <w:spacing w:after="0" w:line="215" w:lineRule="auto"/>
        <w:rPr>
          <w:sz w:val="20"/>
          <w:szCs w:val="20"/>
          <w:color w:val="auto"/>
        </w:rPr>
      </w:pPr>
      <w:r>
        <w:rPr>
          <w:rFonts w:ascii="Arial" w:cs="Arial" w:eastAsia="Arial" w:hAnsi="Arial"/>
          <w:sz w:val="18"/>
          <w:szCs w:val="18"/>
          <w:color w:val="auto"/>
        </w:rPr>
        <w:t>During fiscal year 2022, as part of our annual outreach program, we reached out to shareholders representing approximately 50% of our total shares outstanding, and engaged with shareholders representing nearly 30% of our total shares outstanding, as well as proxy advisory firms. Further, as a result of our 2022 say-on-pay vote, during our fall 2022 outreach, we focused on investors that voted against say-on-pay during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2022.</w:t>
      </w:r>
    </w:p>
    <w:p>
      <w:pPr>
        <w:sectPr>
          <w:pgSz w:w="11900" w:h="16838" w:orient="portrait"/>
          <w:cols w:equalWidth="0" w:num="1">
            <w:col w:w="11260"/>
          </w:cols>
          <w:pgMar w:left="320" w:top="1311" w:right="319" w:bottom="57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480" w:hanging="454"/>
        <w:spacing w:after="0"/>
        <w:tabs>
          <w:tab w:leader="none" w:pos="480" w:val="left"/>
        </w:tabs>
        <w:numPr>
          <w:ilvl w:val="0"/>
          <w:numId w:val="27"/>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ectPr>
          <w:pgSz w:w="11900" w:h="16838" w:orient="portrait"/>
          <w:cols w:equalWidth="0" w:num="1">
            <w:col w:w="11260"/>
          </w:cols>
          <w:pgMar w:left="320" w:top="1311" w:right="319" w:bottom="570" w:gutter="0" w:footer="0" w:header="0"/>
          <w:type w:val="continuous"/>
        </w:sectPr>
      </w:pPr>
    </w:p>
    <w:bookmarkStart w:id="20" w:name="page21"/>
    <w:bookmarkEnd w:id="2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27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2600"/>
        <w:spacing w:after="0" w:line="307" w:lineRule="auto"/>
        <w:rPr>
          <w:sz w:val="20"/>
          <w:szCs w:val="20"/>
          <w:color w:val="auto"/>
        </w:rPr>
      </w:pPr>
      <w:r>
        <w:rPr>
          <w:rFonts w:ascii="Arial" w:cs="Arial" w:eastAsia="Arial" w:hAnsi="Arial"/>
          <w:sz w:val="32"/>
          <w:szCs w:val="32"/>
          <w:b w:val="1"/>
          <w:bCs w:val="1"/>
          <w:color w:val="auto"/>
        </w:rPr>
        <w:t>Advisory Approval of the Compensation of Our Named Executive Officers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this proposal.</w:t>
            </w:r>
          </w:p>
        </w:tc>
        <w:tc>
          <w:tcPr>
            <w:tcW w:w="16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See page 48</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 of Compensation</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executive compensation program is designed to attract, retain and motivate top executive talent and align the interests of our executive officers and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of Direct Compensation Elements</w:t>
      </w:r>
    </w:p>
    <w:p>
      <w:pPr>
        <w:spacing w:after="0" w:line="1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Pay Element</w:t>
            </w:r>
          </w:p>
        </w:tc>
        <w:tc>
          <w:tcPr>
            <w:tcW w:w="1500" w:type="dxa"/>
            <w:vAlign w:val="bottom"/>
            <w:tcBorders>
              <w:right w:val="single" w:sz="8" w:color="0067B3"/>
            </w:tcBorders>
            <w:shd w:val="clear" w:color="auto" w:fill="0067B3"/>
          </w:tcPr>
          <w:p>
            <w:pPr>
              <w:spacing w:after="0"/>
              <w:rPr>
                <w:sz w:val="22"/>
                <w:szCs w:val="22"/>
                <w:color w:val="auto"/>
              </w:rPr>
            </w:pPr>
          </w:p>
        </w:tc>
        <w:tc>
          <w:tcPr>
            <w:tcW w:w="2760" w:type="dxa"/>
            <w:vAlign w:val="bottom"/>
            <w:tcBorders>
              <w:right w:val="single" w:sz="8" w:color="0067B3"/>
            </w:tcBorders>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2800" w:type="dxa"/>
            <w:vAlign w:val="bottom"/>
            <w:tcBorders>
              <w:right w:val="single" w:sz="8" w:color="0067B3"/>
            </w:tcBorders>
            <w:shd w:val="clear" w:color="auto" w:fill="0067B3"/>
          </w:tcPr>
          <w:p>
            <w:pPr>
              <w:ind w:left="160"/>
              <w:spacing w:after="0"/>
              <w:rPr>
                <w:sz w:val="20"/>
                <w:szCs w:val="20"/>
                <w:color w:val="auto"/>
              </w:rPr>
            </w:pPr>
            <w:r>
              <w:rPr>
                <w:rFonts w:ascii="Arial" w:cs="Arial" w:eastAsia="Arial" w:hAnsi="Arial"/>
                <w:sz w:val="16"/>
                <w:szCs w:val="16"/>
                <w:b w:val="1"/>
                <w:bCs w:val="1"/>
                <w:color w:val="FFFFFF"/>
              </w:rPr>
              <w:t>Time Period</w:t>
            </w:r>
          </w:p>
        </w:tc>
        <w:tc>
          <w:tcPr>
            <w:tcW w:w="2880" w:type="dxa"/>
            <w:vAlign w:val="bottom"/>
            <w:shd w:val="clear" w:color="auto" w:fill="0067B3"/>
          </w:tcPr>
          <w:p>
            <w:pPr>
              <w:ind w:left="160"/>
              <w:spacing w:after="0"/>
              <w:rPr>
                <w:sz w:val="20"/>
                <w:szCs w:val="20"/>
                <w:color w:val="auto"/>
              </w:rPr>
            </w:pPr>
            <w:r>
              <w:rPr>
                <w:rFonts w:ascii="Arial" w:cs="Arial" w:eastAsia="Arial" w:hAnsi="Arial"/>
                <w:sz w:val="16"/>
                <w:szCs w:val="16"/>
                <w:b w:val="1"/>
                <w:bCs w:val="1"/>
                <w:color w:val="FFFFFF"/>
              </w:rPr>
              <w:t>Performance Measures</w:t>
            </w:r>
          </w:p>
        </w:tc>
        <w:tc>
          <w:tcPr>
            <w:tcW w:w="0" w:type="dxa"/>
            <w:vAlign w:val="bottom"/>
          </w:tcPr>
          <w:p>
            <w:pPr>
              <w:spacing w:after="0"/>
              <w:rPr>
                <w:sz w:val="1"/>
                <w:szCs w:val="1"/>
                <w:color w:val="auto"/>
              </w:rPr>
            </w:pPr>
          </w:p>
        </w:tc>
      </w:tr>
      <w:tr>
        <w:trPr>
          <w:trHeight w:val="224"/>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Base Salary</w:t>
            </w:r>
          </w:p>
        </w:tc>
        <w:tc>
          <w:tcPr>
            <w:tcW w:w="1500" w:type="dxa"/>
            <w:vAlign w:val="bottom"/>
            <w:tcBorders>
              <w:right w:val="single" w:sz="8" w:color="939598"/>
            </w:tcBorders>
          </w:tcPr>
          <w:p>
            <w:pPr>
              <w:spacing w:after="0"/>
              <w:rPr>
                <w:sz w:val="19"/>
                <w:szCs w:val="19"/>
                <w:color w:val="auto"/>
              </w:rPr>
            </w:pP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Attract and retain</w:t>
            </w:r>
          </w:p>
        </w:tc>
        <w:tc>
          <w:tcPr>
            <w:tcW w:w="280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Annual</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 talent</w:t>
            </w:r>
          </w:p>
        </w:tc>
        <w:tc>
          <w:tcPr>
            <w:tcW w:w="2800" w:type="dxa"/>
            <w:vAlign w:val="bottom"/>
            <w:tcBorders>
              <w:right w:val="single" w:sz="8" w:color="939598"/>
            </w:tcBorders>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00" w:type="dxa"/>
            <w:vAlign w:val="bottom"/>
            <w:tcBorders>
              <w:bottom w:val="single" w:sz="8" w:color="939598"/>
              <w:right w:val="single" w:sz="8" w:color="939598"/>
            </w:tcBorders>
            <w:gridSpan w:val="2"/>
          </w:tcPr>
          <w:p>
            <w:pPr>
              <w:spacing w:after="0"/>
              <w:rPr>
                <w:sz w:val="2"/>
                <w:szCs w:val="2"/>
                <w:color w:val="auto"/>
              </w:rPr>
            </w:pPr>
          </w:p>
        </w:tc>
        <w:tc>
          <w:tcPr>
            <w:tcW w:w="2760" w:type="dxa"/>
            <w:vAlign w:val="bottom"/>
            <w:tcBorders>
              <w:bottom w:val="single" w:sz="8" w:color="939598"/>
              <w:right w:val="single" w:sz="8" w:color="939598"/>
            </w:tcBorders>
          </w:tcPr>
          <w:p>
            <w:pPr>
              <w:spacing w:after="0"/>
              <w:rPr>
                <w:sz w:val="2"/>
                <w:szCs w:val="2"/>
                <w:color w:val="auto"/>
              </w:rPr>
            </w:pPr>
          </w:p>
        </w:tc>
        <w:tc>
          <w:tcPr>
            <w:tcW w:w="2800" w:type="dxa"/>
            <w:vAlign w:val="bottom"/>
            <w:tcBorders>
              <w:bottom w:val="single" w:sz="8" w:color="939598"/>
              <w:right w:val="single" w:sz="8" w:color="939598"/>
            </w:tcBorders>
          </w:tcPr>
          <w:p>
            <w:pPr>
              <w:spacing w:after="0"/>
              <w:rPr>
                <w:sz w:val="2"/>
                <w:szCs w:val="2"/>
                <w:color w:val="auto"/>
              </w:rPr>
            </w:pPr>
          </w:p>
        </w:tc>
        <w:tc>
          <w:tcPr>
            <w:tcW w:w="2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Borders>
              <w:right w:val="single" w:sz="8" w:color="939598"/>
            </w:tcBorders>
            <w:gridSpan w:val="2"/>
          </w:tcPr>
          <w:p>
            <w:pPr>
              <w:ind w:left="20"/>
              <w:spacing w:after="0"/>
              <w:rPr>
                <w:sz w:val="20"/>
                <w:szCs w:val="20"/>
                <w:color w:val="auto"/>
              </w:rPr>
            </w:pPr>
            <w:r>
              <w:rPr>
                <w:rFonts w:ascii="Arial" w:cs="Arial" w:eastAsia="Arial" w:hAnsi="Arial"/>
                <w:sz w:val="18"/>
                <w:szCs w:val="18"/>
                <w:b w:val="1"/>
                <w:bCs w:val="1"/>
                <w:color w:val="auto"/>
              </w:rPr>
              <w:t>Variable Cash Incentive</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Motivate and reward our</w:t>
            </w:r>
          </w:p>
        </w:tc>
        <w:tc>
          <w:tcPr>
            <w:tcW w:w="280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Paid semi-annually, with</w:t>
            </w:r>
          </w:p>
        </w:tc>
        <w:tc>
          <w:tcPr>
            <w:tcW w:w="28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50%: quarterly OPBT margin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500" w:type="dxa"/>
            <w:vAlign w:val="bottom"/>
            <w:tcBorders>
              <w:right w:val="single" w:sz="8" w:color="939598"/>
            </w:tcBorders>
          </w:tcPr>
          <w:p>
            <w:pPr>
              <w:spacing w:after="0"/>
              <w:rPr>
                <w:sz w:val="18"/>
                <w:szCs w:val="18"/>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 officers for</w:t>
            </w:r>
          </w:p>
        </w:tc>
        <w:tc>
          <w:tcPr>
            <w:tcW w:w="280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quarterly corporate financial</w:t>
            </w:r>
          </w:p>
        </w:tc>
        <w:tc>
          <w:tcPr>
            <w:tcW w:w="288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50%: year-over-year revenue</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500" w:type="dxa"/>
            <w:vAlign w:val="bottom"/>
            <w:tcBorders>
              <w:right w:val="single" w:sz="8" w:color="939598"/>
            </w:tcBorders>
          </w:tcPr>
          <w:p>
            <w:pPr>
              <w:spacing w:after="0"/>
              <w:rPr>
                <w:sz w:val="7"/>
                <w:szCs w:val="7"/>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achieving short-term</w:t>
            </w:r>
          </w:p>
        </w:tc>
        <w:tc>
          <w:tcPr>
            <w:tcW w:w="280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targets tied to corporate</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500" w:type="dxa"/>
            <w:vAlign w:val="bottom"/>
            <w:tcBorders>
              <w:right w:val="single" w:sz="8" w:color="939598"/>
            </w:tcBorders>
          </w:tcPr>
          <w:p>
            <w:pPr>
              <w:spacing w:after="0"/>
              <w:rPr>
                <w:sz w:val="11"/>
                <w:szCs w:val="11"/>
                <w:color w:val="auto"/>
              </w:rPr>
            </w:pPr>
          </w:p>
        </w:tc>
        <w:tc>
          <w:tcPr>
            <w:tcW w:w="2760" w:type="dxa"/>
            <w:vAlign w:val="bottom"/>
            <w:tcBorders>
              <w:right w:val="single" w:sz="8" w:color="939598"/>
            </w:tcBorders>
            <w:vMerge w:val="continue"/>
          </w:tcPr>
          <w:p>
            <w:pPr>
              <w:spacing w:after="0"/>
              <w:rPr>
                <w:sz w:val="11"/>
                <w:szCs w:val="11"/>
                <w:color w:val="auto"/>
              </w:rPr>
            </w:pPr>
          </w:p>
        </w:tc>
        <w:tc>
          <w:tcPr>
            <w:tcW w:w="2800" w:type="dxa"/>
            <w:vAlign w:val="bottom"/>
            <w:tcBorders>
              <w:right w:val="single" w:sz="8" w:color="939598"/>
            </w:tcBorders>
            <w:vMerge w:val="continue"/>
          </w:tcPr>
          <w:p>
            <w:pPr>
              <w:spacing w:after="0"/>
              <w:rPr>
                <w:sz w:val="11"/>
                <w:szCs w:val="11"/>
                <w:color w:val="auto"/>
              </w:rPr>
            </w:pPr>
          </w:p>
        </w:tc>
        <w:tc>
          <w:tcPr>
            <w:tcW w:w="2880" w:type="dxa"/>
            <w:vAlign w:val="bottom"/>
            <w:vMerge w:val="restart"/>
          </w:tcPr>
          <w:p>
            <w:pPr>
              <w:ind w:left="340"/>
              <w:spacing w:after="0"/>
              <w:rPr>
                <w:sz w:val="20"/>
                <w:szCs w:val="20"/>
                <w:color w:val="auto"/>
              </w:rPr>
            </w:pPr>
            <w:r>
              <w:rPr>
                <w:rFonts w:ascii="Arial" w:cs="Arial" w:eastAsia="Arial" w:hAnsi="Arial"/>
                <w:sz w:val="18"/>
                <w:szCs w:val="18"/>
                <w:color w:val="auto"/>
              </w:rPr>
              <w:t>growth (measured quarterly)</w:t>
            </w: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500" w:type="dxa"/>
            <w:vAlign w:val="bottom"/>
            <w:tcBorders>
              <w:right w:val="single" w:sz="8" w:color="939598"/>
            </w:tcBorders>
          </w:tcPr>
          <w:p>
            <w:pPr>
              <w:spacing w:after="0"/>
              <w:rPr>
                <w:sz w:val="9"/>
                <w:szCs w:val="9"/>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company financial objectives</w:t>
            </w:r>
          </w:p>
        </w:tc>
        <w:tc>
          <w:tcPr>
            <w:tcW w:w="280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strategy of profitable growth</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1500" w:type="dxa"/>
            <w:vAlign w:val="bottom"/>
            <w:tcBorders>
              <w:right w:val="single" w:sz="8" w:color="939598"/>
            </w:tcBorders>
          </w:tcPr>
          <w:p>
            <w:pPr>
              <w:spacing w:after="0"/>
              <w:rPr>
                <w:sz w:val="9"/>
                <w:szCs w:val="9"/>
                <w:color w:val="auto"/>
              </w:rPr>
            </w:pPr>
          </w:p>
        </w:tc>
        <w:tc>
          <w:tcPr>
            <w:tcW w:w="2760" w:type="dxa"/>
            <w:vAlign w:val="bottom"/>
            <w:tcBorders>
              <w:right w:val="single" w:sz="8" w:color="939598"/>
            </w:tcBorders>
            <w:vMerge w:val="continue"/>
          </w:tcPr>
          <w:p>
            <w:pPr>
              <w:spacing w:after="0"/>
              <w:rPr>
                <w:sz w:val="9"/>
                <w:szCs w:val="9"/>
                <w:color w:val="auto"/>
              </w:rPr>
            </w:pPr>
          </w:p>
        </w:tc>
        <w:tc>
          <w:tcPr>
            <w:tcW w:w="2800" w:type="dxa"/>
            <w:vAlign w:val="bottom"/>
            <w:tcBorders>
              <w:right w:val="single" w:sz="8" w:color="939598"/>
            </w:tcBorders>
            <w:vMerge w:val="continue"/>
          </w:tcPr>
          <w:p>
            <w:pPr>
              <w:spacing w:after="0"/>
              <w:rPr>
                <w:sz w:val="9"/>
                <w:szCs w:val="9"/>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Minimum OPBT margin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00" w:type="dxa"/>
            <w:vAlign w:val="bottom"/>
            <w:tcBorders>
              <w:right w:val="single" w:sz="8" w:color="939598"/>
            </w:tcBorders>
          </w:tcPr>
          <w:p>
            <w:pPr>
              <w:spacing w:after="0"/>
              <w:rPr>
                <w:sz w:val="12"/>
                <w:szCs w:val="12"/>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aligned with value creation</w:t>
            </w:r>
          </w:p>
        </w:tc>
        <w:tc>
          <w:tcPr>
            <w:tcW w:w="2800" w:type="dxa"/>
            <w:vAlign w:val="bottom"/>
            <w:tcBorders>
              <w:right w:val="single" w:sz="8" w:color="939598"/>
            </w:tcBorders>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1500" w:type="dxa"/>
            <w:vAlign w:val="bottom"/>
            <w:tcBorders>
              <w:right w:val="single" w:sz="8" w:color="939598"/>
            </w:tcBorders>
          </w:tcPr>
          <w:p>
            <w:pPr>
              <w:spacing w:after="0"/>
              <w:rPr>
                <w:sz w:val="7"/>
                <w:szCs w:val="7"/>
                <w:color w:val="auto"/>
              </w:rPr>
            </w:pPr>
          </w:p>
        </w:tc>
        <w:tc>
          <w:tcPr>
            <w:tcW w:w="2760" w:type="dxa"/>
            <w:vAlign w:val="bottom"/>
            <w:tcBorders>
              <w:right w:val="single" w:sz="8" w:color="939598"/>
            </w:tcBorders>
            <w:vMerge w:val="continue"/>
          </w:tcPr>
          <w:p>
            <w:pPr>
              <w:spacing w:after="0"/>
              <w:rPr>
                <w:sz w:val="7"/>
                <w:szCs w:val="7"/>
                <w:color w:val="auto"/>
              </w:rPr>
            </w:pPr>
          </w:p>
        </w:tc>
        <w:tc>
          <w:tcPr>
            <w:tcW w:w="2800" w:type="dxa"/>
            <w:vAlign w:val="bottom"/>
            <w:tcBorders>
              <w:right w:val="single" w:sz="8" w:color="939598"/>
            </w:tcBorders>
          </w:tcPr>
          <w:p>
            <w:pPr>
              <w:spacing w:after="0"/>
              <w:rPr>
                <w:sz w:val="7"/>
                <w:szCs w:val="7"/>
                <w:color w:val="auto"/>
              </w:rPr>
            </w:pPr>
          </w:p>
        </w:tc>
        <w:tc>
          <w:tcPr>
            <w:tcW w:w="2880" w:type="dxa"/>
            <w:vAlign w:val="bottom"/>
            <w:vMerge w:val="restart"/>
          </w:tcPr>
          <w:p>
            <w:pPr>
              <w:ind w:left="340"/>
              <w:spacing w:after="0"/>
              <w:rPr>
                <w:sz w:val="20"/>
                <w:szCs w:val="20"/>
                <w:color w:val="auto"/>
              </w:rPr>
            </w:pPr>
            <w:r>
              <w:rPr>
                <w:rFonts w:ascii="Arial" w:cs="Arial" w:eastAsia="Arial" w:hAnsi="Arial"/>
                <w:sz w:val="18"/>
                <w:szCs w:val="18"/>
                <w:color w:val="auto"/>
              </w:rPr>
              <w:t>required for payout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00" w:type="dxa"/>
            <w:vAlign w:val="bottom"/>
            <w:tcBorders>
              <w:right w:val="single" w:sz="8" w:color="939598"/>
            </w:tcBorders>
          </w:tcPr>
          <w:p>
            <w:pPr>
              <w:spacing w:after="0"/>
              <w:rPr>
                <w:sz w:val="12"/>
                <w:szCs w:val="12"/>
                <w:color w:val="auto"/>
              </w:rPr>
            </w:pPr>
          </w:p>
        </w:tc>
        <w:tc>
          <w:tcPr>
            <w:tcW w:w="2760" w:type="dxa"/>
            <w:vAlign w:val="bottom"/>
            <w:tcBorders>
              <w:right w:val="single" w:sz="8" w:color="939598"/>
            </w:tcBorders>
          </w:tcPr>
          <w:p>
            <w:pPr>
              <w:spacing w:after="0"/>
              <w:rPr>
                <w:sz w:val="12"/>
                <w:szCs w:val="12"/>
                <w:color w:val="auto"/>
              </w:rPr>
            </w:pPr>
          </w:p>
        </w:tc>
        <w:tc>
          <w:tcPr>
            <w:tcW w:w="2800" w:type="dxa"/>
            <w:vAlign w:val="bottom"/>
            <w:tcBorders>
              <w:right w:val="single" w:sz="8" w:color="939598"/>
            </w:tcBorders>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right w:val="single" w:sz="8" w:color="939598"/>
            </w:tcBorders>
          </w:tcPr>
          <w:p>
            <w:pPr>
              <w:spacing w:after="0"/>
              <w:rPr>
                <w:sz w:val="2"/>
                <w:szCs w:val="2"/>
                <w:color w:val="auto"/>
              </w:rPr>
            </w:pPr>
          </w:p>
        </w:tc>
        <w:tc>
          <w:tcPr>
            <w:tcW w:w="2760" w:type="dxa"/>
            <w:vAlign w:val="bottom"/>
            <w:tcBorders>
              <w:bottom w:val="single" w:sz="8" w:color="939598"/>
              <w:right w:val="single" w:sz="8" w:color="939598"/>
            </w:tcBorders>
          </w:tcPr>
          <w:p>
            <w:pPr>
              <w:spacing w:after="0"/>
              <w:rPr>
                <w:sz w:val="2"/>
                <w:szCs w:val="2"/>
                <w:color w:val="auto"/>
              </w:rPr>
            </w:pPr>
          </w:p>
        </w:tc>
        <w:tc>
          <w:tcPr>
            <w:tcW w:w="2800" w:type="dxa"/>
            <w:vAlign w:val="bottom"/>
            <w:tcBorders>
              <w:bottom w:val="single" w:sz="8" w:color="939598"/>
              <w:right w:val="single" w:sz="8" w:color="939598"/>
            </w:tcBorders>
          </w:tcPr>
          <w:p>
            <w:pPr>
              <w:spacing w:after="0"/>
              <w:rPr>
                <w:sz w:val="2"/>
                <w:szCs w:val="2"/>
                <w:color w:val="auto"/>
              </w:rPr>
            </w:pPr>
          </w:p>
        </w:tc>
        <w:tc>
          <w:tcPr>
            <w:tcW w:w="2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Annual</w:t>
            </w: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TSR PRSUs</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Align executive officer and</w:t>
            </w:r>
          </w:p>
        </w:tc>
        <w:tc>
          <w:tcPr>
            <w:tcW w:w="280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Cumulative three-year period</w:t>
            </w:r>
          </w:p>
        </w:tc>
        <w:tc>
          <w:tcPr>
            <w:tcW w:w="28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Relative TSR compared to</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Long-Term</w:t>
            </w:r>
          </w:p>
        </w:tc>
        <w:tc>
          <w:tcPr>
            <w:tcW w:w="1500" w:type="dxa"/>
            <w:vAlign w:val="bottom"/>
            <w:tcBorders>
              <w:right w:val="single" w:sz="8" w:color="939598"/>
            </w:tcBorders>
          </w:tcPr>
          <w:p>
            <w:pPr>
              <w:spacing w:after="0"/>
              <w:rPr>
                <w:sz w:val="18"/>
                <w:szCs w:val="18"/>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shareholder interest to drive</w:t>
            </w:r>
          </w:p>
        </w:tc>
        <w:tc>
          <w:tcPr>
            <w:tcW w:w="2800" w:type="dxa"/>
            <w:vAlign w:val="bottom"/>
            <w:tcBorders>
              <w:right w:val="single" w:sz="8" w:color="939598"/>
            </w:tcBorders>
          </w:tcPr>
          <w:p>
            <w:pPr>
              <w:spacing w:after="0"/>
              <w:rPr>
                <w:sz w:val="18"/>
                <w:szCs w:val="18"/>
                <w:color w:val="auto"/>
              </w:rPr>
            </w:pPr>
          </w:p>
        </w:tc>
        <w:tc>
          <w:tcPr>
            <w:tcW w:w="2880" w:type="dxa"/>
            <w:vAlign w:val="bottom"/>
          </w:tcPr>
          <w:p>
            <w:pPr>
              <w:ind w:left="340"/>
              <w:spacing w:after="0"/>
              <w:rPr>
                <w:sz w:val="20"/>
                <w:szCs w:val="20"/>
                <w:color w:val="auto"/>
              </w:rPr>
            </w:pPr>
            <w:r>
              <w:rPr>
                <w:rFonts w:ascii="Arial" w:cs="Arial" w:eastAsia="Arial" w:hAnsi="Arial"/>
                <w:sz w:val="18"/>
                <w:szCs w:val="18"/>
                <w:color w:val="auto"/>
              </w:rPr>
              <w:t>comparator group</w:t>
            </w:r>
          </w:p>
        </w:tc>
        <w:tc>
          <w:tcPr>
            <w:tcW w:w="0" w:type="dxa"/>
            <w:vAlign w:val="bottom"/>
          </w:tcPr>
          <w:p>
            <w:pPr>
              <w:spacing w:after="0"/>
              <w:rPr>
                <w:sz w:val="1"/>
                <w:szCs w:val="1"/>
                <w:color w:val="auto"/>
              </w:rPr>
            </w:pPr>
          </w:p>
        </w:tc>
      </w:tr>
      <w:tr>
        <w:trPr>
          <w:trHeight w:val="24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Incentives</w:t>
            </w:r>
          </w:p>
        </w:tc>
        <w:tc>
          <w:tcPr>
            <w:tcW w:w="1500" w:type="dxa"/>
            <w:vAlign w:val="bottom"/>
            <w:tcBorders>
              <w:right w:val="single" w:sz="8" w:color="939598"/>
            </w:tcBorders>
          </w:tcPr>
          <w:p>
            <w:pPr>
              <w:spacing w:after="0"/>
              <w:rPr>
                <w:sz w:val="21"/>
                <w:szCs w:val="21"/>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superior relative TSR results</w:t>
            </w:r>
          </w:p>
        </w:tc>
        <w:tc>
          <w:tcPr>
            <w:tcW w:w="2800" w:type="dxa"/>
            <w:vAlign w:val="bottom"/>
            <w:tcBorders>
              <w:right w:val="single" w:sz="8" w:color="939598"/>
            </w:tcBorders>
          </w:tcPr>
          <w:p>
            <w:pPr>
              <w:spacing w:after="0"/>
              <w:rPr>
                <w:sz w:val="21"/>
                <w:szCs w:val="21"/>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Payouts capped at target if</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500" w:type="dxa"/>
            <w:vAlign w:val="bottom"/>
            <w:tcBorders>
              <w:right w:val="single" w:sz="8" w:color="939598"/>
            </w:tcBorders>
          </w:tcPr>
          <w:p>
            <w:pPr>
              <w:spacing w:after="0"/>
              <w:rPr>
                <w:sz w:val="4"/>
                <w:szCs w:val="4"/>
                <w:color w:val="auto"/>
              </w:rPr>
            </w:pPr>
          </w:p>
        </w:tc>
        <w:tc>
          <w:tcPr>
            <w:tcW w:w="2760" w:type="dxa"/>
            <w:vAlign w:val="bottom"/>
            <w:tcBorders>
              <w:right w:val="single" w:sz="8" w:color="939598"/>
            </w:tcBorders>
          </w:tcPr>
          <w:p>
            <w:pPr>
              <w:spacing w:after="0"/>
              <w:rPr>
                <w:sz w:val="4"/>
                <w:szCs w:val="4"/>
                <w:color w:val="auto"/>
              </w:rPr>
            </w:pPr>
          </w:p>
        </w:tc>
        <w:tc>
          <w:tcPr>
            <w:tcW w:w="2800" w:type="dxa"/>
            <w:vAlign w:val="bottom"/>
            <w:tcBorders>
              <w:right w:val="single" w:sz="8" w:color="939598"/>
            </w:tcBorders>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spacing w:after="0"/>
              <w:rPr>
                <w:sz w:val="20"/>
                <w:szCs w:val="20"/>
                <w:color w:val="auto"/>
              </w:rPr>
            </w:pPr>
          </w:p>
        </w:tc>
        <w:tc>
          <w:tcPr>
            <w:tcW w:w="2800" w:type="dxa"/>
            <w:vAlign w:val="bottom"/>
            <w:tcBorders>
              <w:right w:val="single" w:sz="8" w:color="939598"/>
            </w:tcBorders>
          </w:tcPr>
          <w:p>
            <w:pPr>
              <w:spacing w:after="0"/>
              <w:rPr>
                <w:sz w:val="20"/>
                <w:szCs w:val="20"/>
                <w:color w:val="auto"/>
              </w:rPr>
            </w:pPr>
          </w:p>
        </w:tc>
        <w:tc>
          <w:tcPr>
            <w:tcW w:w="2880" w:type="dxa"/>
            <w:vAlign w:val="bottom"/>
          </w:tcPr>
          <w:p>
            <w:pPr>
              <w:ind w:left="340"/>
              <w:spacing w:after="0"/>
              <w:rPr>
                <w:sz w:val="20"/>
                <w:szCs w:val="20"/>
                <w:color w:val="auto"/>
              </w:rPr>
            </w:pPr>
            <w:r>
              <w:rPr>
                <w:rFonts w:ascii="Arial" w:cs="Arial" w:eastAsia="Arial" w:hAnsi="Arial"/>
                <w:sz w:val="18"/>
                <w:szCs w:val="18"/>
                <w:color w:val="auto"/>
              </w:rPr>
              <w:t>absolute TSR is negative</w:t>
            </w:r>
          </w:p>
        </w:tc>
        <w:tc>
          <w:tcPr>
            <w:tcW w:w="0" w:type="dxa"/>
            <w:vAlign w:val="bottom"/>
          </w:tcPr>
          <w:p>
            <w:pPr>
              <w:spacing w:after="0"/>
              <w:rPr>
                <w:sz w:val="1"/>
                <w:szCs w:val="1"/>
                <w:color w:val="auto"/>
              </w:rPr>
            </w:pPr>
          </w:p>
        </w:tc>
      </w:tr>
      <w:tr>
        <w:trPr>
          <w:trHeight w:val="77"/>
        </w:trPr>
        <w:tc>
          <w:tcPr>
            <w:tcW w:w="1300" w:type="dxa"/>
            <w:vAlign w:val="bottom"/>
          </w:tcPr>
          <w:p>
            <w:pPr>
              <w:spacing w:after="0"/>
              <w:rPr>
                <w:sz w:val="6"/>
                <w:szCs w:val="6"/>
                <w:color w:val="auto"/>
              </w:rPr>
            </w:pPr>
          </w:p>
        </w:tc>
        <w:tc>
          <w:tcPr>
            <w:tcW w:w="1500" w:type="dxa"/>
            <w:vAlign w:val="bottom"/>
            <w:tcBorders>
              <w:bottom w:val="single" w:sz="8" w:color="939598"/>
              <w:right w:val="single" w:sz="8" w:color="939598"/>
            </w:tcBorders>
          </w:tcPr>
          <w:p>
            <w:pPr>
              <w:spacing w:after="0"/>
              <w:rPr>
                <w:sz w:val="6"/>
                <w:szCs w:val="6"/>
                <w:color w:val="auto"/>
              </w:rPr>
            </w:pPr>
          </w:p>
        </w:tc>
        <w:tc>
          <w:tcPr>
            <w:tcW w:w="2760" w:type="dxa"/>
            <w:vAlign w:val="bottom"/>
            <w:tcBorders>
              <w:bottom w:val="single" w:sz="8" w:color="939598"/>
              <w:right w:val="single" w:sz="8" w:color="939598"/>
            </w:tcBorders>
          </w:tcPr>
          <w:p>
            <w:pPr>
              <w:spacing w:after="0"/>
              <w:rPr>
                <w:sz w:val="6"/>
                <w:szCs w:val="6"/>
                <w:color w:val="auto"/>
              </w:rPr>
            </w:pPr>
          </w:p>
        </w:tc>
        <w:tc>
          <w:tcPr>
            <w:tcW w:w="2800" w:type="dxa"/>
            <w:vAlign w:val="bottom"/>
            <w:tcBorders>
              <w:bottom w:val="single" w:sz="8" w:color="939598"/>
              <w:right w:val="single" w:sz="8" w:color="939598"/>
            </w:tcBorders>
          </w:tcPr>
          <w:p>
            <w:pPr>
              <w:spacing w:after="0"/>
              <w:rPr>
                <w:sz w:val="6"/>
                <w:szCs w:val="6"/>
                <w:color w:val="auto"/>
              </w:rPr>
            </w:pPr>
          </w:p>
        </w:tc>
        <w:tc>
          <w:tcPr>
            <w:tcW w:w="288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Financial</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Align executive officer and</w:t>
            </w:r>
          </w:p>
        </w:tc>
        <w:tc>
          <w:tcPr>
            <w:tcW w:w="280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One-year, two-year</w:t>
            </w:r>
          </w:p>
        </w:tc>
        <w:tc>
          <w:tcPr>
            <w:tcW w:w="28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Non-GAAP operating profit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rPr>
              <w:t>Metric PRSUs</w:t>
            </w: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shareholder interests with</w:t>
            </w:r>
          </w:p>
        </w:tc>
        <w:tc>
          <w:tcPr>
            <w:tcW w:w="280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cumulative and three-year</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long-term profitability</w:t>
            </w:r>
          </w:p>
        </w:tc>
        <w:tc>
          <w:tcPr>
            <w:tcW w:w="280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cumulative time periods</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1300" w:type="dxa"/>
            <w:vAlign w:val="bottom"/>
          </w:tcPr>
          <w:p>
            <w:pPr>
              <w:spacing w:after="0"/>
              <w:rPr>
                <w:sz w:val="24"/>
                <w:szCs w:val="24"/>
                <w:color w:val="auto"/>
              </w:rPr>
            </w:pPr>
          </w:p>
        </w:tc>
        <w:tc>
          <w:tcPr>
            <w:tcW w:w="1500" w:type="dxa"/>
            <w:vAlign w:val="bottom"/>
            <w:tcBorders>
              <w:bottom w:val="single" w:sz="8" w:color="939598"/>
              <w:right w:val="single" w:sz="8" w:color="939598"/>
            </w:tcBorders>
          </w:tcPr>
          <w:p>
            <w:pPr>
              <w:spacing w:after="0"/>
              <w:rPr>
                <w:sz w:val="24"/>
                <w:szCs w:val="24"/>
                <w:color w:val="auto"/>
              </w:rPr>
            </w:pPr>
          </w:p>
        </w:tc>
        <w:tc>
          <w:tcPr>
            <w:tcW w:w="2760" w:type="dxa"/>
            <w:vAlign w:val="bottom"/>
            <w:tcBorders>
              <w:bottom w:val="single" w:sz="8" w:color="939598"/>
              <w:right w:val="single" w:sz="8" w:color="939598"/>
            </w:tcBorders>
          </w:tcPr>
          <w:p>
            <w:pPr>
              <w:spacing w:after="0"/>
              <w:rPr>
                <w:sz w:val="24"/>
                <w:szCs w:val="24"/>
                <w:color w:val="auto"/>
              </w:rPr>
            </w:pPr>
          </w:p>
        </w:tc>
        <w:tc>
          <w:tcPr>
            <w:tcW w:w="2800" w:type="dxa"/>
            <w:vAlign w:val="bottom"/>
            <w:tcBorders>
              <w:bottom w:val="single" w:sz="8" w:color="939598"/>
              <w:right w:val="single" w:sz="8" w:color="939598"/>
            </w:tcBorders>
          </w:tcPr>
          <w:p>
            <w:pPr>
              <w:spacing w:after="0"/>
              <w:rPr>
                <w:sz w:val="24"/>
                <w:szCs w:val="24"/>
                <w:color w:val="auto"/>
              </w:rPr>
            </w:pPr>
          </w:p>
        </w:tc>
        <w:tc>
          <w:tcPr>
            <w:tcW w:w="28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7"/>
              </w:rPr>
              <w:t>RSUs</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Attract and retain key</w:t>
            </w:r>
          </w:p>
        </w:tc>
        <w:tc>
          <w:tcPr>
            <w:tcW w:w="280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Four-year graded vesting</w:t>
            </w:r>
          </w:p>
        </w:tc>
        <w:tc>
          <w:tcPr>
            <w:tcW w:w="28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executives</w:t>
            </w:r>
          </w:p>
        </w:tc>
        <w:tc>
          <w:tcPr>
            <w:tcW w:w="2800" w:type="dxa"/>
            <w:vAlign w:val="bottom"/>
            <w:tcBorders>
              <w:right w:val="single" w:sz="8" w:color="939598"/>
            </w:tcBorders>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2800" w:type="dxa"/>
            <w:vAlign w:val="bottom"/>
            <w:tcBorders>
              <w:bottom w:val="single" w:sz="8" w:color="939598"/>
              <w:right w:val="single" w:sz="8" w:color="939598"/>
            </w:tcBorders>
            <w:gridSpan w:val="2"/>
          </w:tcPr>
          <w:p>
            <w:pPr>
              <w:spacing w:after="0"/>
              <w:rPr>
                <w:sz w:val="24"/>
                <w:szCs w:val="24"/>
                <w:color w:val="auto"/>
              </w:rPr>
            </w:pPr>
          </w:p>
        </w:tc>
        <w:tc>
          <w:tcPr>
            <w:tcW w:w="2760" w:type="dxa"/>
            <w:vAlign w:val="bottom"/>
            <w:tcBorders>
              <w:bottom w:val="single" w:sz="8" w:color="939598"/>
              <w:right w:val="single" w:sz="8" w:color="939598"/>
            </w:tcBorders>
          </w:tcPr>
          <w:p>
            <w:pPr>
              <w:spacing w:after="0"/>
              <w:rPr>
                <w:sz w:val="24"/>
                <w:szCs w:val="24"/>
                <w:color w:val="auto"/>
              </w:rPr>
            </w:pPr>
          </w:p>
        </w:tc>
        <w:tc>
          <w:tcPr>
            <w:tcW w:w="2800" w:type="dxa"/>
            <w:vAlign w:val="bottom"/>
            <w:tcBorders>
              <w:bottom w:val="single" w:sz="8" w:color="939598"/>
              <w:right w:val="single" w:sz="8" w:color="939598"/>
            </w:tcBorders>
          </w:tcPr>
          <w:p>
            <w:pPr>
              <w:spacing w:after="0"/>
              <w:rPr>
                <w:sz w:val="24"/>
                <w:szCs w:val="24"/>
                <w:color w:val="auto"/>
              </w:rPr>
            </w:pPr>
          </w:p>
        </w:tc>
        <w:tc>
          <w:tcPr>
            <w:tcW w:w="28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800" w:type="dxa"/>
            <w:vAlign w:val="bottom"/>
            <w:gridSpan w:val="2"/>
          </w:tcPr>
          <w:p>
            <w:pPr>
              <w:spacing w:after="0"/>
              <w:rPr>
                <w:sz w:val="20"/>
                <w:szCs w:val="20"/>
                <w:color w:val="auto"/>
              </w:rPr>
            </w:pPr>
            <w:r>
              <w:rPr>
                <w:rFonts w:ascii="Arial" w:cs="Arial" w:eastAsia="Arial" w:hAnsi="Arial"/>
                <w:sz w:val="16"/>
                <w:szCs w:val="16"/>
                <w:color w:val="auto"/>
              </w:rPr>
              <w:t>OPBT = Operating Profit Before Taxes</w:t>
            </w:r>
          </w:p>
        </w:tc>
        <w:tc>
          <w:tcPr>
            <w:tcW w:w="2760" w:type="dxa"/>
            <w:vAlign w:val="bottom"/>
          </w:tcPr>
          <w:p>
            <w:pPr>
              <w:ind w:left="400"/>
              <w:spacing w:after="0"/>
              <w:rPr>
                <w:sz w:val="20"/>
                <w:szCs w:val="20"/>
                <w:color w:val="auto"/>
              </w:rPr>
            </w:pPr>
            <w:r>
              <w:rPr>
                <w:rFonts w:ascii="Arial" w:cs="Arial" w:eastAsia="Arial" w:hAnsi="Arial"/>
                <w:sz w:val="16"/>
                <w:szCs w:val="16"/>
                <w:color w:val="auto"/>
              </w:rPr>
              <w:t>TSR = Total Shareholder Return</w:t>
            </w:r>
          </w:p>
        </w:tc>
        <w:tc>
          <w:tcPr>
            <w:tcW w:w="2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-2218690</wp:posOffset>
            </wp:positionV>
            <wp:extent cx="394335"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-1403985</wp:posOffset>
            </wp:positionV>
            <wp:extent cx="394335"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-727075</wp:posOffset>
            </wp:positionV>
            <wp:extent cx="394335" cy="394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96"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32"/>
          <w:szCs w:val="32"/>
          <w:b w:val="1"/>
          <w:bCs w:val="1"/>
          <w:color w:val="auto"/>
        </w:rPr>
        <w:t>Overview of CEO and Named Executive Officer Pay</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pay at ADI is strongly aligned with long-term company performance, with a significant portion of compensation delivered in long-term equity-based awards. The target pay mix shown below is based on target compensation consisting of the annual rate of base salary and short-term and long-term incentive targets approved by the Compensation and Talent Committee.</w:t>
      </w:r>
    </w:p>
    <w:p>
      <w:pPr>
        <w:spacing w:after="0" w:line="20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0067B3"/>
        </w:rPr>
        <w:t>Target Comp for CEO</w:t>
      </w:r>
      <w:r>
        <w:rPr>
          <w:rFonts w:ascii="Arial" w:cs="Arial" w:eastAsia="Arial" w:hAnsi="Arial"/>
          <w:sz w:val="23"/>
          <w:szCs w:val="23"/>
          <w:b w:val="1"/>
          <w:bCs w:val="1"/>
          <w:color w:val="0067B3"/>
          <w:vertAlign w:val="superscript"/>
        </w:rPr>
        <w:t>(1)</w:t>
      </w:r>
      <w:r>
        <w:rPr>
          <w:sz w:val="20"/>
          <w:szCs w:val="20"/>
          <w:color w:val="auto"/>
        </w:rPr>
        <w:tab/>
      </w:r>
      <w:r>
        <w:rPr>
          <w:rFonts w:ascii="Arial" w:cs="Arial" w:eastAsia="Arial" w:hAnsi="Arial"/>
          <w:sz w:val="17"/>
          <w:szCs w:val="17"/>
          <w:b w:val="1"/>
          <w:bCs w:val="1"/>
          <w:color w:val="0067B3"/>
        </w:rPr>
        <w:t>Target Comp for Other NEOs</w:t>
      </w:r>
      <w:r>
        <w:rPr>
          <w:rFonts w:ascii="Arial" w:cs="Arial" w:eastAsia="Arial" w:hAnsi="Arial"/>
          <w:sz w:val="22"/>
          <w:szCs w:val="22"/>
          <w:b w:val="1"/>
          <w:bCs w:val="1"/>
          <w:color w:val="0067B3"/>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583680" cy="15347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8368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sum of the individual amounts may not equal the total due to rounding.</w:t>
      </w:r>
    </w:p>
    <w:p>
      <w:pPr>
        <w:spacing w:after="0" w:line="70" w:lineRule="exact"/>
        <w:rPr>
          <w:rFonts w:ascii="Arial" w:cs="Arial" w:eastAsia="Arial" w:hAnsi="Arial"/>
          <w:sz w:val="21"/>
          <w:szCs w:val="21"/>
          <w:color w:val="auto"/>
          <w:vertAlign w:val="superscript"/>
        </w:rPr>
      </w:pPr>
    </w:p>
    <w:p>
      <w:pPr>
        <w:ind w:left="200" w:right="940" w:hanging="192"/>
        <w:spacing w:after="0" w:line="226" w:lineRule="auto"/>
        <w:tabs>
          <w:tab w:leader="none" w:pos="215"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 xml:space="preserve">Excludes new-hire equity awards granted to Mr. Bryant in connection with commencement of his employment with us in March 2022. See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below for a discussion of these awards.</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Performance Graph</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Fiscal year 2022 compensation actions for our executive officers, including our NEOs, are supported by solid corporate performance and strong shareholder returns. The following graph compares cumulative total shareholder return on our common stock since October 28, 2017 with the cumulative total return of the Standard &amp; Poor’s (S&amp;P) 500 Index and the Nasdaq Composite Index.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2022 Share Price Appreciation</w:t>
      </w:r>
      <w:r>
        <w:rPr>
          <w:rFonts w:ascii="Arial" w:cs="Arial" w:eastAsia="Arial" w:hAnsi="Arial"/>
          <w:sz w:val="23"/>
          <w:szCs w:val="23"/>
          <w:b w:val="1"/>
          <w:bCs w:val="1"/>
          <w:color w:val="0067B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-15240</wp:posOffset>
            </wp:positionV>
            <wp:extent cx="5469255" cy="2940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925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right="620" w:hanging="192"/>
        <w:spacing w:after="0" w:line="235" w:lineRule="auto"/>
        <w:tabs>
          <w:tab w:leader="none" w:pos="215"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This graph assumes the investment of $100 on October 28, 2017 in our common stock, the S&amp;P 500 Index and the Nasdaq Composite Index and assumes all dividends are reinvested. Measurement points are the last trading day for each respective fiscal year.</w:t>
      </w:r>
    </w:p>
    <w:p>
      <w:pPr>
        <w:spacing w:after="0" w:line="200" w:lineRule="exact"/>
        <w:rPr>
          <w:sz w:val="20"/>
          <w:szCs w:val="20"/>
          <w:color w:val="auto"/>
        </w:rPr>
      </w:pPr>
    </w:p>
    <w:p>
      <w:pPr>
        <w:spacing w:after="0" w:line="259"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ectPr>
          <w:pgSz w:w="11900" w:h="16838" w:orient="portrait"/>
          <w:cols w:equalWidth="0" w:num="1">
            <w:col w:w="11240"/>
          </w:cols>
          <w:pgMar w:left="320" w:top="1311" w:right="339" w:bottom="1440" w:gutter="0" w:footer="0" w:header="0"/>
        </w:sectPr>
      </w:pPr>
    </w:p>
    <w:bookmarkStart w:id="22" w:name="page23"/>
    <w:bookmarkEnd w:id="22"/>
    <w:p>
      <w:pPr>
        <w:spacing w:after="0"/>
        <w:rPr>
          <w:sz w:val="20"/>
          <w:szCs w:val="20"/>
          <w:color w:val="auto"/>
        </w:rPr>
      </w:pPr>
      <w:r>
        <w:rPr>
          <w:rFonts w:ascii="Arial" w:cs="Arial" w:eastAsia="Arial" w:hAnsi="Arial"/>
          <w:sz w:val="41"/>
          <w:szCs w:val="41"/>
          <w:b w:val="1"/>
          <w:bCs w:val="1"/>
          <w:color w:val="0067B3"/>
        </w:rPr>
        <w:t>Historical Say-on-Pay Votes</w:t>
      </w:r>
    </w:p>
    <w:p>
      <w:pPr>
        <w:spacing w:after="0" w:line="16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pay programs have a history of strong shareholder support, however, we saw a decrease in our say-on-pay support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40640</wp:posOffset>
            </wp:positionV>
            <wp:extent cx="2760345" cy="1174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6034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Our Compensation and Talent Committee carefully considers the results of our “say-on-pay” votes. We believe that the results of the 2022 say-on-pay advisory vote was primarily due to a one-time award granted to our CEO and Chair as discussed in our 2022 Proxy Statement under the heading </w:t>
      </w:r>
      <w:r>
        <w:rPr>
          <w:rFonts w:ascii="Arial" w:cs="Arial" w:eastAsia="Arial" w:hAnsi="Arial"/>
          <w:sz w:val="18"/>
          <w:szCs w:val="18"/>
          <w:i w:val="1"/>
          <w:iCs w:val="1"/>
          <w:color w:val="auto"/>
        </w:rPr>
        <w:t>CEO Performance Stock Option Award</w:t>
      </w:r>
      <w:r>
        <w:rPr>
          <w:rFonts w:ascii="Arial" w:cs="Arial" w:eastAsia="Arial" w:hAnsi="Arial"/>
          <w:sz w:val="18"/>
          <w:szCs w:val="18"/>
          <w:color w:val="auto"/>
        </w:rPr>
        <w:t>. During our engagement meetings with shareholders during 2022, many shareholders indicated that they understood the rationale behind the special one-time award and were generally pleased with the overall design and framework of our executive compensation program. Considering the 2022 say-on-pay vote and the feedback we received from our shareholders, the Compensation and Talent Committee determined to not make significant changes to our executive compensation program as a result of the 2022 say-on-pay vote, however, the Compensation and Talent Committee confirms that it does not intend to make future special awards to our CEO and Chair outside of our ongoing annual incentive programs while the current grant remains outstanding.</w:t>
      </w:r>
    </w:p>
    <w:p>
      <w:pPr>
        <w:spacing w:after="0" w:line="73"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 xml:space="preserve">For additional information about the feedback we received from shareholders and the actions we took in response, please see the </w:t>
      </w:r>
      <w:r>
        <w:rPr>
          <w:rFonts w:ascii="Arial" w:cs="Arial" w:eastAsia="Arial" w:hAnsi="Arial"/>
          <w:sz w:val="18"/>
          <w:szCs w:val="18"/>
          <w:i w:val="1"/>
          <w:iCs w:val="1"/>
          <w:color w:val="auto"/>
        </w:rPr>
        <w:t xml:space="preserve">Shareholder Engagement </w:t>
      </w:r>
      <w:r>
        <w:rPr>
          <w:rFonts w:ascii="Arial" w:cs="Arial" w:eastAsia="Arial" w:hAnsi="Arial"/>
          <w:sz w:val="18"/>
          <w:szCs w:val="18"/>
          <w:color w:val="auto"/>
        </w:rPr>
        <w:t>section beginning on page 38 of this Proxy Statement.</w:t>
      </w:r>
    </w:p>
    <w:p>
      <w:pPr>
        <w:spacing w:after="0" w:line="4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 xml:space="preserve">Please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beginning on page 49 of this Proxy Statement for a more detailed description of our executive compensation program, philosophy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0575" cy="2263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2263140"/>
                    </a:xfrm>
                    <a:prstGeom prst="rect">
                      <a:avLst/>
                    </a:prstGeom>
                    <a:noFill/>
                  </pic:spPr>
                </pic:pic>
              </a:graphicData>
            </a:graphic>
          </wp:anchor>
        </w:drawing>
      </w:r>
    </w:p>
    <w:p>
      <w:pPr>
        <w:spacing w:after="0" w:line="365"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Best Practices</w:t>
      </w:r>
    </w:p>
    <w:p>
      <w:pPr>
        <w:spacing w:after="0" w:line="156"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Our annual cash incentives are based solely on our financial performance</w:t>
      </w:r>
    </w:p>
    <w:p>
      <w:pPr>
        <w:spacing w:after="0" w:line="90"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 significant portion of equity awards are contingent upon long-term performance achievement</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Incentive awards are tied to rigorous performance targets aligned with our corporate strategy</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Payout for relative TSR-based awards capped at target for instances of negative absolute TSR</w:t>
      </w:r>
    </w:p>
    <w:p>
      <w:pPr>
        <w:spacing w:after="0" w:line="90" w:lineRule="exact"/>
        <w:rPr>
          <w:sz w:val="20"/>
          <w:szCs w:val="20"/>
          <w:color w:val="auto"/>
        </w:rPr>
      </w:pPr>
    </w:p>
    <w:p>
      <w:pPr>
        <w:ind w:left="500" w:right="700" w:hanging="255"/>
        <w:spacing w:after="0"/>
        <w:rPr>
          <w:sz w:val="20"/>
          <w:szCs w:val="20"/>
          <w:color w:val="auto"/>
        </w:rPr>
      </w:pPr>
      <w:r>
        <w:rPr>
          <w:sz w:val="1"/>
          <w:szCs w:val="1"/>
          <w:color w:val="auto"/>
        </w:rPr>
        <w:drawing>
          <wp:inline distT="0" distB="0" distL="0" distR="0">
            <wp:extent cx="85725" cy="685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Clawback policy for our CEO and other named executive officers in the event of a material financial restatement due to fraud or willful misconduct</w:t>
      </w:r>
    </w:p>
    <w:p>
      <w:pPr>
        <w:spacing w:after="0" w:line="45" w:lineRule="exact"/>
        <w:rPr>
          <w:sz w:val="20"/>
          <w:szCs w:val="20"/>
          <w:color w:val="auto"/>
        </w:rPr>
      </w:pPr>
    </w:p>
    <w:p>
      <w:pPr>
        <w:ind w:left="240" w:right="2180"/>
        <w:spacing w:after="0" w:line="336" w:lineRule="auto"/>
        <w:rPr>
          <w:sz w:val="20"/>
          <w:szCs w:val="20"/>
          <w:color w:val="auto"/>
        </w:rPr>
      </w:pPr>
      <w:r>
        <w:rPr>
          <w:sz w:val="1"/>
          <w:szCs w:val="1"/>
          <w:color w:val="auto"/>
        </w:rPr>
        <w:drawing>
          <wp:inline distT="0" distB="0" distL="0" distR="0">
            <wp:extent cx="85725" cy="685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Specific policy regarding the grant dates of equity awards for our directors, executive officers and employees </w:t>
      </w:r>
      <w:r>
        <w:rPr>
          <w:sz w:val="1"/>
          <w:szCs w:val="1"/>
          <w:color w:val="auto"/>
        </w:rPr>
        <w:drawing>
          <wp:inline distT="0" distB="0" distL="0" distR="0">
            <wp:extent cx="85725" cy="6858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Stock ownership guidelines for our Leadership Team and directors</w:t>
      </w:r>
    </w:p>
    <w:p>
      <w:pPr>
        <w:spacing w:after="0" w:line="1"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Prohibit hedging and pledging of ADI securities</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Annual “say-on-pay” vote</w:t>
      </w: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15</w:t>
      </w:r>
    </w:p>
    <w:p>
      <w:pPr>
        <w:sectPr>
          <w:pgSz w:w="11900" w:h="16838" w:orient="portrait"/>
          <w:cols w:equalWidth="0" w:num="1">
            <w:col w:w="11220"/>
          </w:cols>
          <w:pgMar w:left="320" w:top="1356" w:right="359" w:bottom="1440" w:gutter="0" w:footer="0" w:header="0"/>
        </w:sectPr>
      </w:pPr>
    </w:p>
    <w:bookmarkStart w:id="23" w:name="page24"/>
    <w:bookmarkEnd w:id="2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517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17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ind w:left="220" w:right="340"/>
        <w:spacing w:after="0" w:line="281" w:lineRule="auto"/>
        <w:rPr>
          <w:sz w:val="20"/>
          <w:szCs w:val="20"/>
          <w:color w:val="auto"/>
        </w:rPr>
      </w:pPr>
      <w:r>
        <w:rPr>
          <w:rFonts w:ascii="Arial" w:cs="Arial" w:eastAsia="Arial" w:hAnsi="Arial"/>
          <w:sz w:val="32"/>
          <w:szCs w:val="32"/>
          <w:b w:val="1"/>
          <w:bCs w:val="1"/>
          <w:color w:val="auto"/>
        </w:rPr>
        <w:t>Non-binding “Say-on-Frequency” Vote Regarding the Frequency of Future Advisory Votes on the Compensation of Our Named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for every </w:t>
            </w:r>
            <w:r>
              <w:rPr>
                <w:rFonts w:ascii="Arial" w:cs="Arial" w:eastAsia="Arial" w:hAnsi="Arial"/>
                <w:sz w:val="18"/>
                <w:szCs w:val="18"/>
                <w:b w:val="1"/>
                <w:bCs w:val="1"/>
                <w:color w:val="0067B3"/>
              </w:rPr>
              <w:t>1 YEAR</w:t>
            </w:r>
            <w:r>
              <w:rPr>
                <w:rFonts w:ascii="Arial" w:cs="Arial" w:eastAsia="Arial" w:hAnsi="Arial"/>
                <w:sz w:val="18"/>
                <w:szCs w:val="18"/>
                <w:color w:val="auto"/>
              </w:rPr>
              <w:t xml:space="preserve"> for this proposal</w:t>
            </w:r>
          </w:p>
        </w:tc>
        <w:tc>
          <w:tcPr>
            <w:tcW w:w="16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See page 79</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176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4</w:t>
      </w:r>
    </w:p>
    <w:p>
      <w:pPr>
        <w:spacing w:after="0" w:line="106" w:lineRule="exact"/>
        <w:rPr>
          <w:sz w:val="20"/>
          <w:szCs w:val="20"/>
          <w:color w:val="auto"/>
        </w:rPr>
      </w:pPr>
    </w:p>
    <w:p>
      <w:pPr>
        <w:ind w:left="220" w:right="22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Fiscal Year Ending October 28,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9560" w:type="dxa"/>
            <w:vAlign w:val="bottom"/>
            <w:shd w:val="clear" w:color="auto" w:fill="E2E6F4"/>
          </w:tcPr>
          <w:p>
            <w:pPr>
              <w:ind w:left="2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7B3"/>
              </w:rPr>
              <w:t>FOR</w:t>
            </w:r>
            <w:r>
              <w:rPr>
                <w:rFonts w:ascii="Arial" w:cs="Arial" w:eastAsia="Arial" w:hAnsi="Arial"/>
                <w:sz w:val="18"/>
                <w:szCs w:val="18"/>
                <w:color w:val="auto"/>
              </w:rPr>
              <w:t xml:space="preserve"> this proposal</w:t>
            </w:r>
          </w:p>
        </w:tc>
        <w:tc>
          <w:tcPr>
            <w:tcW w:w="168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See page 80</w:t>
            </w:r>
          </w:p>
        </w:tc>
      </w:tr>
      <w:tr>
        <w:trPr>
          <w:trHeight w:val="123"/>
        </w:trPr>
        <w:tc>
          <w:tcPr>
            <w:tcW w:w="9560" w:type="dxa"/>
            <w:vAlign w:val="bottom"/>
            <w:shd w:val="clear" w:color="auto" w:fill="E2E6F4"/>
          </w:tcPr>
          <w:p>
            <w:pPr>
              <w:spacing w:after="0"/>
              <w:rPr>
                <w:sz w:val="10"/>
                <w:szCs w:val="10"/>
                <w:color w:val="auto"/>
              </w:rPr>
            </w:pPr>
          </w:p>
        </w:tc>
        <w:tc>
          <w:tcPr>
            <w:tcW w:w="1680" w:type="dxa"/>
            <w:vAlign w:val="bottom"/>
          </w:tcPr>
          <w:p>
            <w:pPr>
              <w:spacing w:after="0"/>
              <w:rPr>
                <w:sz w:val="10"/>
                <w:szCs w:val="10"/>
                <w:color w:val="auto"/>
              </w:rPr>
            </w:pPr>
          </w:p>
        </w:tc>
      </w:tr>
      <w:tr>
        <w:trPr>
          <w:trHeight w:val="148"/>
        </w:trPr>
        <w:tc>
          <w:tcPr>
            <w:tcW w:w="9560" w:type="dxa"/>
            <w:vAlign w:val="bottom"/>
            <w:shd w:val="clear" w:color="auto" w:fill="E2E6F4"/>
          </w:tcPr>
          <w:p>
            <w:pPr>
              <w:spacing w:after="0"/>
              <w:rPr>
                <w:sz w:val="12"/>
                <w:szCs w:val="12"/>
                <w:color w:val="auto"/>
              </w:rPr>
            </w:pPr>
          </w:p>
        </w:tc>
        <w:tc>
          <w:tcPr>
            <w:tcW w:w="1680" w:type="dxa"/>
            <w:vAlign w:val="bottom"/>
            <w:shd w:val="clear" w:color="auto" w:fill="E2E6F4"/>
          </w:tcPr>
          <w:p>
            <w:pPr>
              <w:spacing w:after="0"/>
              <w:rPr>
                <w:sz w:val="12"/>
                <w:szCs w:val="12"/>
                <w:color w:val="auto"/>
              </w:rPr>
            </w:pPr>
          </w:p>
        </w:tc>
      </w:tr>
    </w:tbl>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31"/>
        </w:numPr>
        <w:rPr>
          <w:rFonts w:ascii="Arial" w:cs="Arial" w:eastAsia="Arial" w:hAnsi="Arial"/>
          <w:sz w:val="20"/>
          <w:szCs w:val="20"/>
          <w:b w:val="1"/>
          <w:bCs w:val="1"/>
          <w:color w:val="auto"/>
        </w:rPr>
      </w:pPr>
      <w:r>
        <w:rPr>
          <w:rFonts w:ascii="Arial" w:cs="Arial" w:eastAsia="Arial" w:hAnsi="Arial"/>
          <w:sz w:val="16"/>
          <w:szCs w:val="16"/>
          <w:color w:val="6D6E71"/>
        </w:rPr>
        <w:t>Proxy Summary</w:t>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58"/>
          <w:szCs w:val="5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449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Election of Directors</w:t>
      </w:r>
    </w:p>
    <w:p>
      <w:pPr>
        <w:spacing w:after="0" w:line="362" w:lineRule="exact"/>
        <w:rPr>
          <w:sz w:val="20"/>
          <w:szCs w:val="20"/>
          <w:color w:val="auto"/>
        </w:rPr>
      </w:pPr>
    </w:p>
    <w:p>
      <w:pPr>
        <w:ind w:left="220" w:right="300"/>
        <w:spacing w:after="0" w:line="298" w:lineRule="auto"/>
        <w:rPr>
          <w:sz w:val="20"/>
          <w:szCs w:val="20"/>
          <w:color w:val="auto"/>
        </w:rPr>
      </w:pPr>
      <w:r>
        <w:rPr>
          <w:rFonts w:ascii="Arial" w:cs="Arial" w:eastAsia="Arial" w:hAnsi="Arial"/>
          <w:sz w:val="27"/>
          <w:szCs w:val="27"/>
          <w:b w:val="1"/>
          <w:bCs w:val="1"/>
          <w:color w:val="0067B3"/>
        </w:rPr>
        <w:t>Our Board of Directors unanimously recommends that you vote FOR the election of each of the below director nominees.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director nominees: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shd w:val="clear" w:color="auto" w:fill="0067B3"/>
          </w:tcPr>
          <w:p>
            <w:pPr>
              <w:ind w:left="20"/>
              <w:spacing w:after="0"/>
              <w:rPr>
                <w:sz w:val="20"/>
                <w:szCs w:val="20"/>
                <w:color w:val="auto"/>
              </w:rPr>
            </w:pPr>
            <w:r>
              <w:rPr>
                <w:rFonts w:ascii="Arial" w:cs="Arial" w:eastAsia="Arial" w:hAnsi="Arial"/>
                <w:sz w:val="16"/>
                <w:szCs w:val="16"/>
                <w:color w:val="FFFFFF"/>
              </w:rPr>
              <w:t>Name</w:t>
            </w:r>
          </w:p>
        </w:tc>
        <w:tc>
          <w:tcPr>
            <w:tcW w:w="8240" w:type="dxa"/>
            <w:vAlign w:val="bottom"/>
            <w:shd w:val="clear" w:color="auto" w:fill="0067B3"/>
          </w:tcPr>
          <w:p>
            <w:pPr>
              <w:ind w:left="760"/>
              <w:spacing w:after="0"/>
              <w:rPr>
                <w:sz w:val="20"/>
                <w:szCs w:val="20"/>
                <w:color w:val="auto"/>
              </w:rPr>
            </w:pPr>
            <w:r>
              <w:rPr>
                <w:rFonts w:ascii="Arial" w:cs="Arial" w:eastAsia="Arial" w:hAnsi="Arial"/>
                <w:sz w:val="16"/>
                <w:szCs w:val="16"/>
                <w:color w:val="FFFFFF"/>
              </w:rPr>
              <w:t>Position(s) with ADI</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b w:val="1"/>
                <w:bCs w:val="1"/>
                <w:color w:val="0067B3"/>
              </w:rPr>
              <w:t>Vincent Roche</w:t>
            </w:r>
          </w:p>
        </w:tc>
        <w:tc>
          <w:tcPr>
            <w:tcW w:w="8240" w:type="dxa"/>
            <w:vAlign w:val="bottom"/>
          </w:tcPr>
          <w:p>
            <w:pPr>
              <w:ind w:left="76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78"/>
        </w:trPr>
        <w:tc>
          <w:tcPr>
            <w:tcW w:w="3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p>
        </w:tc>
        <w:tc>
          <w:tcPr>
            <w:tcW w:w="8240" w:type="dxa"/>
            <w:vAlign w:val="bottom"/>
            <w:shd w:val="clear" w:color="auto" w:fill="E2E6F4"/>
          </w:tcPr>
          <w:p>
            <w:pPr>
              <w:ind w:left="760"/>
              <w:spacing w:after="0"/>
              <w:rPr>
                <w:sz w:val="20"/>
                <w:szCs w:val="20"/>
                <w:color w:val="auto"/>
              </w:rPr>
            </w:pPr>
            <w:r>
              <w:rPr>
                <w:rFonts w:ascii="Arial" w:cs="Arial" w:eastAsia="Arial" w:hAnsi="Arial"/>
                <w:sz w:val="18"/>
                <w:szCs w:val="18"/>
                <w:color w:val="auto"/>
              </w:rPr>
              <w:t>Presiding Director</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b w:val="1"/>
                <w:bCs w:val="1"/>
                <w:color w:val="0067B3"/>
              </w:rPr>
              <w:t>André Andonian</w:t>
            </w:r>
          </w:p>
        </w:tc>
        <w:tc>
          <w:tcPr>
            <w:tcW w:w="824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78"/>
        </w:trPr>
        <w:tc>
          <w:tcPr>
            <w:tcW w:w="3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Anantha P. Chandrakasan</w:t>
            </w:r>
          </w:p>
        </w:tc>
        <w:tc>
          <w:tcPr>
            <w:tcW w:w="8240" w:type="dxa"/>
            <w:vAlign w:val="bottom"/>
            <w:shd w:val="clear" w:color="auto" w:fill="E2E6F4"/>
          </w:tcPr>
          <w:p>
            <w:pPr>
              <w:ind w:left="760"/>
              <w:spacing w:after="0"/>
              <w:rPr>
                <w:sz w:val="20"/>
                <w:szCs w:val="20"/>
                <w:color w:val="auto"/>
              </w:rPr>
            </w:pPr>
            <w:r>
              <w:rPr>
                <w:rFonts w:ascii="Arial" w:cs="Arial" w:eastAsia="Arial" w:hAnsi="Arial"/>
                <w:sz w:val="18"/>
                <w:szCs w:val="18"/>
                <w:color w:val="auto"/>
              </w:rPr>
              <w:t>Director</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b w:val="1"/>
                <w:bCs w:val="1"/>
                <w:color w:val="0067B3"/>
              </w:rPr>
              <w:t>Edward H. Frank</w:t>
            </w:r>
          </w:p>
        </w:tc>
        <w:tc>
          <w:tcPr>
            <w:tcW w:w="824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78"/>
        </w:trPr>
        <w:tc>
          <w:tcPr>
            <w:tcW w:w="3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8240" w:type="dxa"/>
            <w:vAlign w:val="bottom"/>
            <w:shd w:val="clear" w:color="auto" w:fill="E2E6F4"/>
          </w:tcPr>
          <w:p>
            <w:pPr>
              <w:ind w:left="760"/>
              <w:spacing w:after="0"/>
              <w:rPr>
                <w:sz w:val="20"/>
                <w:szCs w:val="20"/>
                <w:color w:val="auto"/>
              </w:rPr>
            </w:pPr>
            <w:r>
              <w:rPr>
                <w:rFonts w:ascii="Arial" w:cs="Arial" w:eastAsia="Arial" w:hAnsi="Arial"/>
                <w:sz w:val="18"/>
                <w:szCs w:val="18"/>
                <w:color w:val="auto"/>
              </w:rPr>
              <w:t>Director</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b w:val="1"/>
                <w:bCs w:val="1"/>
                <w:color w:val="0067B3"/>
              </w:rPr>
              <w:t>Karen M. Golz</w:t>
            </w:r>
          </w:p>
        </w:tc>
        <w:tc>
          <w:tcPr>
            <w:tcW w:w="824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78"/>
        </w:trPr>
        <w:tc>
          <w:tcPr>
            <w:tcW w:w="3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8240" w:type="dxa"/>
            <w:vAlign w:val="bottom"/>
            <w:shd w:val="clear" w:color="auto" w:fill="E2E6F4"/>
          </w:tcPr>
          <w:p>
            <w:pPr>
              <w:ind w:left="760"/>
              <w:spacing w:after="0"/>
              <w:rPr>
                <w:sz w:val="20"/>
                <w:szCs w:val="20"/>
                <w:color w:val="auto"/>
              </w:rPr>
            </w:pPr>
            <w:r>
              <w:rPr>
                <w:rFonts w:ascii="Arial" w:cs="Arial" w:eastAsia="Arial" w:hAnsi="Arial"/>
                <w:sz w:val="18"/>
                <w:szCs w:val="18"/>
                <w:color w:val="auto"/>
              </w:rPr>
              <w:t>Director</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b w:val="1"/>
                <w:bCs w:val="1"/>
                <w:color w:val="0067B3"/>
              </w:rPr>
              <w:t>Kenton J. Sicchitano</w:t>
            </w:r>
          </w:p>
        </w:tc>
        <w:tc>
          <w:tcPr>
            <w:tcW w:w="824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78"/>
        </w:trPr>
        <w:tc>
          <w:tcPr>
            <w:tcW w:w="300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Ray Stata</w:t>
            </w:r>
          </w:p>
        </w:tc>
        <w:tc>
          <w:tcPr>
            <w:tcW w:w="8240" w:type="dxa"/>
            <w:vAlign w:val="bottom"/>
            <w:shd w:val="clear" w:color="auto" w:fill="E2E6F4"/>
          </w:tcPr>
          <w:p>
            <w:pPr>
              <w:ind w:left="760"/>
              <w:spacing w:after="0"/>
              <w:rPr>
                <w:sz w:val="20"/>
                <w:szCs w:val="20"/>
                <w:color w:val="auto"/>
              </w:rPr>
            </w:pPr>
            <w:r>
              <w:rPr>
                <w:rFonts w:ascii="Arial" w:cs="Arial" w:eastAsia="Arial" w:hAnsi="Arial"/>
                <w:sz w:val="18"/>
                <w:szCs w:val="18"/>
                <w:color w:val="auto"/>
              </w:rPr>
              <w:t>Director</w:t>
            </w:r>
          </w:p>
        </w:tc>
      </w:tr>
      <w:tr>
        <w:trPr>
          <w:trHeight w:val="264"/>
        </w:trPr>
        <w:tc>
          <w:tcPr>
            <w:tcW w:w="300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Susie Wee</w:t>
            </w:r>
          </w:p>
        </w:tc>
        <w:tc>
          <w:tcPr>
            <w:tcW w:w="8240" w:type="dxa"/>
            <w:vAlign w:val="bottom"/>
            <w:tcBorders>
              <w:bottom w:val="single" w:sz="8" w:color="0067B3"/>
            </w:tcBorders>
          </w:tcPr>
          <w:p>
            <w:pPr>
              <w:ind w:left="760"/>
              <w:spacing w:after="0"/>
              <w:rPr>
                <w:sz w:val="20"/>
                <w:szCs w:val="20"/>
                <w:color w:val="auto"/>
              </w:rPr>
            </w:pPr>
            <w:r>
              <w:rPr>
                <w:rFonts w:ascii="Arial" w:cs="Arial" w:eastAsia="Arial" w:hAnsi="Arial"/>
                <w:sz w:val="18"/>
                <w:szCs w:val="18"/>
                <w:color w:val="auto"/>
              </w:rPr>
              <w:t>Director</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Election Process</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All members of our Board of Directors are elected annually by our shareholders and currently consists of thirteen directors, of whom ten are deemed to be “independent directors” as defined and in accordance with the Nasdaq Stock Market, Inc. Marketplace Rules, or Nasdaq Rules. On June 24, 2022, our Board of Directors increased the size of our Board of Directors to thirteen members and elected Mr. Andonian as an independent director, effective June 27, 2022. On January 17, 2023, each of Messrs. Doluca and Evans informed our Board of Directors of their intent to retire from our Board of Directors and not stand for re-election. Consequently, each of Messrs. Doluca and Evans’ term as a director will expire at the Annual Meeting on March 8, 2023. Our Nominating and Corporate Governance Committee recommended, and our Board of Directors has determined, to nominate all other current directors for reelection in 2023. As such, at the Annual Meeting, our shareholders will have an opportunity to vote for each of the eleven nominees listed above. If the current nominees are elected, we will have eleven members serving on our Board of Directors, of whom nine are deemed to be “independent directors” in accordance with Nasdaq Rules, and the number of directors composing our Board of Directors will be reduced to eleven. The persons named in the proxy card, upon receipt of a properly executed proxy, will vote for each of these nominees, unless you instruct them to vote otherwise on the proxy card (whether executed by you or through Internet or telephonic voting). Each of the director nominees has indicated his or her willingness to serve, if elected. However, if any or all of the director nominees should be unable or unwilling to serve, the proxies may be voted for a substitute nominee designated by our Board of Directors or our Board of Directors may reduce the number of directors.</w:t>
      </w:r>
    </w:p>
    <w:p>
      <w:pPr>
        <w:spacing w:after="0" w:line="34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17</w:t>
      </w:r>
    </w:p>
    <w:p>
      <w:pPr>
        <w:sectPr>
          <w:pgSz w:w="11900" w:h="16838" w:orient="portrait"/>
          <w:cols w:equalWidth="0" w:num="1">
            <w:col w:w="11240"/>
          </w:cols>
          <w:pgMar w:left="320" w:top="1126" w:right="33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Board Refreshment</w:t>
      </w:r>
    </w:p>
    <w:p>
      <w:pPr>
        <w:spacing w:after="0" w:line="15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Board of Directors has been focused on refreshment, regularly bringing in new viewpoints and skills. As a result of ongoing Board refreshment, we have added 6 new directors in the last five years.</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877"/>
        </w:trPr>
        <w:tc>
          <w:tcPr>
            <w:tcW w:w="1880" w:type="dxa"/>
            <w:vAlign w:val="bottom"/>
            <w:tcBorders>
              <w:left w:val="single" w:sz="8" w:color="E2E6F4"/>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6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E2E6F4"/>
            </w:tcBorders>
            <w:shd w:val="clear" w:color="auto" w:fill="E2E6F4"/>
          </w:tcPr>
          <w:p>
            <w:pPr>
              <w:spacing w:after="0"/>
              <w:rPr>
                <w:sz w:val="24"/>
                <w:szCs w:val="24"/>
                <w:color w:val="auto"/>
              </w:rPr>
            </w:pPr>
          </w:p>
        </w:tc>
        <w:tc>
          <w:tcPr>
            <w:tcW w:w="1880" w:type="dxa"/>
            <w:vAlign w:val="bottom"/>
            <w:tcBorders>
              <w:right w:val="single" w:sz="8" w:color="0067B3"/>
            </w:tcBorders>
            <w:shd w:val="clear" w:color="auto" w:fill="E2E6F4"/>
          </w:tcPr>
          <w:p>
            <w:pPr>
              <w:spacing w:after="0"/>
              <w:rPr>
                <w:sz w:val="24"/>
                <w:szCs w:val="24"/>
                <w:color w:val="auto"/>
              </w:rPr>
            </w:pPr>
          </w:p>
        </w:tc>
      </w:tr>
      <w:tr>
        <w:trPr>
          <w:trHeight w:val="274"/>
        </w:trPr>
        <w:tc>
          <w:tcPr>
            <w:tcW w:w="188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22"/>
                <w:szCs w:val="22"/>
                <w:b w:val="1"/>
                <w:bCs w:val="1"/>
                <w:color w:val="0067B3"/>
              </w:rPr>
              <w:t>Karen M. Golz</w:t>
            </w: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Anantha P.</w:t>
            </w: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Susie Wee</w:t>
            </w:r>
          </w:p>
        </w:tc>
        <w:tc>
          <w:tcPr>
            <w:tcW w:w="186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Laurie H.</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Mercedes</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André Andonian</w:t>
            </w:r>
          </w:p>
        </w:tc>
      </w:tr>
      <w:tr>
        <w:trPr>
          <w:trHeight w:val="310"/>
        </w:trPr>
        <w:tc>
          <w:tcPr>
            <w:tcW w:w="1880" w:type="dxa"/>
            <w:vAlign w:val="bottom"/>
            <w:tcBorders>
              <w:left w:val="single" w:sz="8" w:color="0067B3"/>
              <w:right w:val="single" w:sz="8" w:color="0067B3"/>
            </w:tcBorders>
          </w:tcPr>
          <w:p>
            <w:pPr>
              <w:spacing w:after="0"/>
              <w:rPr>
                <w:sz w:val="24"/>
                <w:szCs w:val="24"/>
                <w:color w:val="auto"/>
              </w:rPr>
            </w:pPr>
          </w:p>
        </w:tc>
        <w:tc>
          <w:tcPr>
            <w:tcW w:w="188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Chandrakasan</w:t>
            </w:r>
          </w:p>
        </w:tc>
        <w:tc>
          <w:tcPr>
            <w:tcW w:w="1880" w:type="dxa"/>
            <w:vAlign w:val="bottom"/>
            <w:tcBorders>
              <w:right w:val="single" w:sz="8" w:color="0067B3"/>
            </w:tcBorders>
          </w:tcPr>
          <w:p>
            <w:pPr>
              <w:spacing w:after="0"/>
              <w:rPr>
                <w:sz w:val="24"/>
                <w:szCs w:val="24"/>
                <w:color w:val="auto"/>
              </w:rPr>
            </w:pPr>
          </w:p>
        </w:tc>
        <w:tc>
          <w:tcPr>
            <w:tcW w:w="1860" w:type="dxa"/>
            <w:vAlign w:val="bottom"/>
            <w:tcBorders>
              <w:right w:val="single" w:sz="8" w:color="0067B3"/>
            </w:tcBorders>
          </w:tcPr>
          <w:p>
            <w:pPr>
              <w:spacing w:after="0"/>
              <w:rPr>
                <w:sz w:val="20"/>
                <w:szCs w:val="20"/>
                <w:color w:val="auto"/>
              </w:rPr>
            </w:pPr>
            <w:r>
              <w:rPr>
                <w:rFonts w:ascii="Arial" w:cs="Arial" w:eastAsia="Arial" w:hAnsi="Arial"/>
                <w:sz w:val="22"/>
                <w:szCs w:val="22"/>
                <w:b w:val="1"/>
                <w:bCs w:val="1"/>
                <w:color w:val="0067B3"/>
              </w:rPr>
              <w:t>Glimcher</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22"/>
                <w:szCs w:val="22"/>
                <w:b w:val="1"/>
                <w:bCs w:val="1"/>
                <w:color w:val="0067B3"/>
              </w:rPr>
              <w:t>Johnson</w:t>
            </w:r>
          </w:p>
        </w:tc>
        <w:tc>
          <w:tcPr>
            <w:tcW w:w="1880" w:type="dxa"/>
            <w:vAlign w:val="bottom"/>
            <w:tcBorders>
              <w:right w:val="single" w:sz="8" w:color="0067B3"/>
            </w:tcBorders>
          </w:tcPr>
          <w:p>
            <w:pPr>
              <w:spacing w:after="0"/>
              <w:rPr>
                <w:sz w:val="24"/>
                <w:szCs w:val="24"/>
                <w:color w:val="auto"/>
              </w:rPr>
            </w:pPr>
          </w:p>
        </w:tc>
      </w:tr>
      <w:tr>
        <w:trPr>
          <w:trHeight w:val="250"/>
        </w:trPr>
        <w:tc>
          <w:tcPr>
            <w:tcW w:w="188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7"/>
                <w:szCs w:val="17"/>
                <w:b w:val="1"/>
                <w:bCs w:val="1"/>
                <w:color w:val="auto"/>
              </w:rPr>
              <w:t>2018</w:t>
            </w:r>
          </w:p>
        </w:tc>
        <w:tc>
          <w:tcPr>
            <w:tcW w:w="188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2019</w:t>
            </w:r>
          </w:p>
        </w:tc>
        <w:tc>
          <w:tcPr>
            <w:tcW w:w="188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2019</w:t>
            </w:r>
          </w:p>
        </w:tc>
        <w:tc>
          <w:tcPr>
            <w:tcW w:w="1860" w:type="dxa"/>
            <w:vAlign w:val="bottom"/>
            <w:tcBorders>
              <w:right w:val="single" w:sz="8" w:color="0067B3"/>
            </w:tcBorders>
          </w:tcPr>
          <w:p>
            <w:pPr>
              <w:spacing w:after="0"/>
              <w:rPr>
                <w:sz w:val="20"/>
                <w:szCs w:val="20"/>
                <w:color w:val="auto"/>
              </w:rPr>
            </w:pPr>
            <w:r>
              <w:rPr>
                <w:rFonts w:ascii="Arial" w:cs="Arial" w:eastAsia="Arial" w:hAnsi="Arial"/>
                <w:sz w:val="17"/>
                <w:szCs w:val="17"/>
                <w:b w:val="1"/>
                <w:bCs w:val="1"/>
                <w:color w:val="auto"/>
              </w:rPr>
              <w:t>2020</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17"/>
                <w:szCs w:val="17"/>
                <w:b w:val="1"/>
                <w:bCs w:val="1"/>
                <w:color w:val="auto"/>
              </w:rPr>
              <w:t>2021</w:t>
            </w:r>
          </w:p>
        </w:tc>
        <w:tc>
          <w:tcPr>
            <w:tcW w:w="1880" w:type="dxa"/>
            <w:vAlign w:val="bottom"/>
            <w:tcBorders>
              <w:right w:val="single" w:sz="8" w:color="0067B3"/>
            </w:tcBorders>
          </w:tcPr>
          <w:p>
            <w:pPr>
              <w:ind w:left="20"/>
              <w:spacing w:after="0"/>
              <w:rPr>
                <w:sz w:val="20"/>
                <w:szCs w:val="20"/>
                <w:color w:val="auto"/>
              </w:rPr>
            </w:pPr>
            <w:r>
              <w:rPr>
                <w:rFonts w:ascii="Arial" w:cs="Arial" w:eastAsia="Arial" w:hAnsi="Arial"/>
                <w:sz w:val="17"/>
                <w:szCs w:val="17"/>
                <w:b w:val="1"/>
                <w:bCs w:val="1"/>
                <w:color w:val="auto"/>
              </w:rPr>
              <w:t>2022</w:t>
            </w:r>
          </w:p>
        </w:tc>
      </w:tr>
      <w:tr>
        <w:trPr>
          <w:trHeight w:val="125"/>
        </w:trPr>
        <w:tc>
          <w:tcPr>
            <w:tcW w:w="1880" w:type="dxa"/>
            <w:vAlign w:val="bottom"/>
            <w:tcBorders>
              <w:left w:val="single" w:sz="8" w:color="0067B3"/>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6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c>
          <w:tcPr>
            <w:tcW w:w="1880" w:type="dxa"/>
            <w:vAlign w:val="bottom"/>
            <w:tcBorders>
              <w:bottom w:val="single" w:sz="8" w:color="0067B3"/>
              <w:right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-1713865</wp:posOffset>
            </wp:positionV>
            <wp:extent cx="6789420" cy="934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89420" cy="93408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Criteria, Qualifications and Experience</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and Nominating and Corporate Governance Committee are committed to ensuring that our Board of Directors is composed of a highly capable group of directors who collectively span a broad range of leadership skills and provide a significant breadth of experience, knowledge and abilities, relevant to ADI’s strategic vision, long-term objectives and business activities to effectively represent the interests of shareholders, drive shareholder value, exercise sound judgment and reflect our corporate values of integrity, honesty and adherence to high ethical standards. Our Board of Directors and Nominating and Corporate Governance Committee consider the following factors, among others, when selecting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2451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Diversity of Director Nominees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0067B3"/>
        </w:rPr>
        <w:t>Independence of Director Nominees</w:t>
      </w:r>
    </w:p>
    <w:p>
      <w:pPr>
        <w:spacing w:after="0" w:line="211" w:lineRule="exact"/>
        <w:rPr>
          <w:sz w:val="20"/>
          <w:szCs w:val="20"/>
          <w:color w:val="auto"/>
        </w:rPr>
      </w:pPr>
    </w:p>
    <w:p>
      <w:pPr>
        <w:sectPr>
          <w:pgSz w:w="11900" w:h="16838" w:orient="portrait"/>
          <w:cols w:equalWidth="0" w:num="2">
            <w:col w:w="5080" w:space="720"/>
            <w:col w:w="5460"/>
          </w:cols>
          <w:pgMar w:left="320" w:top="1311" w:right="319" w:bottom="1440" w:gutter="0" w:footer="0" w:header="0"/>
          <w:type w:val="continuous"/>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0067B3"/>
        </w:rPr>
        <w:t>4 of 11</w:t>
      </w:r>
    </w:p>
    <w:p>
      <w:pPr>
        <w:spacing w:after="0" w:line="102" w:lineRule="exact"/>
        <w:rPr>
          <w:sz w:val="20"/>
          <w:szCs w:val="20"/>
          <w:color w:val="auto"/>
        </w:rPr>
      </w:pPr>
    </w:p>
    <w:p>
      <w:pPr>
        <w:ind w:left="20"/>
        <w:spacing w:after="0" w:line="287" w:lineRule="auto"/>
        <w:rPr>
          <w:sz w:val="20"/>
          <w:szCs w:val="20"/>
          <w:color w:val="auto"/>
        </w:rPr>
      </w:pPr>
      <w:r>
        <w:rPr>
          <w:rFonts w:ascii="Arial" w:cs="Arial" w:eastAsia="Arial" w:hAnsi="Arial"/>
          <w:sz w:val="18"/>
          <w:szCs w:val="18"/>
          <w:color w:val="auto"/>
        </w:rPr>
        <w:t>Directors identify as female, or 36%</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0067B3"/>
        </w:rPr>
        <w:t>3 of 11</w:t>
      </w:r>
    </w:p>
    <w:p>
      <w:pPr>
        <w:spacing w:after="0" w:line="142" w:lineRule="exact"/>
        <w:rPr>
          <w:sz w:val="20"/>
          <w:szCs w:val="20"/>
          <w:color w:val="auto"/>
        </w:rPr>
      </w:pPr>
    </w:p>
    <w:p>
      <w:pPr>
        <w:ind w:left="20" w:right="60"/>
        <w:spacing w:after="0" w:line="287" w:lineRule="auto"/>
        <w:rPr>
          <w:sz w:val="20"/>
          <w:szCs w:val="20"/>
          <w:color w:val="auto"/>
        </w:rPr>
      </w:pPr>
      <w:r>
        <w:rPr>
          <w:rFonts w:ascii="Arial" w:cs="Arial" w:eastAsia="Arial" w:hAnsi="Arial"/>
          <w:sz w:val="18"/>
          <w:szCs w:val="18"/>
          <w:color w:val="auto"/>
        </w:rPr>
        <w:t>Directors identify as ethnically diverse, or 27%</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While our Board of Directors does not have a specific diversity policy, our Corporate Governance Guidelines provide that gender, racial, and ethnic diversity, consistent with the requirement for relevant and diverse experience, skills, and industry familiarity, are important search criteria. Effective application of these criteria is reflected in the diverse composition of our Board of Directors.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9 of 11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Directors are Independent, or 82%</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Under Nasdaq Rules, a majority of the members of our Board of Directors must be independent directors. To be considered independent, a director must be independent as determined under applicable Nasdaq Rules, and in our Board of Directors’ judgment, the director must not have a relationship with ADI that would interfere with the exercise of independent judgment in carrying out the responsibilities of a director.</w:t>
      </w:r>
    </w:p>
    <w:p>
      <w:pPr>
        <w:spacing w:after="0" w:line="200" w:lineRule="exact"/>
        <w:rPr>
          <w:sz w:val="20"/>
          <w:szCs w:val="20"/>
          <w:color w:val="auto"/>
        </w:rPr>
      </w:pPr>
    </w:p>
    <w:p>
      <w:pPr>
        <w:sectPr>
          <w:pgSz w:w="11900" w:h="16838" w:orient="portrait"/>
          <w:cols w:equalWidth="0" w:num="4">
            <w:col w:w="2460" w:space="400"/>
            <w:col w:w="2520" w:space="420"/>
            <w:col w:w="2740" w:space="100"/>
            <w:col w:w="2620"/>
          </w:cols>
          <w:pgMar w:left="320" w:top="1311" w:right="31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18</w:t>
      </w:r>
    </w:p>
    <w:p>
      <w:pPr>
        <w:jc w:val="right"/>
        <w:ind w:right="948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60"/>
          </w:cols>
          <w:pgMar w:left="320" w:top="1311"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Experience of our Director Nominees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269"/>
        </w:trPr>
        <w:tc>
          <w:tcPr>
            <w:tcW w:w="4720" w:type="dxa"/>
            <w:vAlign w:val="bottom"/>
            <w:tcBorders>
              <w:top w:val="single" w:sz="8" w:color="0067B3"/>
              <w:left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58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58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600" w:type="dxa"/>
            <w:vAlign w:val="bottom"/>
            <w:tcBorders>
              <w:top w:val="single" w:sz="8" w:color="0067B3"/>
              <w:bottom w:val="single" w:sz="8" w:color="0067B3"/>
            </w:tcBorders>
          </w:tcPr>
          <w:p>
            <w:pPr>
              <w:spacing w:after="0"/>
              <w:rPr>
                <w:sz w:val="24"/>
                <w:szCs w:val="24"/>
                <w:color w:val="auto"/>
              </w:rPr>
            </w:pPr>
          </w:p>
        </w:tc>
        <w:tc>
          <w:tcPr>
            <w:tcW w:w="580" w:type="dxa"/>
            <w:vAlign w:val="bottom"/>
            <w:tcBorders>
              <w:top w:val="single" w:sz="8" w:color="0067B3"/>
              <w:bottom w:val="single" w:sz="8" w:color="0067B3"/>
            </w:tcBorders>
          </w:tcPr>
          <w:p>
            <w:pPr>
              <w:spacing w:after="0"/>
              <w:rPr>
                <w:sz w:val="24"/>
                <w:szCs w:val="24"/>
                <w:color w:val="auto"/>
              </w:rPr>
            </w:pPr>
          </w:p>
        </w:tc>
        <w:tc>
          <w:tcPr>
            <w:tcW w:w="160" w:type="dxa"/>
            <w:vAlign w:val="bottom"/>
            <w:tcBorders>
              <w:top w:val="single" w:sz="8" w:color="0067B3"/>
              <w:bottom w:val="single" w:sz="8" w:color="0067B3"/>
            </w:tcBorders>
          </w:tcPr>
          <w:p>
            <w:pPr>
              <w:spacing w:after="0"/>
              <w:rPr>
                <w:sz w:val="24"/>
                <w:szCs w:val="24"/>
                <w:color w:val="auto"/>
              </w:rPr>
            </w:pPr>
          </w:p>
        </w:tc>
        <w:tc>
          <w:tcPr>
            <w:tcW w:w="440" w:type="dxa"/>
            <w:vAlign w:val="bottom"/>
            <w:tcBorders>
              <w:top w:val="single" w:sz="8" w:color="0067B3"/>
              <w:bottom w:val="single" w:sz="8" w:color="0067B3"/>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Executive Leadership</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Borders>
              <w:left w:val="single" w:sz="8" w:color="0067B3"/>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16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Industry</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160" w:type="dxa"/>
            <w:vAlign w:val="bottom"/>
          </w:tcPr>
          <w:p>
            <w:pPr>
              <w:spacing w:after="0"/>
              <w:rPr>
                <w:sz w:val="24"/>
                <w:szCs w:val="24"/>
                <w:color w:val="auto"/>
              </w:rPr>
            </w:pPr>
          </w:p>
        </w:tc>
        <w:tc>
          <w:tcPr>
            <w:tcW w:w="440" w:type="dxa"/>
            <w:vAlign w:val="bottom"/>
            <w:tcBorders>
              <w:right w:val="single" w:sz="8" w:color="0067B3"/>
            </w:tcBorders>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720" w:type="dxa"/>
            <w:vAlign w:val="bottom"/>
            <w:tcBorders>
              <w:left w:val="single" w:sz="8" w:color="0067B3"/>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16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Innovation and Emerging Technologies</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160" w:type="dxa"/>
            <w:vAlign w:val="bottom"/>
          </w:tcPr>
          <w:p>
            <w:pPr>
              <w:spacing w:after="0"/>
              <w:rPr>
                <w:sz w:val="24"/>
                <w:szCs w:val="24"/>
                <w:color w:val="auto"/>
              </w:rPr>
            </w:pPr>
          </w:p>
        </w:tc>
        <w:tc>
          <w:tcPr>
            <w:tcW w:w="440" w:type="dxa"/>
            <w:vAlign w:val="bottom"/>
            <w:tcBorders>
              <w:right w:val="single" w:sz="8" w:color="0067B3"/>
            </w:tcBorders>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51"/>
        </w:trPr>
        <w:tc>
          <w:tcPr>
            <w:tcW w:w="4720" w:type="dxa"/>
            <w:vAlign w:val="bottom"/>
            <w:tcBorders>
              <w:left w:val="single" w:sz="8" w:color="0067B3"/>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16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Corporate Governance/Public Company Board</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20" w:type="dxa"/>
            <w:vAlign w:val="bottom"/>
            <w:tcBorders>
              <w:left w:val="single" w:sz="8" w:color="0067B3"/>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16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Financial, Accounting, Auditing</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left w:val="single" w:sz="8" w:color="0067B3"/>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600" w:type="dxa"/>
            <w:vAlign w:val="bottom"/>
            <w:tcBorders>
              <w:bottom w:val="single" w:sz="8" w:color="939598"/>
              <w:right w:val="single" w:sz="8" w:color="939598"/>
            </w:tcBorders>
          </w:tcPr>
          <w:p>
            <w:pPr>
              <w:spacing w:after="0"/>
              <w:rPr>
                <w:sz w:val="21"/>
                <w:szCs w:val="21"/>
                <w:color w:val="auto"/>
              </w:rPr>
            </w:pPr>
          </w:p>
        </w:tc>
        <w:tc>
          <w:tcPr>
            <w:tcW w:w="580" w:type="dxa"/>
            <w:vAlign w:val="bottom"/>
            <w:tcBorders>
              <w:bottom w:val="single" w:sz="8" w:color="939598"/>
              <w:right w:val="single" w:sz="8" w:color="939598"/>
            </w:tcBorders>
          </w:tcPr>
          <w:p>
            <w:pPr>
              <w:spacing w:after="0"/>
              <w:rPr>
                <w:sz w:val="21"/>
                <w:szCs w:val="21"/>
                <w:color w:val="auto"/>
              </w:rPr>
            </w:pPr>
          </w:p>
        </w:tc>
        <w:tc>
          <w:tcPr>
            <w:tcW w:w="160" w:type="dxa"/>
            <w:vAlign w:val="bottom"/>
            <w:tcBorders>
              <w:bottom w:val="single" w:sz="8" w:color="939598"/>
            </w:tcBorders>
          </w:tcPr>
          <w:p>
            <w:pPr>
              <w:spacing w:after="0"/>
              <w:rPr>
                <w:sz w:val="21"/>
                <w:szCs w:val="21"/>
                <w:color w:val="auto"/>
              </w:rPr>
            </w:pPr>
          </w:p>
        </w:tc>
        <w:tc>
          <w:tcPr>
            <w:tcW w:w="440" w:type="dxa"/>
            <w:vAlign w:val="bottom"/>
            <w:tcBorders>
              <w:bottom w:val="single" w:sz="8" w:color="939598"/>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International, Large Scale Global Operations,</w:t>
            </w:r>
          </w:p>
        </w:tc>
        <w:tc>
          <w:tcPr>
            <w:tcW w:w="60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160" w:type="dxa"/>
            <w:vAlign w:val="bottom"/>
          </w:tcPr>
          <w:p>
            <w:pPr>
              <w:spacing w:after="0"/>
              <w:rPr>
                <w:sz w:val="24"/>
                <w:szCs w:val="24"/>
                <w:color w:val="auto"/>
              </w:rPr>
            </w:pPr>
          </w:p>
        </w:tc>
        <w:tc>
          <w:tcPr>
            <w:tcW w:w="440" w:type="dxa"/>
            <w:vAlign w:val="bottom"/>
            <w:tcBorders>
              <w:right w:val="single" w:sz="8" w:color="0067B3"/>
            </w:tcBorders>
            <w:vMerge w:val="restart"/>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89"/>
        </w:trPr>
        <w:tc>
          <w:tcPr>
            <w:tcW w:w="4720" w:type="dxa"/>
            <w:vAlign w:val="bottom"/>
            <w:tcBorders>
              <w:left w:val="single" w:sz="8" w:color="0067B3"/>
              <w:right w:val="single" w:sz="8" w:color="939598"/>
            </w:tcBorders>
            <w:vMerge w:val="restart"/>
          </w:tcPr>
          <w:p>
            <w:pPr>
              <w:ind w:left="760"/>
              <w:spacing w:after="0"/>
              <w:rPr>
                <w:sz w:val="20"/>
                <w:szCs w:val="20"/>
                <w:color w:val="auto"/>
              </w:rPr>
            </w:pPr>
            <w:r>
              <w:rPr>
                <w:rFonts w:ascii="Arial" w:cs="Arial" w:eastAsia="Arial" w:hAnsi="Arial"/>
                <w:sz w:val="16"/>
                <w:szCs w:val="16"/>
                <w:b w:val="1"/>
                <w:bCs w:val="1"/>
                <w:color w:val="auto"/>
              </w:rPr>
              <w:t>Manufacturing</w:t>
            </w: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58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tcPr>
          <w:p>
            <w:pPr>
              <w:spacing w:after="0"/>
              <w:rPr>
                <w:sz w:val="7"/>
                <w:szCs w:val="7"/>
                <w:color w:val="auto"/>
              </w:rPr>
            </w:pPr>
          </w:p>
        </w:tc>
        <w:tc>
          <w:tcPr>
            <w:tcW w:w="580" w:type="dxa"/>
            <w:vAlign w:val="bottom"/>
            <w:tcBorders>
              <w:right w:val="single" w:sz="8" w:color="939598"/>
            </w:tcBorders>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580" w:type="dxa"/>
            <w:vAlign w:val="bottom"/>
            <w:tcBorders>
              <w:right w:val="single" w:sz="8" w:color="939598"/>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right w:val="single" w:sz="8" w:color="0067B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720" w:type="dxa"/>
            <w:vAlign w:val="bottom"/>
            <w:tcBorders>
              <w:left w:val="single" w:sz="8" w:color="0067B3"/>
              <w:right w:val="single" w:sz="8" w:color="939598"/>
            </w:tcBorders>
            <w:vMerge w:val="continue"/>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0067B3"/>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20" w:type="dxa"/>
            <w:vAlign w:val="bottom"/>
            <w:tcBorders>
              <w:left w:val="single" w:sz="8" w:color="0067B3"/>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58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58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600" w:type="dxa"/>
            <w:vAlign w:val="bottom"/>
            <w:tcBorders>
              <w:bottom w:val="single" w:sz="8" w:color="939598"/>
              <w:right w:val="single" w:sz="8" w:color="939598"/>
            </w:tcBorders>
          </w:tcPr>
          <w:p>
            <w:pPr>
              <w:spacing w:after="0"/>
              <w:rPr>
                <w:sz w:val="12"/>
                <w:szCs w:val="12"/>
                <w:color w:val="auto"/>
              </w:rPr>
            </w:pPr>
          </w:p>
        </w:tc>
        <w:tc>
          <w:tcPr>
            <w:tcW w:w="580" w:type="dxa"/>
            <w:vAlign w:val="bottom"/>
            <w:tcBorders>
              <w:bottom w:val="single" w:sz="8" w:color="939598"/>
              <w:right w:val="single" w:sz="8" w:color="939598"/>
            </w:tcBorders>
          </w:tcPr>
          <w:p>
            <w:pPr>
              <w:spacing w:after="0"/>
              <w:rPr>
                <w:sz w:val="12"/>
                <w:szCs w:val="12"/>
                <w:color w:val="auto"/>
              </w:rPr>
            </w:pPr>
          </w:p>
        </w:tc>
        <w:tc>
          <w:tcPr>
            <w:tcW w:w="160" w:type="dxa"/>
            <w:vAlign w:val="bottom"/>
            <w:tcBorders>
              <w:bottom w:val="single" w:sz="8" w:color="939598"/>
            </w:tcBorders>
          </w:tcPr>
          <w:p>
            <w:pPr>
              <w:spacing w:after="0"/>
              <w:rPr>
                <w:sz w:val="12"/>
                <w:szCs w:val="12"/>
                <w:color w:val="auto"/>
              </w:rPr>
            </w:pPr>
          </w:p>
        </w:tc>
        <w:tc>
          <w:tcPr>
            <w:tcW w:w="440" w:type="dxa"/>
            <w:vAlign w:val="bottom"/>
            <w:tcBorders>
              <w:bottom w:val="single" w:sz="8" w:color="939598"/>
              <w:right w:val="single" w:sz="8" w:color="0067B3"/>
            </w:tcBorders>
          </w:tcPr>
          <w:p>
            <w:pPr>
              <w:spacing w:after="0"/>
              <w:rPr>
                <w:sz w:val="12"/>
                <w:szCs w:val="12"/>
                <w:color w:val="auto"/>
              </w:rPr>
            </w:pPr>
          </w:p>
        </w:tc>
        <w:tc>
          <w:tcPr>
            <w:tcW w:w="0" w:type="dxa"/>
            <w:vAlign w:val="bottom"/>
          </w:tcPr>
          <w:p>
            <w:pPr>
              <w:spacing w:after="0"/>
              <w:rPr>
                <w:sz w:val="1"/>
                <w:szCs w:val="1"/>
                <w:color w:val="auto"/>
              </w:rPr>
            </w:pPr>
          </w:p>
        </w:tc>
      </w:tr>
      <w:tr>
        <w:trPr>
          <w:trHeight w:val="513"/>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Government Affairs, Public Policy</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20" w:type="dxa"/>
            <w:vAlign w:val="bottom"/>
            <w:tcBorders>
              <w:left w:val="single" w:sz="8" w:color="0067B3"/>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16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Strategy</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160" w:type="dxa"/>
            <w:vAlign w:val="bottom"/>
          </w:tcPr>
          <w:p>
            <w:pPr>
              <w:spacing w:after="0"/>
              <w:rPr>
                <w:sz w:val="24"/>
                <w:szCs w:val="24"/>
                <w:color w:val="auto"/>
              </w:rPr>
            </w:pPr>
          </w:p>
        </w:tc>
        <w:tc>
          <w:tcPr>
            <w:tcW w:w="440" w:type="dxa"/>
            <w:vAlign w:val="bottom"/>
            <w:tcBorders>
              <w:right w:val="single" w:sz="8" w:color="0067B3"/>
            </w:tcBorders>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37"/>
        </w:trPr>
        <w:tc>
          <w:tcPr>
            <w:tcW w:w="4720" w:type="dxa"/>
            <w:vAlign w:val="bottom"/>
            <w:tcBorders>
              <w:left w:val="single" w:sz="8" w:color="0067B3"/>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16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Risk Management, Regulatory, Compliance</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Borders>
              <w:left w:val="single" w:sz="8" w:color="0067B3"/>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600" w:type="dxa"/>
            <w:vAlign w:val="bottom"/>
            <w:tcBorders>
              <w:bottom w:val="single" w:sz="8" w:color="939598"/>
              <w:right w:val="single" w:sz="8" w:color="939598"/>
            </w:tcBorders>
          </w:tcPr>
          <w:p>
            <w:pPr>
              <w:spacing w:after="0"/>
              <w:rPr>
                <w:sz w:val="20"/>
                <w:szCs w:val="20"/>
                <w:color w:val="auto"/>
              </w:rPr>
            </w:pPr>
          </w:p>
        </w:tc>
        <w:tc>
          <w:tcPr>
            <w:tcW w:w="580" w:type="dxa"/>
            <w:vAlign w:val="bottom"/>
            <w:tcBorders>
              <w:bottom w:val="single" w:sz="8" w:color="939598"/>
              <w:right w:val="single" w:sz="8" w:color="939598"/>
            </w:tcBorders>
          </w:tcPr>
          <w:p>
            <w:pPr>
              <w:spacing w:after="0"/>
              <w:rPr>
                <w:sz w:val="20"/>
                <w:szCs w:val="20"/>
                <w:color w:val="auto"/>
              </w:rPr>
            </w:pPr>
          </w:p>
        </w:tc>
        <w:tc>
          <w:tcPr>
            <w:tcW w:w="160" w:type="dxa"/>
            <w:vAlign w:val="bottom"/>
            <w:tcBorders>
              <w:bottom w:val="single" w:sz="8" w:color="939598"/>
            </w:tcBorders>
          </w:tcPr>
          <w:p>
            <w:pPr>
              <w:spacing w:after="0"/>
              <w:rPr>
                <w:sz w:val="20"/>
                <w:szCs w:val="20"/>
                <w:color w:val="auto"/>
              </w:rPr>
            </w:pPr>
          </w:p>
        </w:tc>
        <w:tc>
          <w:tcPr>
            <w:tcW w:w="440" w:type="dxa"/>
            <w:vAlign w:val="bottom"/>
            <w:tcBorders>
              <w:bottom w:val="single" w:sz="8" w:color="939598"/>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Cybersecurity, Information Systems</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ind w:left="60"/>
              <w:spacing w:after="0"/>
              <w:rPr>
                <w:sz w:val="20"/>
                <w:szCs w:val="20"/>
                <w:color w:val="auto"/>
              </w:rPr>
            </w:pPr>
            <w:r>
              <w:rPr>
                <w:rFonts w:ascii="Wingdings" w:cs="Wingdings" w:eastAsia="Wingdings" w:hAnsi="Wingdings"/>
                <w:sz w:val="16"/>
                <w:szCs w:val="16"/>
                <w:b w:val="1"/>
                <w:bCs w:val="1"/>
                <w:color w:val="0067B3"/>
              </w:rPr>
              <w:t>l</w:t>
            </w:r>
          </w:p>
        </w:tc>
        <w:tc>
          <w:tcPr>
            <w:tcW w:w="0" w:type="dxa"/>
            <w:vAlign w:val="bottom"/>
          </w:tcPr>
          <w:p>
            <w:pPr>
              <w:spacing w:after="0"/>
              <w:rPr>
                <w:sz w:val="1"/>
                <w:szCs w:val="1"/>
                <w:color w:val="auto"/>
              </w:rPr>
            </w:pPr>
          </w:p>
        </w:tc>
      </w:tr>
      <w:tr>
        <w:trPr>
          <w:trHeight w:val="291"/>
        </w:trPr>
        <w:tc>
          <w:tcPr>
            <w:tcW w:w="4720" w:type="dxa"/>
            <w:vAlign w:val="bottom"/>
            <w:tcBorders>
              <w:left w:val="single" w:sz="8" w:color="0067B3"/>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16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Mergers and Acquisitions</w:t>
            </w: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20" w:type="dxa"/>
            <w:vAlign w:val="bottom"/>
            <w:tcBorders>
              <w:left w:val="single" w:sz="8" w:color="0067B3"/>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600" w:type="dxa"/>
            <w:vAlign w:val="bottom"/>
            <w:tcBorders>
              <w:bottom w:val="single" w:sz="8" w:color="939598"/>
              <w:right w:val="single" w:sz="8" w:color="939598"/>
            </w:tcBorders>
          </w:tcPr>
          <w:p>
            <w:pPr>
              <w:spacing w:after="0"/>
              <w:rPr>
                <w:sz w:val="24"/>
                <w:szCs w:val="24"/>
                <w:color w:val="auto"/>
              </w:rPr>
            </w:pPr>
          </w:p>
        </w:tc>
        <w:tc>
          <w:tcPr>
            <w:tcW w:w="580" w:type="dxa"/>
            <w:vAlign w:val="bottom"/>
            <w:tcBorders>
              <w:bottom w:val="single" w:sz="8" w:color="939598"/>
              <w:right w:val="single" w:sz="8" w:color="939598"/>
            </w:tcBorders>
          </w:tcPr>
          <w:p>
            <w:pPr>
              <w:spacing w:after="0"/>
              <w:rPr>
                <w:sz w:val="24"/>
                <w:szCs w:val="24"/>
                <w:color w:val="auto"/>
              </w:rPr>
            </w:pPr>
          </w:p>
        </w:tc>
        <w:tc>
          <w:tcPr>
            <w:tcW w:w="160" w:type="dxa"/>
            <w:vAlign w:val="bottom"/>
            <w:tcBorders>
              <w:bottom w:val="single" w:sz="8" w:color="939598"/>
            </w:tcBorders>
          </w:tcPr>
          <w:p>
            <w:pPr>
              <w:spacing w:after="0"/>
              <w:rPr>
                <w:sz w:val="24"/>
                <w:szCs w:val="24"/>
                <w:color w:val="auto"/>
              </w:rPr>
            </w:pPr>
          </w:p>
        </w:tc>
        <w:tc>
          <w:tcPr>
            <w:tcW w:w="440" w:type="dxa"/>
            <w:vAlign w:val="bottom"/>
            <w:tcBorders>
              <w:bottom w:val="single" w:sz="8" w:color="939598"/>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20" w:type="dxa"/>
            <w:vAlign w:val="bottom"/>
            <w:tcBorders>
              <w:left w:val="single" w:sz="8" w:color="0067B3"/>
              <w:right w:val="single" w:sz="8" w:color="939598"/>
            </w:tcBorders>
          </w:tcPr>
          <w:p>
            <w:pPr>
              <w:ind w:left="760"/>
              <w:spacing w:after="0"/>
              <w:rPr>
                <w:sz w:val="20"/>
                <w:szCs w:val="20"/>
                <w:color w:val="auto"/>
              </w:rPr>
            </w:pPr>
            <w:r>
              <w:rPr>
                <w:rFonts w:ascii="Arial" w:cs="Arial" w:eastAsia="Arial" w:hAnsi="Arial"/>
                <w:sz w:val="16"/>
                <w:szCs w:val="16"/>
                <w:b w:val="1"/>
                <w:bCs w:val="1"/>
                <w:color w:val="auto"/>
              </w:rPr>
              <w:t>ESG (including Sustainability, Human Capital, and</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vMerge w:val="restart"/>
          </w:tcPr>
          <w:p>
            <w:pPr>
              <w:ind w:left="22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vMerge w:val="restart"/>
          </w:tcPr>
          <w:p>
            <w:pPr>
              <w:ind w:left="240"/>
              <w:spacing w:after="0"/>
              <w:rPr>
                <w:sz w:val="20"/>
                <w:szCs w:val="20"/>
                <w:color w:val="auto"/>
              </w:rPr>
            </w:pPr>
            <w:r>
              <w:rPr>
                <w:rFonts w:ascii="Wingdings" w:cs="Wingdings" w:eastAsia="Wingdings" w:hAnsi="Wingdings"/>
                <w:sz w:val="16"/>
                <w:szCs w:val="16"/>
                <w:b w:val="1"/>
                <w:bCs w:val="1"/>
                <w:color w:val="0067B3"/>
              </w:rPr>
              <w:t>l</w:t>
            </w:r>
          </w:p>
        </w:tc>
        <w:tc>
          <w:tcPr>
            <w:tcW w:w="600" w:type="dxa"/>
            <w:vAlign w:val="bottom"/>
            <w:tcBorders>
              <w:right w:val="single" w:sz="8" w:color="939598"/>
            </w:tcBorders>
          </w:tcPr>
          <w:p>
            <w:pPr>
              <w:spacing w:after="0"/>
              <w:rPr>
                <w:sz w:val="24"/>
                <w:szCs w:val="24"/>
                <w:color w:val="auto"/>
              </w:rPr>
            </w:pPr>
          </w:p>
        </w:tc>
        <w:tc>
          <w:tcPr>
            <w:tcW w:w="600" w:type="dxa"/>
            <w:vAlign w:val="bottom"/>
            <w:tcBorders>
              <w:right w:val="single" w:sz="8" w:color="939598"/>
            </w:tcBorders>
          </w:tcPr>
          <w:p>
            <w:pPr>
              <w:spacing w:after="0"/>
              <w:rPr>
                <w:sz w:val="24"/>
                <w:szCs w:val="24"/>
                <w:color w:val="auto"/>
              </w:rPr>
            </w:pPr>
          </w:p>
        </w:tc>
        <w:tc>
          <w:tcPr>
            <w:tcW w:w="580" w:type="dxa"/>
            <w:vAlign w:val="bottom"/>
            <w:tcBorders>
              <w:right w:val="single" w:sz="8" w:color="939598"/>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720" w:type="dxa"/>
            <w:vAlign w:val="bottom"/>
            <w:tcBorders>
              <w:left w:val="single" w:sz="8" w:color="0067B3"/>
              <w:right w:val="single" w:sz="8" w:color="939598"/>
            </w:tcBorders>
            <w:vMerge w:val="restart"/>
          </w:tcPr>
          <w:p>
            <w:pPr>
              <w:ind w:left="760"/>
              <w:spacing w:after="0"/>
              <w:rPr>
                <w:sz w:val="20"/>
                <w:szCs w:val="20"/>
                <w:color w:val="auto"/>
              </w:rPr>
            </w:pPr>
            <w:r>
              <w:rPr>
                <w:rFonts w:ascii="Arial" w:cs="Arial" w:eastAsia="Arial" w:hAnsi="Arial"/>
                <w:sz w:val="16"/>
                <w:szCs w:val="16"/>
                <w:b w:val="1"/>
                <w:bCs w:val="1"/>
                <w:color w:val="auto"/>
              </w:rPr>
              <w:t>Diversity)</w:t>
            </w:r>
          </w:p>
        </w:tc>
        <w:tc>
          <w:tcPr>
            <w:tcW w:w="600" w:type="dxa"/>
            <w:vAlign w:val="bottom"/>
            <w:tcBorders>
              <w:right w:val="single" w:sz="8" w:color="939598"/>
            </w:tcBorders>
          </w:tcPr>
          <w:p>
            <w:pPr>
              <w:spacing w:after="0"/>
              <w:rPr>
                <w:sz w:val="7"/>
                <w:szCs w:val="7"/>
                <w:color w:val="auto"/>
              </w:rPr>
            </w:pPr>
          </w:p>
        </w:tc>
        <w:tc>
          <w:tcPr>
            <w:tcW w:w="600" w:type="dxa"/>
            <w:vAlign w:val="bottom"/>
            <w:tcBorders>
              <w:right w:val="single" w:sz="8" w:color="939598"/>
            </w:tcBorders>
          </w:tcPr>
          <w:p>
            <w:pPr>
              <w:spacing w:after="0"/>
              <w:rPr>
                <w:sz w:val="7"/>
                <w:szCs w:val="7"/>
                <w:color w:val="auto"/>
              </w:rPr>
            </w:pPr>
          </w:p>
        </w:tc>
        <w:tc>
          <w:tcPr>
            <w:tcW w:w="58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tcPr>
          <w:p>
            <w:pPr>
              <w:spacing w:after="0"/>
              <w:rPr>
                <w:sz w:val="7"/>
                <w:szCs w:val="7"/>
                <w:color w:val="auto"/>
              </w:rPr>
            </w:pPr>
          </w:p>
        </w:tc>
        <w:tc>
          <w:tcPr>
            <w:tcW w:w="580" w:type="dxa"/>
            <w:vAlign w:val="bottom"/>
            <w:tcBorders>
              <w:right w:val="single" w:sz="8" w:color="939598"/>
            </w:tcBorders>
          </w:tcPr>
          <w:p>
            <w:pPr>
              <w:spacing w:after="0"/>
              <w:rPr>
                <w:sz w:val="7"/>
                <w:szCs w:val="7"/>
                <w:color w:val="auto"/>
              </w:rPr>
            </w:pPr>
          </w:p>
        </w:tc>
        <w:tc>
          <w:tcPr>
            <w:tcW w:w="600" w:type="dxa"/>
            <w:vAlign w:val="bottom"/>
            <w:tcBorders>
              <w:right w:val="single" w:sz="8" w:color="939598"/>
            </w:tcBorders>
            <w:vMerge w:val="continue"/>
          </w:tcPr>
          <w:p>
            <w:pPr>
              <w:spacing w:after="0"/>
              <w:rPr>
                <w:sz w:val="7"/>
                <w:szCs w:val="7"/>
                <w:color w:val="auto"/>
              </w:rPr>
            </w:pPr>
          </w:p>
        </w:tc>
        <w:tc>
          <w:tcPr>
            <w:tcW w:w="600" w:type="dxa"/>
            <w:vAlign w:val="bottom"/>
            <w:tcBorders>
              <w:right w:val="single" w:sz="8" w:color="939598"/>
            </w:tcBorders>
          </w:tcPr>
          <w:p>
            <w:pPr>
              <w:spacing w:after="0"/>
              <w:rPr>
                <w:sz w:val="7"/>
                <w:szCs w:val="7"/>
                <w:color w:val="auto"/>
              </w:rPr>
            </w:pPr>
          </w:p>
        </w:tc>
        <w:tc>
          <w:tcPr>
            <w:tcW w:w="600" w:type="dxa"/>
            <w:vAlign w:val="bottom"/>
            <w:tcBorders>
              <w:right w:val="single" w:sz="8" w:color="939598"/>
            </w:tcBorders>
          </w:tcPr>
          <w:p>
            <w:pPr>
              <w:spacing w:after="0"/>
              <w:rPr>
                <w:sz w:val="7"/>
                <w:szCs w:val="7"/>
                <w:color w:val="auto"/>
              </w:rPr>
            </w:pPr>
          </w:p>
        </w:tc>
        <w:tc>
          <w:tcPr>
            <w:tcW w:w="580" w:type="dxa"/>
            <w:vAlign w:val="bottom"/>
            <w:tcBorders>
              <w:right w:val="single" w:sz="8" w:color="939598"/>
            </w:tcBorders>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right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720" w:type="dxa"/>
            <w:vAlign w:val="bottom"/>
            <w:tcBorders>
              <w:left w:val="single" w:sz="8" w:color="0067B3"/>
              <w:right w:val="single" w:sz="8" w:color="939598"/>
            </w:tcBorders>
            <w:vMerge w:val="continue"/>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600" w:type="dxa"/>
            <w:vAlign w:val="bottom"/>
            <w:tcBorders>
              <w:right w:val="single" w:sz="8" w:color="939598"/>
            </w:tcBorders>
          </w:tcPr>
          <w:p>
            <w:pPr>
              <w:spacing w:after="0"/>
              <w:rPr>
                <w:sz w:val="11"/>
                <w:szCs w:val="11"/>
                <w:color w:val="auto"/>
              </w:rPr>
            </w:pPr>
          </w:p>
        </w:tc>
        <w:tc>
          <w:tcPr>
            <w:tcW w:w="580" w:type="dxa"/>
            <w:vAlign w:val="bottom"/>
            <w:tcBorders>
              <w:right w:val="single" w:sz="8" w:color="939598"/>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right w:val="single" w:sz="8" w:color="0067B3"/>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720" w:type="dxa"/>
            <w:vAlign w:val="bottom"/>
            <w:tcBorders>
              <w:left w:val="single" w:sz="8" w:color="0067B3"/>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58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58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600" w:type="dxa"/>
            <w:vAlign w:val="bottom"/>
            <w:tcBorders>
              <w:bottom w:val="single" w:sz="8" w:color="0067B3"/>
              <w:right w:val="single" w:sz="8" w:color="939598"/>
            </w:tcBorders>
          </w:tcPr>
          <w:p>
            <w:pPr>
              <w:spacing w:after="0"/>
              <w:rPr>
                <w:sz w:val="7"/>
                <w:szCs w:val="7"/>
                <w:color w:val="auto"/>
              </w:rPr>
            </w:pPr>
          </w:p>
        </w:tc>
        <w:tc>
          <w:tcPr>
            <w:tcW w:w="580" w:type="dxa"/>
            <w:vAlign w:val="bottom"/>
            <w:tcBorders>
              <w:bottom w:val="single" w:sz="8" w:color="0067B3"/>
              <w:right w:val="single" w:sz="8" w:color="939598"/>
            </w:tcBorders>
          </w:tcPr>
          <w:p>
            <w:pPr>
              <w:spacing w:after="0"/>
              <w:rPr>
                <w:sz w:val="7"/>
                <w:szCs w:val="7"/>
                <w:color w:val="auto"/>
              </w:rPr>
            </w:pPr>
          </w:p>
        </w:tc>
        <w:tc>
          <w:tcPr>
            <w:tcW w:w="160" w:type="dxa"/>
            <w:vAlign w:val="bottom"/>
            <w:tcBorders>
              <w:bottom w:val="single" w:sz="8" w:color="0067B3"/>
            </w:tcBorders>
          </w:tcPr>
          <w:p>
            <w:pPr>
              <w:spacing w:after="0"/>
              <w:rPr>
                <w:sz w:val="7"/>
                <w:szCs w:val="7"/>
                <w:color w:val="auto"/>
              </w:rPr>
            </w:pPr>
          </w:p>
        </w:tc>
        <w:tc>
          <w:tcPr>
            <w:tcW w:w="440" w:type="dxa"/>
            <w:vAlign w:val="bottom"/>
            <w:tcBorders>
              <w:bottom w:val="single" w:sz="8" w:color="0067B3"/>
              <w:right w:val="single" w:sz="8" w:color="0067B3"/>
            </w:tcBorders>
          </w:tcPr>
          <w:p>
            <w:pPr>
              <w:spacing w:after="0"/>
              <w:rPr>
                <w:sz w:val="7"/>
                <w:szCs w:val="7"/>
                <w:color w:val="auto"/>
              </w:rPr>
            </w:pPr>
          </w:p>
        </w:tc>
        <w:tc>
          <w:tcPr>
            <w:tcW w:w="0" w:type="dxa"/>
            <w:vAlign w:val="bottom"/>
          </w:tcPr>
          <w:p>
            <w:pPr>
              <w:spacing w:after="0"/>
              <w:rPr>
                <w:sz w:val="1"/>
                <w:szCs w:val="1"/>
                <w:color w:val="auto"/>
              </w:rPr>
            </w:pPr>
          </w:p>
        </w:tc>
      </w:tr>
      <w:tr>
        <w:trPr>
          <w:trHeight w:val="715"/>
        </w:trPr>
        <w:tc>
          <w:tcPr>
            <w:tcW w:w="4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gridSpan w:val="4"/>
          </w:tcPr>
          <w:p>
            <w:pPr>
              <w:ind w:left="280"/>
              <w:spacing w:after="0"/>
              <w:rPr>
                <w:sz w:val="20"/>
                <w:szCs w:val="20"/>
                <w:color w:val="auto"/>
              </w:rPr>
            </w:pPr>
            <w:r>
              <w:rPr>
                <w:rFonts w:ascii="Arial" w:cs="Arial" w:eastAsia="Arial" w:hAnsi="Arial"/>
                <w:sz w:val="16"/>
                <w:szCs w:val="16"/>
                <w:color w:val="0067B3"/>
              </w:rPr>
              <w:t>2023 Proxy Statement</w:t>
            </w:r>
          </w:p>
        </w:tc>
        <w:tc>
          <w:tcPr>
            <w:tcW w:w="440" w:type="dxa"/>
            <w:vAlign w:val="bottom"/>
          </w:tcPr>
          <w:p>
            <w:pPr>
              <w:ind w:left="180"/>
              <w:spacing w:after="0"/>
              <w:rPr>
                <w:sz w:val="20"/>
                <w:szCs w:val="20"/>
                <w:color w:val="auto"/>
              </w:rPr>
            </w:pPr>
            <w:r>
              <w:rPr>
                <w:rFonts w:ascii="Arial" w:cs="Arial" w:eastAsia="Arial" w:hAnsi="Arial"/>
                <w:sz w:val="20"/>
                <w:szCs w:val="20"/>
                <w:b w:val="1"/>
                <w:bCs w:val="1"/>
                <w:color w:val="auto"/>
                <w:w w:val="98"/>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-6673215</wp:posOffset>
            </wp:positionV>
            <wp:extent cx="21463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630" cy="3257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-6810375</wp:posOffset>
            </wp:positionV>
            <wp:extent cx="3608705" cy="6000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08705" cy="6000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-6004560</wp:posOffset>
            </wp:positionV>
            <wp:extent cx="257175" cy="248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-5549900</wp:posOffset>
            </wp:positionV>
            <wp:extent cx="257175"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-5095875</wp:posOffset>
            </wp:positionV>
            <wp:extent cx="257175"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-4632960</wp:posOffset>
            </wp:positionV>
            <wp:extent cx="257175"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-4170045</wp:posOffset>
            </wp:positionV>
            <wp:extent cx="257175"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-3707130</wp:posOffset>
            </wp:positionV>
            <wp:extent cx="257175"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-2712720</wp:posOffset>
            </wp:positionV>
            <wp:extent cx="18859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595" cy="2400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-2266950</wp:posOffset>
            </wp:positionV>
            <wp:extent cx="25717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 cy="24003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-1821180</wp:posOffset>
            </wp:positionV>
            <wp:extent cx="20574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3086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-1306830</wp:posOffset>
            </wp:positionV>
            <wp:extent cx="257175"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 cy="31750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-783590</wp:posOffset>
            </wp:positionV>
            <wp:extent cx="30861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8610" cy="188595"/>
                    </a:xfrm>
                    <a:prstGeom prst="rect">
                      <a:avLst/>
                    </a:prstGeom>
                    <a:noFill/>
                  </pic:spPr>
                </pic:pic>
              </a:graphicData>
            </a:graphic>
          </wp:anchor>
        </w:drawing>
      </w:r>
    </w:p>
    <w:p>
      <w:pPr>
        <w:sectPr>
          <w:pgSz w:w="11900" w:h="16838" w:orient="portrait"/>
          <w:cols w:equalWidth="0" w:num="1">
            <w:col w:w="11260"/>
          </w:cols>
          <w:pgMar w:left="320" w:top="1365" w:right="31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auto"/>
        </w:rPr>
        <w:t>Board Diversity Matrix (as of January 20,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TOTAL NUMBER OF DIRECTORS: 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0" w:type="dxa"/>
            <w:vAlign w:val="bottom"/>
            <w:tcBorders>
              <w:right w:val="single" w:sz="8" w:color="0067B3"/>
            </w:tcBorders>
            <w:shd w:val="clear" w:color="auto" w:fill="0067B3"/>
          </w:tcPr>
          <w:p>
            <w:pPr>
              <w:spacing w:after="0"/>
              <w:rPr>
                <w:sz w:val="17"/>
                <w:szCs w:val="17"/>
                <w:color w:val="auto"/>
              </w:rPr>
            </w:pPr>
          </w:p>
        </w:tc>
        <w:tc>
          <w:tcPr>
            <w:tcW w:w="1420" w:type="dxa"/>
            <w:vAlign w:val="bottom"/>
            <w:tcBorders>
              <w:right w:val="single" w:sz="8" w:color="0067B3"/>
            </w:tcBorders>
            <w:shd w:val="clear" w:color="auto" w:fill="0067B3"/>
          </w:tcPr>
          <w:p>
            <w:pPr>
              <w:spacing w:after="0"/>
              <w:rPr>
                <w:sz w:val="17"/>
                <w:szCs w:val="17"/>
                <w:color w:val="auto"/>
              </w:rPr>
            </w:pPr>
          </w:p>
        </w:tc>
        <w:tc>
          <w:tcPr>
            <w:tcW w:w="1300" w:type="dxa"/>
            <w:vAlign w:val="bottom"/>
            <w:tcBorders>
              <w:right w:val="single" w:sz="8" w:color="0067B3"/>
            </w:tcBorders>
            <w:shd w:val="clear" w:color="auto" w:fill="0067B3"/>
          </w:tcPr>
          <w:p>
            <w:pPr>
              <w:spacing w:after="0"/>
              <w:rPr>
                <w:sz w:val="17"/>
                <w:szCs w:val="17"/>
                <w:color w:val="auto"/>
              </w:rPr>
            </w:pPr>
          </w:p>
        </w:tc>
        <w:tc>
          <w:tcPr>
            <w:tcW w:w="1320" w:type="dxa"/>
            <w:vAlign w:val="bottom"/>
            <w:tcBorders>
              <w:right w:val="single" w:sz="8" w:color="0067B3"/>
            </w:tcBorders>
            <w:shd w:val="clear" w:color="auto" w:fill="0067B3"/>
          </w:tcPr>
          <w:p>
            <w:pPr>
              <w:spacing w:after="0"/>
              <w:rPr>
                <w:sz w:val="17"/>
                <w:szCs w:val="17"/>
                <w:color w:val="auto"/>
              </w:rPr>
            </w:pPr>
          </w:p>
        </w:tc>
        <w:tc>
          <w:tcPr>
            <w:tcW w:w="1220" w:type="dxa"/>
            <w:vAlign w:val="bottom"/>
            <w:tcBorders>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Did Not</w:t>
            </w:r>
          </w:p>
        </w:tc>
      </w:tr>
      <w:tr>
        <w:trPr>
          <w:trHeight w:val="203"/>
        </w:trPr>
        <w:tc>
          <w:tcPr>
            <w:tcW w:w="6000" w:type="dxa"/>
            <w:vAlign w:val="bottom"/>
            <w:tcBorders>
              <w:right w:val="single" w:sz="8" w:color="0067B3"/>
            </w:tcBorders>
            <w:shd w:val="clear" w:color="auto" w:fill="0067B3"/>
          </w:tcPr>
          <w:p>
            <w:pPr>
              <w:spacing w:after="0"/>
              <w:rPr>
                <w:sz w:val="17"/>
                <w:szCs w:val="17"/>
                <w:color w:val="auto"/>
              </w:rPr>
            </w:pPr>
          </w:p>
        </w:tc>
        <w:tc>
          <w:tcPr>
            <w:tcW w:w="1420" w:type="dxa"/>
            <w:vAlign w:val="bottom"/>
            <w:tcBorders>
              <w:right w:val="single" w:sz="8" w:color="0067B3"/>
            </w:tcBorders>
            <w:shd w:val="clear" w:color="auto" w:fill="0067B3"/>
          </w:tcPr>
          <w:p>
            <w:pPr>
              <w:spacing w:after="0"/>
              <w:rPr>
                <w:sz w:val="17"/>
                <w:szCs w:val="17"/>
                <w:color w:val="auto"/>
              </w:rPr>
            </w:pPr>
          </w:p>
        </w:tc>
        <w:tc>
          <w:tcPr>
            <w:tcW w:w="1300" w:type="dxa"/>
            <w:vAlign w:val="bottom"/>
            <w:tcBorders>
              <w:right w:val="single" w:sz="8" w:color="0067B3"/>
            </w:tcBorders>
            <w:shd w:val="clear" w:color="auto" w:fill="0067B3"/>
          </w:tcPr>
          <w:p>
            <w:pPr>
              <w:spacing w:after="0"/>
              <w:rPr>
                <w:sz w:val="17"/>
                <w:szCs w:val="17"/>
                <w:color w:val="auto"/>
              </w:rPr>
            </w:pPr>
          </w:p>
        </w:tc>
        <w:tc>
          <w:tcPr>
            <w:tcW w:w="1320" w:type="dxa"/>
            <w:vAlign w:val="bottom"/>
            <w:tcBorders>
              <w:right w:val="single" w:sz="8" w:color="0067B3"/>
            </w:tcBorders>
            <w:shd w:val="clear" w:color="auto" w:fill="0067B3"/>
          </w:tcPr>
          <w:p>
            <w:pPr>
              <w:spacing w:after="0"/>
              <w:rPr>
                <w:sz w:val="17"/>
                <w:szCs w:val="17"/>
                <w:color w:val="auto"/>
              </w:rPr>
            </w:pPr>
          </w:p>
        </w:tc>
        <w:tc>
          <w:tcPr>
            <w:tcW w:w="1220" w:type="dxa"/>
            <w:vAlign w:val="bottom"/>
            <w:tcBorders>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Disclose</w:t>
            </w:r>
          </w:p>
        </w:tc>
      </w:tr>
      <w:tr>
        <w:trPr>
          <w:trHeight w:val="226"/>
        </w:trPr>
        <w:tc>
          <w:tcPr>
            <w:tcW w:w="6000" w:type="dxa"/>
            <w:vAlign w:val="bottom"/>
            <w:tcBorders>
              <w:bottom w:val="single" w:sz="8" w:color="0067B3"/>
              <w:right w:val="single" w:sz="8" w:color="0067B3"/>
            </w:tcBorders>
            <w:shd w:val="clear" w:color="auto" w:fill="0067B3"/>
          </w:tcPr>
          <w:p>
            <w:pPr>
              <w:spacing w:after="0"/>
              <w:rPr>
                <w:sz w:val="19"/>
                <w:szCs w:val="19"/>
                <w:color w:val="auto"/>
              </w:rPr>
            </w:pPr>
          </w:p>
        </w:tc>
        <w:tc>
          <w:tcPr>
            <w:tcW w:w="1420" w:type="dxa"/>
            <w:vAlign w:val="bottom"/>
            <w:tcBorders>
              <w:bottom w:val="single" w:sz="8" w:color="0067B3"/>
              <w:right w:val="single" w:sz="8" w:color="0067B3"/>
            </w:tcBorders>
            <w:shd w:val="clear" w:color="auto" w:fill="0067B3"/>
          </w:tcPr>
          <w:p>
            <w:pPr>
              <w:ind w:left="420"/>
              <w:spacing w:after="0"/>
              <w:rPr>
                <w:sz w:val="20"/>
                <w:szCs w:val="20"/>
                <w:color w:val="auto"/>
              </w:rPr>
            </w:pPr>
            <w:r>
              <w:rPr>
                <w:rFonts w:ascii="Arial" w:cs="Arial" w:eastAsia="Arial" w:hAnsi="Arial"/>
                <w:sz w:val="16"/>
                <w:szCs w:val="16"/>
                <w:b w:val="1"/>
                <w:bCs w:val="1"/>
                <w:color w:val="FFFFFF"/>
              </w:rPr>
              <w:t>Female</w:t>
            </w:r>
          </w:p>
        </w:tc>
        <w:tc>
          <w:tcPr>
            <w:tcW w:w="1300" w:type="dxa"/>
            <w:vAlign w:val="bottom"/>
            <w:tcBorders>
              <w:bottom w:val="single" w:sz="8" w:color="0067B3"/>
              <w:right w:val="single" w:sz="8" w:color="0067B3"/>
            </w:tcBorders>
            <w:shd w:val="clear" w:color="auto" w:fill="0067B3"/>
          </w:tcPr>
          <w:p>
            <w:pPr>
              <w:ind w:left="440"/>
              <w:spacing w:after="0"/>
              <w:rPr>
                <w:sz w:val="20"/>
                <w:szCs w:val="20"/>
                <w:color w:val="auto"/>
              </w:rPr>
            </w:pPr>
            <w:r>
              <w:rPr>
                <w:rFonts w:ascii="Arial" w:cs="Arial" w:eastAsia="Arial" w:hAnsi="Arial"/>
                <w:sz w:val="16"/>
                <w:szCs w:val="16"/>
                <w:b w:val="1"/>
                <w:bCs w:val="1"/>
                <w:color w:val="FFFFFF"/>
              </w:rPr>
              <w:t>Male</w:t>
            </w:r>
          </w:p>
        </w:tc>
        <w:tc>
          <w:tcPr>
            <w:tcW w:w="1320" w:type="dxa"/>
            <w:vAlign w:val="bottom"/>
            <w:tcBorders>
              <w:bottom w:val="single" w:sz="8" w:color="0067B3"/>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Non-Binary</w:t>
            </w:r>
          </w:p>
        </w:tc>
        <w:tc>
          <w:tcPr>
            <w:tcW w:w="1220" w:type="dxa"/>
            <w:vAlign w:val="bottom"/>
            <w:tcBorders>
              <w:bottom w:val="single" w:sz="8" w:color="0067B3"/>
              <w:right w:val="single" w:sz="8" w:color="0067B3"/>
            </w:tcBorders>
            <w:shd w:val="clear" w:color="auto" w:fill="0067B3"/>
          </w:tcPr>
          <w:p>
            <w:pPr>
              <w:jc w:val="center"/>
              <w:spacing w:after="0"/>
              <w:rPr>
                <w:sz w:val="20"/>
                <w:szCs w:val="20"/>
                <w:color w:val="auto"/>
              </w:rPr>
            </w:pPr>
            <w:r>
              <w:rPr>
                <w:rFonts w:ascii="Arial" w:cs="Arial" w:eastAsia="Arial" w:hAnsi="Arial"/>
                <w:sz w:val="16"/>
                <w:szCs w:val="16"/>
                <w:b w:val="1"/>
                <w:bCs w:val="1"/>
                <w:color w:val="FFFFFF"/>
                <w:w w:val="99"/>
              </w:rPr>
              <w:t>Gender</w:t>
            </w:r>
          </w:p>
        </w:tc>
      </w:tr>
      <w:tr>
        <w:trPr>
          <w:trHeight w:val="261"/>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 Gender Identity</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20" w:type="dxa"/>
            <w:vAlign w:val="bottom"/>
            <w:tcBorders>
              <w:bottom w:val="single" w:sz="8" w:color="939598"/>
              <w:right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Directors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4</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9</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57"/>
        </w:trPr>
        <w:tc>
          <w:tcPr>
            <w:tcW w:w="6000" w:type="dxa"/>
            <w:vAlign w:val="bottom"/>
            <w:tcBorders>
              <w:bottom w:val="single" w:sz="8" w:color="939598"/>
              <w:right w:val="single" w:sz="8" w:color="939598"/>
            </w:tcBorders>
          </w:tcPr>
          <w:p>
            <w:pPr>
              <w:ind w:left="20"/>
              <w:spacing w:after="0"/>
              <w:rPr>
                <w:sz w:val="20"/>
                <w:szCs w:val="20"/>
                <w:color w:val="auto"/>
              </w:rPr>
            </w:pPr>
            <w:r>
              <w:rPr>
                <w:rFonts w:ascii="Arial" w:cs="Arial" w:eastAsia="Arial" w:hAnsi="Arial"/>
                <w:sz w:val="18"/>
                <w:szCs w:val="18"/>
                <w:b w:val="1"/>
                <w:bCs w:val="1"/>
                <w:color w:val="0067B3"/>
              </w:rPr>
              <w:t>Part II: Demographic Background</w:t>
            </w:r>
          </w:p>
        </w:tc>
        <w:tc>
          <w:tcPr>
            <w:tcW w:w="1420" w:type="dxa"/>
            <w:vAlign w:val="bottom"/>
            <w:tcBorders>
              <w:bottom w:val="single" w:sz="8" w:color="939598"/>
              <w:right w:val="single" w:sz="8" w:color="939598"/>
            </w:tcBorders>
          </w:tcPr>
          <w:p>
            <w:pPr>
              <w:spacing w:after="0"/>
              <w:rPr>
                <w:sz w:val="22"/>
                <w:szCs w:val="22"/>
                <w:color w:val="auto"/>
              </w:rPr>
            </w:pPr>
          </w:p>
        </w:tc>
        <w:tc>
          <w:tcPr>
            <w:tcW w:w="1300" w:type="dxa"/>
            <w:vAlign w:val="bottom"/>
            <w:tcBorders>
              <w:bottom w:val="single" w:sz="8" w:color="939598"/>
              <w:right w:val="single" w:sz="8" w:color="939598"/>
            </w:tcBorders>
          </w:tcPr>
          <w:p>
            <w:pPr>
              <w:spacing w:after="0"/>
              <w:rPr>
                <w:sz w:val="22"/>
                <w:szCs w:val="22"/>
                <w:color w:val="auto"/>
              </w:rPr>
            </w:pPr>
          </w:p>
        </w:tc>
        <w:tc>
          <w:tcPr>
            <w:tcW w:w="1320" w:type="dxa"/>
            <w:vAlign w:val="bottom"/>
            <w:tcBorders>
              <w:bottom w:val="single" w:sz="8" w:color="939598"/>
              <w:right w:val="single" w:sz="8" w:color="939598"/>
            </w:tcBorders>
          </w:tcPr>
          <w:p>
            <w:pPr>
              <w:spacing w:after="0"/>
              <w:rPr>
                <w:sz w:val="22"/>
                <w:szCs w:val="22"/>
                <w:color w:val="auto"/>
              </w:rPr>
            </w:pPr>
          </w:p>
        </w:tc>
        <w:tc>
          <w:tcPr>
            <w:tcW w:w="1220" w:type="dxa"/>
            <w:vAlign w:val="bottom"/>
            <w:tcBorders>
              <w:bottom w:val="single" w:sz="8" w:color="939598"/>
              <w:right w:val="single" w:sz="8" w:color="939598"/>
            </w:tcBorders>
          </w:tcPr>
          <w:p>
            <w:pPr>
              <w:spacing w:after="0"/>
              <w:rPr>
                <w:sz w:val="22"/>
                <w:szCs w:val="22"/>
                <w:color w:val="auto"/>
              </w:rPr>
            </w:pPr>
          </w:p>
        </w:tc>
      </w:tr>
      <w:tr>
        <w:trPr>
          <w:trHeight w:val="247"/>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African American or Black</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Alaskan Native or Native American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Asian</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Hispanic or Latinx</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0"/>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Native Hawaiian or Pacific Islander</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White</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2</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8</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Two or More Races or Ethnicities</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LGBTQ+</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939598"/>
              <w:right w:val="single" w:sz="8" w:color="939598"/>
            </w:tcBorders>
          </w:tcPr>
          <w:p>
            <w:pPr>
              <w:spacing w:after="0"/>
              <w:rPr>
                <w:sz w:val="2"/>
                <w:szCs w:val="2"/>
                <w:color w:val="auto"/>
              </w:rPr>
            </w:pPr>
          </w:p>
        </w:tc>
        <w:tc>
          <w:tcPr>
            <w:tcW w:w="1420" w:type="dxa"/>
            <w:vAlign w:val="bottom"/>
            <w:tcBorders>
              <w:bottom w:val="single" w:sz="8" w:color="939598"/>
              <w:right w:val="single" w:sz="8" w:color="939598"/>
            </w:tcBorders>
          </w:tcPr>
          <w:p>
            <w:pPr>
              <w:spacing w:after="0"/>
              <w:rPr>
                <w:sz w:val="2"/>
                <w:szCs w:val="2"/>
                <w:color w:val="auto"/>
              </w:rPr>
            </w:pPr>
          </w:p>
        </w:tc>
        <w:tc>
          <w:tcPr>
            <w:tcW w:w="1300" w:type="dxa"/>
            <w:vAlign w:val="bottom"/>
            <w:tcBorders>
              <w:bottom w:val="single" w:sz="8" w:color="939598"/>
              <w:right w:val="single" w:sz="8" w:color="939598"/>
            </w:tcBorders>
          </w:tcPr>
          <w:p>
            <w:pPr>
              <w:spacing w:after="0"/>
              <w:rPr>
                <w:sz w:val="2"/>
                <w:szCs w:val="2"/>
                <w:color w:val="auto"/>
              </w:rPr>
            </w:pPr>
          </w:p>
        </w:tc>
        <w:tc>
          <w:tcPr>
            <w:tcW w:w="1320" w:type="dxa"/>
            <w:vAlign w:val="bottom"/>
            <w:tcBorders>
              <w:bottom w:val="single" w:sz="8" w:color="939598"/>
              <w:right w:val="single" w:sz="8" w:color="939598"/>
            </w:tcBorders>
          </w:tcPr>
          <w:p>
            <w:pPr>
              <w:spacing w:after="0"/>
              <w:rPr>
                <w:sz w:val="2"/>
                <w:szCs w:val="2"/>
                <w:color w:val="auto"/>
              </w:rPr>
            </w:pPr>
          </w:p>
        </w:tc>
        <w:tc>
          <w:tcPr>
            <w:tcW w:w="1220" w:type="dxa"/>
            <w:vAlign w:val="bottom"/>
            <w:tcBorders>
              <w:bottom w:val="single" w:sz="8" w:color="939598"/>
              <w:right w:val="single" w:sz="8" w:color="939598"/>
            </w:tcBorders>
          </w:tcPr>
          <w:p>
            <w:pPr>
              <w:spacing w:after="0"/>
              <w:rPr>
                <w:sz w:val="2"/>
                <w:szCs w:val="2"/>
                <w:color w:val="auto"/>
              </w:rPr>
            </w:pPr>
          </w:p>
        </w:tc>
      </w:tr>
      <w:tr>
        <w:trPr>
          <w:trHeight w:val="241"/>
        </w:trPr>
        <w:tc>
          <w:tcPr>
            <w:tcW w:w="6000" w:type="dxa"/>
            <w:vAlign w:val="bottom"/>
            <w:tcBorders>
              <w:right w:val="single" w:sz="8" w:color="939598"/>
            </w:tcBorders>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4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6000" w:type="dxa"/>
            <w:vAlign w:val="bottom"/>
            <w:tcBorders>
              <w:bottom w:val="single" w:sz="8" w:color="0067B3"/>
              <w:right w:val="single" w:sz="8" w:color="939598"/>
            </w:tcBorders>
          </w:tcPr>
          <w:p>
            <w:pPr>
              <w:spacing w:after="0"/>
              <w:rPr>
                <w:sz w:val="2"/>
                <w:szCs w:val="2"/>
                <w:color w:val="auto"/>
              </w:rPr>
            </w:pPr>
          </w:p>
        </w:tc>
        <w:tc>
          <w:tcPr>
            <w:tcW w:w="1420" w:type="dxa"/>
            <w:vAlign w:val="bottom"/>
            <w:tcBorders>
              <w:bottom w:val="single" w:sz="8" w:color="0067B3"/>
              <w:right w:val="single" w:sz="8" w:color="939598"/>
            </w:tcBorders>
          </w:tcPr>
          <w:p>
            <w:pPr>
              <w:spacing w:after="0"/>
              <w:rPr>
                <w:sz w:val="2"/>
                <w:szCs w:val="2"/>
                <w:color w:val="auto"/>
              </w:rPr>
            </w:pPr>
          </w:p>
        </w:tc>
        <w:tc>
          <w:tcPr>
            <w:tcW w:w="1300" w:type="dxa"/>
            <w:vAlign w:val="bottom"/>
            <w:tcBorders>
              <w:bottom w:val="single" w:sz="8" w:color="0067B3"/>
              <w:right w:val="single" w:sz="8" w:color="939598"/>
            </w:tcBorders>
          </w:tcPr>
          <w:p>
            <w:pPr>
              <w:spacing w:after="0"/>
              <w:rPr>
                <w:sz w:val="2"/>
                <w:szCs w:val="2"/>
                <w:color w:val="auto"/>
              </w:rPr>
            </w:pPr>
          </w:p>
        </w:tc>
        <w:tc>
          <w:tcPr>
            <w:tcW w:w="1320" w:type="dxa"/>
            <w:vAlign w:val="bottom"/>
            <w:tcBorders>
              <w:bottom w:val="single" w:sz="8" w:color="0067B3"/>
              <w:right w:val="single" w:sz="8" w:color="939598"/>
            </w:tcBorders>
          </w:tcPr>
          <w:p>
            <w:pPr>
              <w:spacing w:after="0"/>
              <w:rPr>
                <w:sz w:val="2"/>
                <w:szCs w:val="2"/>
                <w:color w:val="auto"/>
              </w:rPr>
            </w:pPr>
          </w:p>
        </w:tc>
        <w:tc>
          <w:tcPr>
            <w:tcW w:w="1220" w:type="dxa"/>
            <w:vAlign w:val="bottom"/>
            <w:tcBorders>
              <w:bottom w:val="single" w:sz="8" w:color="0067B3"/>
              <w:right w:val="single" w:sz="8" w:color="939598"/>
            </w:tcBorders>
          </w:tcPr>
          <w:p>
            <w:pPr>
              <w:spacing w:after="0"/>
              <w:rPr>
                <w:sz w:val="2"/>
                <w:szCs w:val="2"/>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Director Biographies</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director nominee. The information presented includes information each director nominee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director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Further, they each have demonstrated business acumen and an ability to exercise sound judgment, as well as a commitment of service to ADI and our Board of Directors. Finally, we value their significant experience on other public company boards of directors and board committees for providing our Board of Directors a range of views and a variety of best practices to consider.</w:t>
      </w:r>
    </w:p>
    <w:p>
      <w:pPr>
        <w:spacing w:after="0" w:line="7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Information about the number of shares of common stock beneficially owned by each director nominee appears below under the heading </w:t>
      </w:r>
      <w:r>
        <w:rPr>
          <w:rFonts w:ascii="Arial" w:cs="Arial" w:eastAsia="Arial" w:hAnsi="Arial"/>
          <w:sz w:val="18"/>
          <w:szCs w:val="18"/>
          <w:i w:val="1"/>
          <w:iCs w:val="1"/>
          <w:color w:val="auto"/>
        </w:rPr>
        <w:t>Security Ownership of Directors and Executive Officers</w:t>
      </w:r>
      <w:r>
        <w:rPr>
          <w:rFonts w:ascii="Arial" w:cs="Arial" w:eastAsia="Arial" w:hAnsi="Arial"/>
          <w:sz w:val="18"/>
          <w:szCs w:val="18"/>
          <w:color w:val="auto"/>
        </w:rPr>
        <w:t>. There are no family relationships among any of the directors and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40575" cy="258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67B3"/>
        </w:rPr>
        <w:t>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160" w:type="dxa"/>
            <w:vAlign w:val="bottom"/>
          </w:tcPr>
          <w:p>
            <w:pPr>
              <w:spacing w:after="0"/>
              <w:rPr>
                <w:sz w:val="20"/>
                <w:szCs w:val="20"/>
                <w:color w:val="auto"/>
              </w:rPr>
            </w:pPr>
            <w:r>
              <w:rPr>
                <w:rFonts w:ascii="Arial" w:cs="Arial" w:eastAsia="Arial" w:hAnsi="Arial"/>
                <w:sz w:val="14"/>
                <w:szCs w:val="14"/>
                <w:color w:val="auto"/>
              </w:rPr>
              <w:t>Executive Leadership</w:t>
            </w:r>
          </w:p>
        </w:tc>
        <w:tc>
          <w:tcPr>
            <w:tcW w:w="2240" w:type="dxa"/>
            <w:vAlign w:val="bottom"/>
          </w:tcPr>
          <w:p>
            <w:pPr>
              <w:ind w:left="60"/>
              <w:spacing w:after="0"/>
              <w:rPr>
                <w:sz w:val="20"/>
                <w:szCs w:val="20"/>
                <w:color w:val="auto"/>
              </w:rPr>
            </w:pPr>
            <w:r>
              <w:rPr>
                <w:rFonts w:ascii="Arial" w:cs="Arial" w:eastAsia="Arial" w:hAnsi="Arial"/>
                <w:sz w:val="14"/>
                <w:szCs w:val="14"/>
                <w:color w:val="auto"/>
              </w:rPr>
              <w:t>Industry</w:t>
            </w:r>
          </w:p>
        </w:tc>
        <w:tc>
          <w:tcPr>
            <w:tcW w:w="1920" w:type="dxa"/>
            <w:vAlign w:val="bottom"/>
          </w:tcPr>
          <w:p>
            <w:pPr>
              <w:ind w:left="60"/>
              <w:spacing w:after="0"/>
              <w:rPr>
                <w:sz w:val="20"/>
                <w:szCs w:val="20"/>
                <w:color w:val="auto"/>
              </w:rPr>
            </w:pPr>
            <w:r>
              <w:rPr>
                <w:rFonts w:ascii="Arial" w:cs="Arial" w:eastAsia="Arial" w:hAnsi="Arial"/>
                <w:sz w:val="14"/>
                <w:szCs w:val="14"/>
                <w:color w:val="auto"/>
              </w:rPr>
              <w:t>Innovation and</w:t>
            </w:r>
          </w:p>
        </w:tc>
        <w:tc>
          <w:tcPr>
            <w:tcW w:w="2500" w:type="dxa"/>
            <w:vAlign w:val="bottom"/>
          </w:tcPr>
          <w:p>
            <w:pPr>
              <w:ind w:left="380"/>
              <w:spacing w:after="0"/>
              <w:rPr>
                <w:sz w:val="20"/>
                <w:szCs w:val="20"/>
                <w:color w:val="auto"/>
              </w:rPr>
            </w:pPr>
            <w:r>
              <w:rPr>
                <w:rFonts w:ascii="Arial" w:cs="Arial" w:eastAsia="Arial" w:hAnsi="Arial"/>
                <w:sz w:val="14"/>
                <w:szCs w:val="14"/>
                <w:color w:val="auto"/>
              </w:rPr>
              <w:t>Corporate Governance/Public</w:t>
            </w:r>
          </w:p>
        </w:tc>
        <w:tc>
          <w:tcPr>
            <w:tcW w:w="2120" w:type="dxa"/>
            <w:vAlign w:val="bottom"/>
          </w:tcPr>
          <w:p>
            <w:pPr>
              <w:ind w:left="140"/>
              <w:spacing w:after="0"/>
              <w:rPr>
                <w:sz w:val="20"/>
                <w:szCs w:val="20"/>
                <w:color w:val="auto"/>
              </w:rPr>
            </w:pPr>
            <w:r>
              <w:rPr>
                <w:rFonts w:ascii="Arial" w:cs="Arial" w:eastAsia="Arial" w:hAnsi="Arial"/>
                <w:sz w:val="14"/>
                <w:szCs w:val="14"/>
                <w:color w:val="auto"/>
              </w:rPr>
              <w:t>Financial, Accounting, Auditing</w:t>
            </w:r>
          </w:p>
        </w:tc>
      </w:tr>
      <w:tr>
        <w:trPr>
          <w:trHeight w:val="190"/>
        </w:trPr>
        <w:tc>
          <w:tcPr>
            <w:tcW w:w="2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Emerging Technologies</w:t>
            </w:r>
          </w:p>
        </w:tc>
        <w:tc>
          <w:tcPr>
            <w:tcW w:w="2500" w:type="dxa"/>
            <w:vAlign w:val="bottom"/>
          </w:tcPr>
          <w:p>
            <w:pPr>
              <w:ind w:left="380"/>
              <w:spacing w:after="0"/>
              <w:rPr>
                <w:sz w:val="20"/>
                <w:szCs w:val="20"/>
                <w:color w:val="auto"/>
              </w:rPr>
            </w:pPr>
            <w:r>
              <w:rPr>
                <w:rFonts w:ascii="Arial" w:cs="Arial" w:eastAsia="Arial" w:hAnsi="Arial"/>
                <w:sz w:val="14"/>
                <w:szCs w:val="14"/>
                <w:color w:val="auto"/>
              </w:rPr>
              <w:t>Company Board</w:t>
            </w:r>
          </w:p>
        </w:tc>
        <w:tc>
          <w:tcPr>
            <w:tcW w:w="2120" w:type="dxa"/>
            <w:vAlign w:val="bottom"/>
          </w:tcPr>
          <w:p>
            <w:pPr>
              <w:spacing w:after="0"/>
              <w:rPr>
                <w:sz w:val="16"/>
                <w:szCs w:val="16"/>
                <w:color w:val="auto"/>
              </w:rPr>
            </w:pPr>
          </w:p>
        </w:tc>
      </w:tr>
      <w:tr>
        <w:trPr>
          <w:trHeight w:val="1254"/>
        </w:trPr>
        <w:tc>
          <w:tcPr>
            <w:tcW w:w="2160" w:type="dxa"/>
            <w:vAlign w:val="bottom"/>
          </w:tcPr>
          <w:p>
            <w:pPr>
              <w:spacing w:after="0"/>
              <w:rPr>
                <w:sz w:val="20"/>
                <w:szCs w:val="20"/>
                <w:color w:val="auto"/>
              </w:rPr>
            </w:pPr>
            <w:r>
              <w:rPr>
                <w:rFonts w:ascii="Arial" w:cs="Arial" w:eastAsia="Arial" w:hAnsi="Arial"/>
                <w:sz w:val="14"/>
                <w:szCs w:val="14"/>
                <w:color w:val="auto"/>
              </w:rPr>
              <w:t>International, Large Scale Global</w:t>
            </w:r>
          </w:p>
        </w:tc>
        <w:tc>
          <w:tcPr>
            <w:tcW w:w="2240" w:type="dxa"/>
            <w:vAlign w:val="bottom"/>
          </w:tcPr>
          <w:p>
            <w:pPr>
              <w:ind w:left="60"/>
              <w:spacing w:after="0"/>
              <w:rPr>
                <w:sz w:val="20"/>
                <w:szCs w:val="20"/>
                <w:color w:val="auto"/>
              </w:rPr>
            </w:pPr>
            <w:r>
              <w:rPr>
                <w:rFonts w:ascii="Arial" w:cs="Arial" w:eastAsia="Arial" w:hAnsi="Arial"/>
                <w:sz w:val="14"/>
                <w:szCs w:val="14"/>
                <w:color w:val="auto"/>
              </w:rPr>
              <w:t>Government Affairs, Public Policy</w:t>
            </w:r>
          </w:p>
        </w:tc>
        <w:tc>
          <w:tcPr>
            <w:tcW w:w="1920" w:type="dxa"/>
            <w:vAlign w:val="bottom"/>
          </w:tcPr>
          <w:p>
            <w:pPr>
              <w:ind w:left="60"/>
              <w:spacing w:after="0"/>
              <w:rPr>
                <w:sz w:val="20"/>
                <w:szCs w:val="20"/>
                <w:color w:val="auto"/>
              </w:rPr>
            </w:pPr>
            <w:r>
              <w:rPr>
                <w:rFonts w:ascii="Arial" w:cs="Arial" w:eastAsia="Arial" w:hAnsi="Arial"/>
                <w:sz w:val="14"/>
                <w:szCs w:val="14"/>
                <w:color w:val="auto"/>
              </w:rPr>
              <w:t>Strategy</w:t>
            </w:r>
          </w:p>
        </w:tc>
        <w:tc>
          <w:tcPr>
            <w:tcW w:w="2500" w:type="dxa"/>
            <w:vAlign w:val="bottom"/>
          </w:tcPr>
          <w:p>
            <w:pPr>
              <w:ind w:left="380"/>
              <w:spacing w:after="0"/>
              <w:rPr>
                <w:sz w:val="20"/>
                <w:szCs w:val="20"/>
                <w:color w:val="auto"/>
              </w:rPr>
            </w:pPr>
            <w:r>
              <w:rPr>
                <w:rFonts w:ascii="Arial" w:cs="Arial" w:eastAsia="Arial" w:hAnsi="Arial"/>
                <w:sz w:val="14"/>
                <w:szCs w:val="14"/>
                <w:color w:val="auto"/>
              </w:rPr>
              <w:t>Risk Management, Regulatory,</w:t>
            </w:r>
          </w:p>
        </w:tc>
        <w:tc>
          <w:tcPr>
            <w:tcW w:w="2120" w:type="dxa"/>
            <w:vAlign w:val="bottom"/>
          </w:tcPr>
          <w:p>
            <w:pPr>
              <w:ind w:left="140"/>
              <w:spacing w:after="0"/>
              <w:rPr>
                <w:sz w:val="20"/>
                <w:szCs w:val="20"/>
                <w:color w:val="auto"/>
              </w:rPr>
            </w:pPr>
            <w:r>
              <w:rPr>
                <w:rFonts w:ascii="Arial" w:cs="Arial" w:eastAsia="Arial" w:hAnsi="Arial"/>
                <w:sz w:val="14"/>
                <w:szCs w:val="14"/>
                <w:color w:val="auto"/>
              </w:rPr>
              <w:t>Cybersecurity, Information</w:t>
            </w: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auto"/>
              </w:rPr>
              <w:t>Operations, Manufacturing</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Compliance</w:t>
            </w:r>
          </w:p>
        </w:tc>
        <w:tc>
          <w:tcPr>
            <w:tcW w:w="2120" w:type="dxa"/>
            <w:vAlign w:val="bottom"/>
          </w:tcPr>
          <w:p>
            <w:pPr>
              <w:ind w:left="140"/>
              <w:spacing w:after="0"/>
              <w:rPr>
                <w:sz w:val="20"/>
                <w:szCs w:val="20"/>
                <w:color w:val="auto"/>
              </w:rPr>
            </w:pPr>
            <w:r>
              <w:rPr>
                <w:rFonts w:ascii="Arial" w:cs="Arial" w:eastAsia="Arial" w:hAnsi="Arial"/>
                <w:sz w:val="14"/>
                <w:szCs w:val="14"/>
                <w:color w:val="auto"/>
              </w:rPr>
              <w:t>Systems</w:t>
            </w:r>
          </w:p>
        </w:tc>
      </w:tr>
      <w:tr>
        <w:trPr>
          <w:trHeight w:val="1148"/>
        </w:trPr>
        <w:tc>
          <w:tcPr>
            <w:tcW w:w="2160" w:type="dxa"/>
            <w:vAlign w:val="bottom"/>
          </w:tcPr>
          <w:p>
            <w:pPr>
              <w:spacing w:after="0"/>
              <w:rPr>
                <w:sz w:val="20"/>
                <w:szCs w:val="20"/>
                <w:color w:val="auto"/>
              </w:rPr>
            </w:pPr>
            <w:r>
              <w:rPr>
                <w:rFonts w:ascii="Arial" w:cs="Arial" w:eastAsia="Arial" w:hAnsi="Arial"/>
                <w:sz w:val="14"/>
                <w:szCs w:val="14"/>
                <w:color w:val="auto"/>
              </w:rPr>
              <w:t>Mergers and Acquisitions</w:t>
            </w:r>
          </w:p>
        </w:tc>
        <w:tc>
          <w:tcPr>
            <w:tcW w:w="2240" w:type="dxa"/>
            <w:vAlign w:val="bottom"/>
          </w:tcPr>
          <w:p>
            <w:pPr>
              <w:ind w:left="60"/>
              <w:spacing w:after="0"/>
              <w:rPr>
                <w:sz w:val="20"/>
                <w:szCs w:val="20"/>
                <w:color w:val="auto"/>
              </w:rPr>
            </w:pPr>
            <w:r>
              <w:rPr>
                <w:rFonts w:ascii="Arial" w:cs="Arial" w:eastAsia="Arial" w:hAnsi="Arial"/>
                <w:sz w:val="14"/>
                <w:szCs w:val="14"/>
                <w:color w:val="auto"/>
              </w:rPr>
              <w:t>ESG</w:t>
            </w:r>
          </w:p>
        </w:tc>
        <w:tc>
          <w:tcPr>
            <w:tcW w:w="1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320" w:top="1311" w:right="319" w:bottom="140" w:gutter="0" w:footer="0" w:header="0"/>
        </w:sectPr>
      </w:pPr>
    </w:p>
    <w:p>
      <w:pPr>
        <w:spacing w:after="0" w:line="1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w:t>
      </w:r>
    </w:p>
    <w:p>
      <w:pPr>
        <w:jc w:val="right"/>
        <w:ind w:right="948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60"/>
          </w:cols>
          <w:pgMar w:left="320" w:top="1311" w:right="319" w:bottom="1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791845</wp:posOffset>
            </wp:positionV>
            <wp:extent cx="1560195" cy="2529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019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67B3"/>
        </w:rPr>
        <w:t>Vincent Roche</w:t>
      </w:r>
    </w:p>
    <w:p>
      <w:pPr>
        <w:spacing w:after="0" w:line="142" w:lineRule="exact"/>
        <w:rPr>
          <w:sz w:val="20"/>
          <w:szCs w:val="20"/>
          <w:color w:val="auto"/>
        </w:rPr>
      </w:pPr>
    </w:p>
    <w:p>
      <w:pPr>
        <w:ind w:left="20"/>
        <w:spacing w:after="0" w:line="317" w:lineRule="auto"/>
        <w:rPr>
          <w:sz w:val="20"/>
          <w:szCs w:val="20"/>
          <w:color w:val="auto"/>
        </w:rPr>
      </w:pPr>
      <w:r>
        <w:rPr>
          <w:rFonts w:ascii="Arial" w:cs="Arial" w:eastAsia="Arial" w:hAnsi="Arial"/>
          <w:sz w:val="17"/>
          <w:szCs w:val="17"/>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659765"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Roche was elected as Chair of our Board of Directors in March 2022. Mr. Roche has served as our President since 2012, and was appointed CEO and elected as a director in May 2013. During Mr. Roche’s tenure as CEO, our total shareholder return is up 300% vs S&amp;P 500 (up 190%) over that time as of the end of fiscal year 2022. Mr. Roche began his career with us in 1988 and has served in key positions spanning corporate leadership, worldwide sales, strategic marketing, business development, and product management over his more than 30-year tenure. Mr. Roche was recognized by Forbes in 2019 as one of America’s Most Innovative Leaders while also being a recipient of the 2021 SFI St. Patrick’s Day Science Medal for his contributions in support of the ecosystems in Ireland.</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880"/>
        <w:spacing w:after="0" w:line="266" w:lineRule="auto"/>
        <w:rPr>
          <w:sz w:val="20"/>
          <w:szCs w:val="20"/>
          <w:color w:val="auto"/>
        </w:rPr>
      </w:pPr>
      <w:r>
        <w:rPr>
          <w:rFonts w:ascii="Arial" w:cs="Arial" w:eastAsia="Arial" w:hAnsi="Arial"/>
          <w:sz w:val="18"/>
          <w:szCs w:val="18"/>
          <w:color w:val="auto"/>
        </w:rPr>
        <w:t>Mr. Roche brings to our Board of Directors insights based on his leadership roles and his deep knowledge of our products, markets, customers, culture and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Acacia Communications, Inc. (until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20"/>
            <w:col w:w="8380"/>
          </w:cols>
          <w:pgMar w:left="320" w:top="1440" w:right="339" w:bottom="1440" w:gutter="0" w:footer="0" w:header="0"/>
        </w:sectPr>
      </w:pPr>
    </w:p>
    <w:p>
      <w:pPr>
        <w:spacing w:after="0" w:line="331" w:lineRule="exact"/>
        <w:rPr>
          <w:sz w:val="20"/>
          <w:szCs w:val="20"/>
          <w:color w:val="auto"/>
        </w:rPr>
      </w:pPr>
    </w:p>
    <w:p>
      <w:pPr>
        <w:ind w:left="200"/>
        <w:spacing w:after="0"/>
        <w:tabs>
          <w:tab w:leader="none" w:pos="1040" w:val="left"/>
          <w:tab w:leader="none" w:pos="296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2013</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2339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3399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7B3"/>
        </w:rPr>
        <w:t>James A. Champy</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Presiding Director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Mr. Champy retired in 2010 as Vice President of the Dell/Perot Systems business unit of Dell, Inc., a computer and technology services company. Mr. Champy was previously a Vice President and the Chairman of Consulting at Perot Systems Corporation, an informational technology services company, from September 1996 to November 2009. He served as a member of the board of directors of Perot Systems Corporation from September 1996 to February 2004.</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Mr. Champy brings to our Board of Directors deep experience in the computer and technology services sectors and provides our Board of Directors with expertise in corporate strategy development and organizational acumen.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83" w:lineRule="exact"/>
        <w:rPr>
          <w:sz w:val="20"/>
          <w:szCs w:val="20"/>
          <w:color w:val="auto"/>
        </w:rPr>
      </w:pPr>
    </w:p>
    <w:p>
      <w:pPr>
        <w:sectPr>
          <w:pgSz w:w="11900" w:h="16838" w:orient="portrait"/>
          <w:cols w:equalWidth="0" w:num="2">
            <w:col w:w="2200" w:space="660"/>
            <w:col w:w="8380"/>
          </w:cols>
          <w:pgMar w:left="320" w:top="1440" w:right="339" w:bottom="1440" w:gutter="0" w:footer="0" w:header="0"/>
          <w:type w:val="continuous"/>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80</w:t>
            </w:r>
          </w:p>
        </w:tc>
        <w:tc>
          <w:tcPr>
            <w:tcW w:w="184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2003</w:t>
            </w:r>
          </w:p>
        </w:tc>
        <w:tc>
          <w:tcPr>
            <w:tcW w:w="8360" w:type="dxa"/>
            <w:vAlign w:val="bottom"/>
            <w:shd w:val="clear" w:color="auto" w:fill="E2E6F4"/>
          </w:tcPr>
          <w:p>
            <w:pPr>
              <w:ind w:left="10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840" w:type="dxa"/>
            <w:vAlign w:val="bottom"/>
            <w:vMerge w:val="continue"/>
            <w:shd w:val="clear" w:color="auto" w:fill="E2E6F4"/>
          </w:tcPr>
          <w:p>
            <w:pPr>
              <w:spacing w:after="0"/>
              <w:rPr>
                <w:sz w:val="12"/>
                <w:szCs w:val="12"/>
                <w:color w:val="auto"/>
              </w:rPr>
            </w:pPr>
          </w:p>
        </w:tc>
        <w:tc>
          <w:tcPr>
            <w:tcW w:w="8360" w:type="dxa"/>
            <w:vAlign w:val="bottom"/>
            <w:vMerge w:val="restart"/>
            <w:shd w:val="clear" w:color="auto" w:fill="E2E6F4"/>
          </w:tcPr>
          <w:p>
            <w:pPr>
              <w:ind w:left="100"/>
              <w:spacing w:after="0"/>
              <w:rPr>
                <w:sz w:val="20"/>
                <w:szCs w:val="20"/>
                <w:color w:val="auto"/>
              </w:rPr>
            </w:pPr>
            <w:r>
              <w:rPr>
                <w:rFonts w:ascii="Arial" w:cs="Arial" w:eastAsia="Arial" w:hAnsi="Arial"/>
                <w:sz w:val="18"/>
                <w:szCs w:val="18"/>
                <w:color w:val="auto"/>
              </w:rPr>
              <w:t>Corporate Governance</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840" w:type="dxa"/>
            <w:vAlign w:val="bottom"/>
            <w:shd w:val="clear" w:color="auto" w:fill="E2E6F4"/>
          </w:tcPr>
          <w:p>
            <w:pPr>
              <w:spacing w:after="0"/>
              <w:rPr>
                <w:sz w:val="8"/>
                <w:szCs w:val="8"/>
                <w:color w:val="auto"/>
              </w:rPr>
            </w:pPr>
          </w:p>
        </w:tc>
        <w:tc>
          <w:tcPr>
            <w:tcW w:w="836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840" w:type="dxa"/>
            <w:vAlign w:val="bottom"/>
            <w:shd w:val="clear" w:color="auto" w:fill="E2E6F4"/>
          </w:tcPr>
          <w:p>
            <w:pPr>
              <w:spacing w:after="0"/>
              <w:rPr>
                <w:sz w:val="16"/>
                <w:szCs w:val="16"/>
                <w:color w:val="auto"/>
              </w:rPr>
            </w:pPr>
          </w:p>
        </w:tc>
        <w:tc>
          <w:tcPr>
            <w:tcW w:w="836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-393700</wp:posOffset>
            </wp:positionV>
            <wp:extent cx="13544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54455" cy="2057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21</w:t>
      </w:r>
    </w:p>
    <w:p>
      <w:pPr>
        <w:sectPr>
          <w:pgSz w:w="11900" w:h="16838" w:orient="portrait"/>
          <w:cols w:equalWidth="0" w:num="1">
            <w:col w:w="11240"/>
          </w:cols>
          <w:pgMar w:left="320" w:top="1440"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535"/>
        </w:trPr>
        <w:tc>
          <w:tcPr>
            <w:tcW w:w="1040" w:type="dxa"/>
            <w:vAlign w:val="bottom"/>
            <w:tcBorders>
              <w:top w:val="single" w:sz="8" w:color="0067B3"/>
            </w:tcBorders>
          </w:tcPr>
          <w:p>
            <w:pPr>
              <w:spacing w:after="0"/>
              <w:rPr>
                <w:sz w:val="24"/>
                <w:szCs w:val="24"/>
                <w:color w:val="auto"/>
              </w:rPr>
            </w:pPr>
          </w:p>
        </w:tc>
        <w:tc>
          <w:tcPr>
            <w:tcW w:w="1600" w:type="dxa"/>
            <w:vAlign w:val="bottom"/>
            <w:tcBorders>
              <w:top w:val="single" w:sz="8" w:color="0067B3"/>
              <w:right w:val="single" w:sz="8" w:color="auto"/>
            </w:tcBorders>
          </w:tcPr>
          <w:p>
            <w:pPr>
              <w:spacing w:after="0"/>
              <w:rPr>
                <w:sz w:val="24"/>
                <w:szCs w:val="24"/>
                <w:color w:val="auto"/>
              </w:rPr>
            </w:pPr>
          </w:p>
        </w:tc>
        <w:tc>
          <w:tcPr>
            <w:tcW w:w="180" w:type="dxa"/>
            <w:vAlign w:val="bottom"/>
            <w:tcBorders>
              <w:top w:val="single" w:sz="8" w:color="0067B3"/>
            </w:tcBorders>
          </w:tcPr>
          <w:p>
            <w:pPr>
              <w:spacing w:after="0"/>
              <w:rPr>
                <w:sz w:val="24"/>
                <w:szCs w:val="24"/>
                <w:color w:val="auto"/>
              </w:rPr>
            </w:pPr>
          </w:p>
        </w:tc>
        <w:tc>
          <w:tcPr>
            <w:tcW w:w="8420" w:type="dxa"/>
            <w:vAlign w:val="bottom"/>
            <w:tcBorders>
              <w:top w:val="single" w:sz="8" w:color="0067B3"/>
            </w:tcBorders>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is Chief Executive Officer of Andonian Advisory Pte. Ltd., a consulting firm that he founded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 March 2022. Mr. Andonian has served as Special Advisor - Senior Partner Emeritus at McKinsey &amp;</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Company, a global management consulting company, since June 2022. Mr. Andonian was previously a</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w w:val="99"/>
              </w:rPr>
              <w:t>Senior Partner at McKinsey &amp; Company, most recently as managing partner of McKinsey Korea, advising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clients across the firm’s Semiconductors, Advanced Electronics, Automotive &amp; Assembly, Biotechnology,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and Aerospace &amp; Defense Practices from January 2021 until June 2022. He was previously managing</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partner of McKinsey Japan from January 2016 to December 2020.</w:t>
            </w:r>
          </w:p>
        </w:tc>
        <w:tc>
          <w:tcPr>
            <w:tcW w:w="0" w:type="dxa"/>
            <w:vAlign w:val="bottom"/>
          </w:tcPr>
          <w:p>
            <w:pPr>
              <w:spacing w:after="0"/>
              <w:rPr>
                <w:sz w:val="1"/>
                <w:szCs w:val="1"/>
                <w:color w:val="auto"/>
              </w:rPr>
            </w:pPr>
          </w:p>
        </w:tc>
      </w:tr>
      <w:tr>
        <w:trPr>
          <w:trHeight w:val="274"/>
        </w:trPr>
        <w:tc>
          <w:tcPr>
            <w:tcW w:w="1040" w:type="dxa"/>
            <w:vAlign w:val="bottom"/>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7"/>
                <w:szCs w:val="27"/>
                <w:b w:val="1"/>
                <w:bCs w:val="1"/>
                <w:color w:val="0067B3"/>
              </w:rPr>
              <w:t>André Andonian</w:t>
            </w: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Mr. Andonian brings to our Board of Directors extensive experience in transforming companies into</w:t>
            </w:r>
          </w:p>
        </w:tc>
        <w:tc>
          <w:tcPr>
            <w:tcW w:w="0" w:type="dxa"/>
            <w:vAlign w:val="bottom"/>
          </w:tcPr>
          <w:p>
            <w:pPr>
              <w:spacing w:after="0"/>
              <w:rPr>
                <w:sz w:val="1"/>
                <w:szCs w:val="1"/>
                <w:color w:val="auto"/>
              </w:rPr>
            </w:pPr>
          </w:p>
        </w:tc>
      </w:tr>
      <w:tr>
        <w:trPr>
          <w:trHeight w:val="235"/>
        </w:trPr>
        <w:tc>
          <w:tcPr>
            <w:tcW w:w="2640" w:type="dxa"/>
            <w:vAlign w:val="bottom"/>
            <w:tcBorders>
              <w:right w:val="single" w:sz="8" w:color="auto"/>
            </w:tcBorders>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global leaders in the high-tech, advanced industries, aerospace, biotech and basic materials sectors, and</w:t>
            </w:r>
          </w:p>
        </w:tc>
        <w:tc>
          <w:tcPr>
            <w:tcW w:w="0" w:type="dxa"/>
            <w:vAlign w:val="bottom"/>
          </w:tcPr>
          <w:p>
            <w:pPr>
              <w:spacing w:after="0"/>
              <w:rPr>
                <w:sz w:val="1"/>
                <w:szCs w:val="1"/>
                <w:color w:val="auto"/>
              </w:rPr>
            </w:pPr>
          </w:p>
        </w:tc>
      </w:tr>
      <w:tr>
        <w:trPr>
          <w:trHeight w:val="197"/>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17"/>
                <w:szCs w:val="17"/>
                <w:color w:val="auto"/>
              </w:rPr>
            </w:pPr>
          </w:p>
        </w:tc>
        <w:tc>
          <w:tcPr>
            <w:tcW w:w="8420" w:type="dxa"/>
            <w:vAlign w:val="bottom"/>
          </w:tcPr>
          <w:p>
            <w:pPr>
              <w:ind w:left="40"/>
              <w:spacing w:after="0" w:line="197" w:lineRule="exact"/>
              <w:rPr>
                <w:sz w:val="20"/>
                <w:szCs w:val="20"/>
                <w:color w:val="auto"/>
              </w:rPr>
            </w:pPr>
            <w:r>
              <w:rPr>
                <w:rFonts w:ascii="Arial" w:cs="Arial" w:eastAsia="Arial" w:hAnsi="Arial"/>
                <w:sz w:val="18"/>
                <w:szCs w:val="18"/>
                <w:color w:val="auto"/>
              </w:rPr>
              <w:t>in the assessment and development of talent. Mr. Andonian also has deep global executive leadership</w:t>
            </w: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experience, previously holding executive leadership roles at McKinsey across Europe, the U.S. and Asia</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over a 30-year career. Further, Mr. Andonian brings significant experience working with senior leaders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companies around the world and across a multitude of industries on a broad range of strategic and</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operational issues, including driving board effectiveness.</w:t>
            </w:r>
          </w:p>
        </w:tc>
        <w:tc>
          <w:tcPr>
            <w:tcW w:w="0" w:type="dxa"/>
            <w:vAlign w:val="bottom"/>
          </w:tcPr>
          <w:p>
            <w:pPr>
              <w:spacing w:after="0"/>
              <w:rPr>
                <w:sz w:val="1"/>
                <w:szCs w:val="1"/>
                <w:color w:val="auto"/>
              </w:rPr>
            </w:pPr>
          </w:p>
        </w:tc>
      </w:tr>
      <w:tr>
        <w:trPr>
          <w:trHeight w:val="261"/>
        </w:trPr>
        <w:tc>
          <w:tcPr>
            <w:tcW w:w="104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AEM Holdings Ltd. (SGX:AWK)</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Corporate</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Governance; Corporate Development</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0067B3"/>
            </w:tcBorders>
          </w:tcPr>
          <w:p>
            <w:pPr>
              <w:spacing w:after="0"/>
              <w:rPr>
                <w:sz w:val="20"/>
                <w:szCs w:val="20"/>
                <w:color w:val="auto"/>
              </w:rPr>
            </w:pPr>
          </w:p>
        </w:tc>
        <w:tc>
          <w:tcPr>
            <w:tcW w:w="1600" w:type="dxa"/>
            <w:vAlign w:val="bottom"/>
            <w:tcBorders>
              <w:bottom w:val="single" w:sz="8" w:color="0067B3"/>
            </w:tcBorders>
          </w:tcPr>
          <w:p>
            <w:pPr>
              <w:spacing w:after="0"/>
              <w:rPr>
                <w:sz w:val="20"/>
                <w:szCs w:val="20"/>
                <w:color w:val="auto"/>
              </w:rPr>
            </w:pPr>
          </w:p>
        </w:tc>
        <w:tc>
          <w:tcPr>
            <w:tcW w:w="180" w:type="dxa"/>
            <w:vAlign w:val="bottom"/>
            <w:tcBorders>
              <w:bottom w:val="single" w:sz="8" w:color="0067B3"/>
            </w:tcBorders>
          </w:tcPr>
          <w:p>
            <w:pPr>
              <w:spacing w:after="0"/>
              <w:rPr>
                <w:sz w:val="20"/>
                <w:szCs w:val="20"/>
                <w:color w:val="auto"/>
              </w:rPr>
            </w:pPr>
          </w:p>
        </w:tc>
        <w:tc>
          <w:tcPr>
            <w:tcW w:w="8420" w:type="dxa"/>
            <w:vAlign w:val="bottom"/>
            <w:tcBorders>
              <w:bottom w:val="single" w:sz="8" w:color="0067B3"/>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-3736975</wp:posOffset>
            </wp:positionV>
            <wp:extent cx="1440180" cy="1440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-556895</wp:posOffset>
            </wp:positionV>
            <wp:extent cx="144018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018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88"/>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PROFESSIONAL EXPERIENCE AND BACKGROUND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Dr. Chandrakasan has served as the Dean of the School of Engineering at the Massachusetts Institute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Technology (MIT), a private research university since July 2017, and as Vannevar Bush Professor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Electrical Engineering and Computer Science. Dr. Chandrakasan has co-chaired the MIT-IBM Watson AI</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Lab, the MIT-Takeda Program, and the MIT and Accenture Convergence Initiative for Industry and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Technology. Dr. Chandrakasan also currently serves on the board of directors of the Singapore-MIT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Alliance for Research and Technology, or SMART. Dr. Chandrakasan was the director of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Microsystems Technology Laboratories from July 2006 until he became the head of the Department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Electrical Engineering and Computer Science in July 2011, a position that concluded with his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appointment as Dean in July 2017. Dr. Chandrakasan joined the MIT faculty in 1994. Dr. Chandrakasan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7"/>
                <w:szCs w:val="27"/>
                <w:b w:val="1"/>
                <w:bCs w:val="1"/>
                <w:color w:val="0067B3"/>
              </w:rPr>
              <w:t>Anantha P.</w:t>
            </w: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is an Institute of Electrical and Electronics Engineers (IEEE) fellow, and was elected to the National</w:t>
            </w:r>
          </w:p>
        </w:tc>
        <w:tc>
          <w:tcPr>
            <w:tcW w:w="0" w:type="dxa"/>
            <w:vAlign w:val="bottom"/>
          </w:tcPr>
          <w:p>
            <w:pPr>
              <w:spacing w:after="0"/>
              <w:rPr>
                <w:sz w:val="1"/>
                <w:szCs w:val="1"/>
                <w:color w:val="auto"/>
              </w:rPr>
            </w:pPr>
          </w:p>
        </w:tc>
      </w:tr>
      <w:tr>
        <w:trPr>
          <w:trHeight w:val="181"/>
        </w:trPr>
        <w:tc>
          <w:tcPr>
            <w:tcW w:w="264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20" w:type="dxa"/>
            <w:vAlign w:val="bottom"/>
          </w:tcPr>
          <w:p>
            <w:pPr>
              <w:ind w:left="40"/>
              <w:spacing w:after="0" w:line="181" w:lineRule="exact"/>
              <w:rPr>
                <w:sz w:val="20"/>
                <w:szCs w:val="20"/>
                <w:color w:val="auto"/>
              </w:rPr>
            </w:pPr>
            <w:r>
              <w:rPr>
                <w:rFonts w:ascii="Arial" w:cs="Arial" w:eastAsia="Arial" w:hAnsi="Arial"/>
                <w:sz w:val="18"/>
                <w:szCs w:val="18"/>
                <w:color w:val="auto"/>
              </w:rPr>
              <w:t>Academy of Engineering in 2015 and to the American Academy of Arts &amp; Sciences in 2019.</w:t>
            </w:r>
          </w:p>
        </w:tc>
        <w:tc>
          <w:tcPr>
            <w:tcW w:w="0" w:type="dxa"/>
            <w:vAlign w:val="bottom"/>
          </w:tcPr>
          <w:p>
            <w:pPr>
              <w:spacing w:after="0"/>
              <w:rPr>
                <w:sz w:val="1"/>
                <w:szCs w:val="1"/>
                <w:color w:val="auto"/>
              </w:rPr>
            </w:pPr>
          </w:p>
        </w:tc>
      </w:tr>
      <w:tr>
        <w:trPr>
          <w:trHeight w:val="31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27"/>
                <w:szCs w:val="27"/>
                <w:b w:val="1"/>
                <w:bCs w:val="1"/>
                <w:color w:val="0067B3"/>
              </w:rPr>
              <w:t>Chandrakasan</w:t>
            </w:r>
          </w:p>
        </w:tc>
        <w:tc>
          <w:tcPr>
            <w:tcW w:w="180" w:type="dxa"/>
            <w:vAlign w:val="bottom"/>
          </w:tcPr>
          <w:p>
            <w:pPr>
              <w:spacing w:after="0"/>
              <w:rPr>
                <w:sz w:val="24"/>
                <w:szCs w:val="24"/>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KEY QUALIFICATIONS AND EXPERTISE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7"/>
                <w:szCs w:val="17"/>
                <w:color w:val="auto"/>
              </w:rPr>
              <w:t>Independent</w:t>
            </w: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Dr. Chandrakasan brings to our Board of Directors a deep understanding of complex technologies and</w:t>
            </w:r>
          </w:p>
        </w:tc>
        <w:tc>
          <w:tcPr>
            <w:tcW w:w="0" w:type="dxa"/>
            <w:vAlign w:val="bottom"/>
          </w:tcPr>
          <w:p>
            <w:pPr>
              <w:spacing w:after="0"/>
              <w:rPr>
                <w:sz w:val="1"/>
                <w:szCs w:val="1"/>
                <w:color w:val="auto"/>
              </w:rPr>
            </w:pPr>
          </w:p>
        </w:tc>
      </w:tr>
      <w:tr>
        <w:trPr>
          <w:trHeight w:val="86"/>
        </w:trPr>
        <w:tc>
          <w:tcPr>
            <w:tcW w:w="2640" w:type="dxa"/>
            <w:vAlign w:val="bottom"/>
            <w:tcBorders>
              <w:right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20" w:type="dxa"/>
            <w:vAlign w:val="bottom"/>
            <w:vMerge w:val="restart"/>
          </w:tcPr>
          <w:p>
            <w:pPr>
              <w:ind w:left="40"/>
              <w:spacing w:after="0"/>
              <w:rPr>
                <w:sz w:val="20"/>
                <w:szCs w:val="20"/>
                <w:color w:val="auto"/>
              </w:rPr>
            </w:pPr>
            <w:r>
              <w:rPr>
                <w:rFonts w:ascii="Arial" w:cs="Arial" w:eastAsia="Arial" w:hAnsi="Arial"/>
                <w:sz w:val="18"/>
                <w:szCs w:val="18"/>
                <w:color w:val="auto"/>
              </w:rPr>
              <w:t>broad experience driving innovation. Dr. Chandrakasan has a deep understanding of the semiconductor</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industry having previously consulted for a number of semiconductor companies. Mr. Chandrakasan also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has experience driving diversity initiatives and is involved with cybersecurity initiatives at MIT and brings</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these skills to our Board of Directors.</w:t>
            </w:r>
          </w:p>
        </w:tc>
        <w:tc>
          <w:tcPr>
            <w:tcW w:w="0" w:type="dxa"/>
            <w:vAlign w:val="bottom"/>
          </w:tcPr>
          <w:p>
            <w:pPr>
              <w:spacing w:after="0"/>
              <w:rPr>
                <w:sz w:val="1"/>
                <w:szCs w:val="1"/>
                <w:color w:val="auto"/>
              </w:rPr>
            </w:pPr>
          </w:p>
        </w:tc>
      </w:tr>
      <w:tr>
        <w:trPr>
          <w:trHeight w:val="274"/>
        </w:trPr>
        <w:tc>
          <w:tcPr>
            <w:tcW w:w="1040" w:type="dxa"/>
            <w:vAlign w:val="bottom"/>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8420" w:type="dxa"/>
            <w:vAlign w:val="bottom"/>
          </w:tcPr>
          <w:p>
            <w:pPr>
              <w:ind w:left="40"/>
              <w:spacing w:after="0"/>
              <w:rPr>
                <w:sz w:val="20"/>
                <w:szCs w:val="20"/>
                <w:color w:val="auto"/>
              </w:rPr>
            </w:pPr>
            <w:r>
              <w:rPr>
                <w:rFonts w:ascii="Arial" w:cs="Arial" w:eastAsia="Arial" w:hAnsi="Arial"/>
                <w:sz w:val="15"/>
                <w:szCs w:val="15"/>
                <w:b w:val="1"/>
                <w:bCs w:val="1"/>
                <w:color w:val="0067B3"/>
              </w:rPr>
              <w:t>OTHER PUBLIC COMPANY BOARDS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80"/>
        </w:trPr>
        <w:tc>
          <w:tcPr>
            <w:tcW w:w="10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0" w:type="dxa"/>
            <w:vAlign w:val="bottom"/>
            <w:vMerge w:val="restart"/>
            <w:shd w:val="clear" w:color="auto" w:fill="E2E6F4"/>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tc>
        <w:tc>
          <w:tcPr>
            <w:tcW w:w="1780" w:type="dxa"/>
            <w:vAlign w:val="bottom"/>
            <w:gridSpan w:val="2"/>
            <w:vMerge w:val="restart"/>
            <w:shd w:val="clear" w:color="auto" w:fill="E2E6F4"/>
          </w:tcPr>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8420" w:type="dxa"/>
            <w:vAlign w:val="bottom"/>
            <w:shd w:val="clear" w:color="auto" w:fill="E2E6F4"/>
          </w:tcPr>
          <w:p>
            <w:pPr>
              <w:ind w:left="1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Corporate Governance;</w:t>
            </w:r>
          </w:p>
        </w:tc>
        <w:tc>
          <w:tcPr>
            <w:tcW w:w="0" w:type="dxa"/>
            <w:vAlign w:val="bottom"/>
          </w:tcPr>
          <w:p>
            <w:pPr>
              <w:spacing w:after="0"/>
              <w:rPr>
                <w:sz w:val="1"/>
                <w:szCs w:val="1"/>
                <w:color w:val="auto"/>
              </w:rPr>
            </w:pPr>
          </w:p>
        </w:tc>
      </w:tr>
      <w:tr>
        <w:trPr>
          <w:trHeight w:val="139"/>
        </w:trPr>
        <w:tc>
          <w:tcPr>
            <w:tcW w:w="1040" w:type="dxa"/>
            <w:vAlign w:val="bottom"/>
            <w:vMerge w:val="continue"/>
            <w:shd w:val="clear" w:color="auto" w:fill="E2E6F4"/>
          </w:tcPr>
          <w:p>
            <w:pPr>
              <w:spacing w:after="0"/>
              <w:rPr>
                <w:sz w:val="12"/>
                <w:szCs w:val="12"/>
                <w:color w:val="auto"/>
              </w:rPr>
            </w:pPr>
          </w:p>
        </w:tc>
        <w:tc>
          <w:tcPr>
            <w:tcW w:w="1780" w:type="dxa"/>
            <w:vAlign w:val="bottom"/>
            <w:gridSpan w:val="2"/>
            <w:vMerge w:val="continue"/>
            <w:shd w:val="clear" w:color="auto" w:fill="E2E6F4"/>
          </w:tcPr>
          <w:p>
            <w:pPr>
              <w:spacing w:after="0"/>
              <w:rPr>
                <w:sz w:val="12"/>
                <w:szCs w:val="12"/>
                <w:color w:val="auto"/>
              </w:rPr>
            </w:pPr>
          </w:p>
        </w:tc>
        <w:tc>
          <w:tcPr>
            <w:tcW w:w="8420" w:type="dxa"/>
            <w:vAlign w:val="bottom"/>
            <w:vMerge w:val="restart"/>
            <w:shd w:val="clear" w:color="auto" w:fill="E2E6F4"/>
          </w:tcPr>
          <w:p>
            <w:pPr>
              <w:ind w:left="160"/>
              <w:spacing w:after="0"/>
              <w:rPr>
                <w:sz w:val="20"/>
                <w:szCs w:val="20"/>
                <w:color w:val="auto"/>
              </w:rPr>
            </w:pPr>
            <w:r>
              <w:rPr>
                <w:rFonts w:ascii="Arial" w:cs="Arial" w:eastAsia="Arial" w:hAnsi="Arial"/>
                <w:sz w:val="18"/>
                <w:szCs w:val="18"/>
                <w:color w:val="auto"/>
              </w:rPr>
              <w:t>Corporate Development</w:t>
            </w:r>
          </w:p>
        </w:tc>
        <w:tc>
          <w:tcPr>
            <w:tcW w:w="0" w:type="dxa"/>
            <w:vAlign w:val="bottom"/>
          </w:tcPr>
          <w:p>
            <w:pPr>
              <w:spacing w:after="0"/>
              <w:rPr>
                <w:sz w:val="1"/>
                <w:szCs w:val="1"/>
                <w:color w:val="auto"/>
              </w:rPr>
            </w:pPr>
          </w:p>
        </w:tc>
      </w:tr>
      <w:tr>
        <w:trPr>
          <w:trHeight w:val="100"/>
        </w:trPr>
        <w:tc>
          <w:tcPr>
            <w:tcW w:w="1040" w:type="dxa"/>
            <w:vAlign w:val="bottom"/>
            <w:shd w:val="clear" w:color="auto" w:fill="E2E6F4"/>
          </w:tcPr>
          <w:p>
            <w:pPr>
              <w:spacing w:after="0"/>
              <w:rPr>
                <w:sz w:val="8"/>
                <w:szCs w:val="8"/>
                <w:color w:val="auto"/>
              </w:rPr>
            </w:pPr>
          </w:p>
        </w:tc>
        <w:tc>
          <w:tcPr>
            <w:tcW w:w="1600" w:type="dxa"/>
            <w:vAlign w:val="bottom"/>
            <w:tcBorders>
              <w:right w:val="single" w:sz="8" w:color="E2E6F4"/>
            </w:tcBorders>
            <w:shd w:val="clear" w:color="auto" w:fill="E2E6F4"/>
          </w:tcPr>
          <w:p>
            <w:pPr>
              <w:spacing w:after="0"/>
              <w:rPr>
                <w:sz w:val="8"/>
                <w:szCs w:val="8"/>
                <w:color w:val="auto"/>
              </w:rPr>
            </w:pPr>
          </w:p>
        </w:tc>
        <w:tc>
          <w:tcPr>
            <w:tcW w:w="180" w:type="dxa"/>
            <w:vAlign w:val="bottom"/>
            <w:shd w:val="clear" w:color="auto" w:fill="E2E6F4"/>
          </w:tcPr>
          <w:p>
            <w:pPr>
              <w:spacing w:after="0"/>
              <w:rPr>
                <w:sz w:val="8"/>
                <w:szCs w:val="8"/>
                <w:color w:val="auto"/>
              </w:rPr>
            </w:pPr>
          </w:p>
        </w:tc>
        <w:tc>
          <w:tcPr>
            <w:tcW w:w="8420" w:type="dxa"/>
            <w:vAlign w:val="bottom"/>
            <w:vMerge w:val="continue"/>
            <w:shd w:val="clear" w:color="auto" w:fill="E2E6F4"/>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2E6F4"/>
          </w:tcPr>
          <w:p>
            <w:pPr>
              <w:spacing w:after="0"/>
              <w:rPr>
                <w:sz w:val="16"/>
                <w:szCs w:val="16"/>
                <w:color w:val="auto"/>
              </w:rPr>
            </w:pPr>
          </w:p>
        </w:tc>
        <w:tc>
          <w:tcPr>
            <w:tcW w:w="1600" w:type="dxa"/>
            <w:vAlign w:val="bottom"/>
            <w:tcBorders>
              <w:right w:val="single" w:sz="8" w:color="E2E6F4"/>
            </w:tcBorders>
            <w:shd w:val="clear" w:color="auto" w:fill="E2E6F4"/>
          </w:tcPr>
          <w:p>
            <w:pPr>
              <w:spacing w:after="0"/>
              <w:rPr>
                <w:sz w:val="16"/>
                <w:szCs w:val="16"/>
                <w:color w:val="auto"/>
              </w:rPr>
            </w:pPr>
          </w:p>
        </w:tc>
        <w:tc>
          <w:tcPr>
            <w:tcW w:w="180" w:type="dxa"/>
            <w:vAlign w:val="bottom"/>
            <w:shd w:val="clear" w:color="auto" w:fill="E2E6F4"/>
          </w:tcPr>
          <w:p>
            <w:pPr>
              <w:spacing w:after="0"/>
              <w:rPr>
                <w:sz w:val="16"/>
                <w:szCs w:val="16"/>
                <w:color w:val="auto"/>
              </w:rPr>
            </w:pPr>
          </w:p>
        </w:tc>
        <w:tc>
          <w:tcPr>
            <w:tcW w:w="8420" w:type="dxa"/>
            <w:vAlign w:val="bottom"/>
            <w:shd w:val="clear" w:color="auto" w:fill="E2E6F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-3848735</wp:posOffset>
            </wp:positionV>
            <wp:extent cx="1440180" cy="1440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-393700</wp:posOffset>
            </wp:positionV>
            <wp:extent cx="165417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54175" cy="20574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22</w:t>
      </w:r>
    </w:p>
    <w:p>
      <w:pPr>
        <w:jc w:val="right"/>
        <w:ind w:right="946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40"/>
          </w:cols>
          <w:pgMar w:left="320" w:top="1199" w:right="3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Edward H. Frank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1630045</wp:posOffset>
            </wp:positionV>
            <wp:extent cx="659765" cy="445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76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36429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642995"/>
                    </a:xfrm>
                    <a:prstGeom prst="rect">
                      <a:avLst/>
                    </a:prstGeom>
                    <a:noFill/>
                  </pic:spPr>
                </pic:pic>
              </a:graphicData>
            </a:graphic>
          </wp:anchor>
        </w:drawing>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September 2022, Dr. Frank has been the Executive Chair of Gradient Technologies, a security technologies startup, focused on identity and access management, and was recently co-founder and CEO of Cloud Parity Inc.,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Since 2000, Dr. Frank has been a Trustee of Carnegie Mellon University and served as vice-chair from 2015 through 2021. Dr. Frank has served on the board of directors of Metallica’s All Within My Hands Foundation since July 2017, where he also served as Executive Director (pro bono) from July 2017 through December 2021. He is a member of the National Academy of Engineering and a Fellow of the IEEE.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Dr. Frank brings to our Board of Directors substantial experience in the design, manufacture, sale and marketing of semiconductors for a broad set of markets, including many of the markets we service and brings extensive executive leadership experience. Dr. Frank also brings significant cybersecurity experience to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Marvell Technology, Inc.; SiTime Corp.; Rocket Lab USA, Inc.</w:t>
      </w:r>
    </w:p>
    <w:p>
      <w:pPr>
        <w:spacing w:after="0" w:line="9"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Cavium, Inc. (until 2018); Amesite, Inc. (until 2020); Quantenna Communications, Inc.</w:t>
      </w:r>
      <w:r>
        <w:rPr>
          <w:rFonts w:ascii="Arial" w:cs="Arial" w:eastAsia="Arial" w:hAnsi="Arial"/>
          <w:sz w:val="18"/>
          <w:szCs w:val="18"/>
          <w:color w:val="0067B3"/>
        </w:rPr>
        <w:t xml:space="preserve"> </w:t>
      </w:r>
      <w:r>
        <w:rPr>
          <w:rFonts w:ascii="Arial" w:cs="Arial" w:eastAsia="Arial" w:hAnsi="Arial"/>
          <w:sz w:val="18"/>
          <w:szCs w:val="18"/>
          <w:color w:val="000000"/>
        </w:rPr>
        <w:t>(until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163830</wp:posOffset>
            </wp:positionV>
            <wp:extent cx="6471920"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7192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00"/>
            <w:col w:w="8360"/>
          </w:cols>
          <w:pgMar w:left="340" w:top="1440" w:right="359" w:bottom="1440" w:gutter="0" w:footer="0" w:header="0"/>
        </w:sectPr>
      </w:pPr>
    </w:p>
    <w:p>
      <w:pPr>
        <w:spacing w:after="0" w:line="282"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2014</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32320" cy="3231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23151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Laurie H. Glimcher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1218565</wp:posOffset>
            </wp:positionV>
            <wp:extent cx="659765" cy="471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Dr. Glimcher has served as a Professor of Microbiology and Immunology at Harvard Medical School since May 2017, the Richard and Susan Smith Professor of Medicine at Harvard Medical School and Dana-Farber Cancer Institute since October 2016, an Attending Physician, Department of Cancer Immunology and Virology at Dana-Farber Cancer Institute since October 2016 and the President and Chief Executive Officer of the Dana-Farber Cancer Institute since September 2016. In addition to a number of senior leadership roles held at both Harvard Medical School and Harvard School of Public Health from 1984 to 2011 and from October 2016 to present, she also served as the Stephen and Suzanne Weiss Dean and Professor of Medicine of Weill Cornell Medicine and Provost for Medical Affairs of Cornell University from January 2012 to August 2016. She is a member of the board of trustees at the Dana-Farber Cancer Institute and a member of the U.S. National Academy of Sciences, the National Academy of Medicine, the American Academy of Arts and Sciences and the American Philosophical Society.</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Dr. Glimcher brings to our Board of Directors scientific and public health expertise, as well as diversity of technical skills and experience managing large, complex organizations, and as a physician, scientist and professor.</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Waters Corporation (until 2020); GlaxoSmithKline plc (until October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8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40"/>
            <w:col w:w="8360"/>
          </w:cols>
          <w:pgMar w:left="340" w:top="1440" w:right="359" w:bottom="1440" w:gutter="0" w:footer="0" w:header="0"/>
          <w:type w:val="continuous"/>
        </w:sectPr>
      </w:pPr>
    </w:p>
    <w:p>
      <w:pPr>
        <w:spacing w:after="0" w:line="331"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2020</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140"/>
        <w:spacing w:after="0"/>
        <w:tabs>
          <w:tab w:leader="none" w:pos="1096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23</w:t>
      </w:r>
    </w:p>
    <w:p>
      <w:pPr>
        <w:sectPr>
          <w:pgSz w:w="11900" w:h="16838" w:orient="portrait"/>
          <w:cols w:equalWidth="0" w:num="1">
            <w:col w:w="11200"/>
          </w:cols>
          <w:pgMar w:left="340" w:top="1440" w:right="35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0067B3"/>
        </w:rPr>
        <w:t>Karen M. Golz</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659765" cy="4718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254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Ms. Golz is a retired Partner of Ernst &amp; Young (EY), a public accounting firm, where she was Global Vice Chair, Japan from 2016 to 2017 and previously Global Vice Chair, Professional Practice from 2010 to 2016.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Ms. Golz also sits on the board of trustees of the University of Illinois Foundation. Ms. Golz is a National Association of Corporate Directors (NACD) Board Leadership Fellow.</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Ms. Golz brings to our Board of Directors accounting and audit expertise and extensive experience helping large organizations successfully navigate the complexities of international trade and regulation.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Aspen Technology, Inc.; iRobot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8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sectPr>
      </w:pPr>
    </w:p>
    <w:p>
      <w:pPr>
        <w:spacing w:after="0" w:line="331"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2018</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32320" cy="3094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09435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Mercedes</w:t>
      </w:r>
    </w:p>
    <w:p>
      <w:pPr>
        <w:spacing w:after="0" w:line="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Johnson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659765" cy="471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976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Ms. Johnson served as interim Chief Financial Officer of Intersil Corporation, a semiconductor company, from April 2013 to September 2013, as Vice President and Chief Financial Officer at Tri Alpha Energy, Inc. (now TAE Technologies, Inc.), a fusion power company, from 2010 to 2011, and as Senior Vice President and Chief Financial Officer of Avago Technologies Limited (now Broadcom Inc.), a semiconductor manufacturing company from December 2005 to August 2008. Prior to joining Avago, Ms. Johnson was Senior Vice President, Finance, of Lam Research Corporation, a supplier of wafer fabrication equipment and related services to the semiconductor industry from June 2004 to January 2005 and Chief Financial Officer of Lam from May 1997 to May 2004.</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Ms. Johnson brings to our Board of Directors extensive executive experience in finance, accounting, corporate development, corporate governance, management, and operations. Ms. Johnson provides our Board of Directors with valuable industry experience as a former senior financial executive at semiconductor and semiconductor equipment companies as well as numerous directorships at public global technology companies.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Teradyne, Inc.; Synopsys, Inc.; Millicom International Cellular SA</w:t>
      </w:r>
    </w:p>
    <w:p>
      <w:pPr>
        <w:spacing w:after="0" w:line="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Juniper Networks, Inc. (until 2019); Micron Technology, Inc. (until 2019); Maxim Integrated</w:t>
      </w:r>
      <w:r>
        <w:rPr>
          <w:rFonts w:ascii="Arial" w:cs="Arial" w:eastAsia="Arial" w:hAnsi="Arial"/>
          <w:sz w:val="18"/>
          <w:szCs w:val="18"/>
          <w:color w:val="0067B3"/>
        </w:rPr>
        <w:t xml:space="preserve"> </w:t>
      </w:r>
      <w:r>
        <w:rPr>
          <w:rFonts w:ascii="Arial" w:cs="Arial" w:eastAsia="Arial" w:hAnsi="Arial"/>
          <w:sz w:val="18"/>
          <w:szCs w:val="18"/>
          <w:color w:val="000000"/>
        </w:rPr>
        <w:t>Products,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163830</wp:posOffset>
            </wp:positionV>
            <wp:extent cx="6471920" cy="4718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719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40"/>
          </w:cols>
          <w:pgMar w:left="340" w:top="1440" w:right="379" w:bottom="1440" w:gutter="0" w:footer="0" w:header="0"/>
          <w:type w:val="continuous"/>
        </w:sectPr>
      </w:pPr>
    </w:p>
    <w:p>
      <w:pPr>
        <w:spacing w:after="0" w:line="295"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2021</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w:t>
      </w:r>
    </w:p>
    <w:p>
      <w:pPr>
        <w:ind w:left="46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180"/>
          </w:cols>
          <w:pgMar w:left="340" w:top="1440" w:right="37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Kenton J.</w:t>
      </w:r>
    </w:p>
    <w:p>
      <w:pPr>
        <w:spacing w:after="0" w:line="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Sicchitano</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659765"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976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2400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400300"/>
                    </a:xfrm>
                    <a:prstGeom prst="rect">
                      <a:avLst/>
                    </a:prstGeom>
                    <a:noFill/>
                  </pic:spPr>
                </pic:pic>
              </a:graphicData>
            </a:graphic>
          </wp:anchor>
        </w:drawing>
      </w:r>
    </w:p>
    <w:p>
      <w:pPr>
        <w:spacing w:after="0" w:line="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Sicchitano retired from PricewaterhouseCoopers LLP (PwC), a public accounting firm, in July 2001. At the time of his retirement, Mr. Sicchitano was the Global Managing Partner of Independence and Regulatory Matters for PwC. Mr. Sicchitano joined Price Waterhouse LLP, a predecessor firm of PwC, in 1970 and became a partner in 1979. During his 31-year tenure with PwC, Mr. Sicchitano held various positions, including Global Managing Partner of Audit/Business Advisory Services and Global Managing Partner responsible for Audit/Business Advisory, Tax and Financial Advisory Services.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Mr. Sicchitano brings to our Board of Directors extensive experience with public and financial accounting matters for complex global organizations.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314960</wp:posOffset>
            </wp:positionV>
            <wp:extent cx="6471920" cy="4629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71920" cy="46291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2120" w:space="720"/>
            <w:col w:w="8360"/>
          </w:cols>
          <w:pgMar w:left="340" w:top="1440" w:right="359" w:bottom="1440" w:gutter="0" w:footer="0" w:header="0"/>
        </w:sectPr>
      </w:pPr>
    </w:p>
    <w:p>
      <w:pPr>
        <w:spacing w:after="0" w:line="350"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78</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2003</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32320" cy="2134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659765" cy="471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76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Mr. Stata is our co-founder and served as an executive officer from our inception in 1965 until April 2012, including as our CEO from 1973 to November 1996 and as our President from 1971 to November 1991. Mr. Stata also served as the Chair of our Board of Directors from 1973 until March 2022 and continues to serve on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2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Mr. Stata brings to our Board of Directors more than 50 years of experience and leadership in the semiconductor industry, including as our founder, our former Chair of the Board of Directors for 48 years and our former President for 20 years.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711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71920"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type w:val="continuous"/>
        </w:sectPr>
      </w:pPr>
    </w:p>
    <w:p>
      <w:pPr>
        <w:spacing w:after="0" w:line="331"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88</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1965</w:t>
      </w:r>
      <w:r>
        <w:rPr>
          <w:rFonts w:ascii="Arial" w:cs="Arial" w:eastAsia="Arial" w:hAnsi="Arial"/>
          <w:sz w:val="18"/>
          <w:szCs w:val="18"/>
          <w:b w:val="1"/>
          <w:bCs w:val="1"/>
          <w:color w:val="auto"/>
        </w:rPr>
        <w:tab/>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25</w:t>
      </w:r>
    </w:p>
    <w:p>
      <w:pPr>
        <w:sectPr>
          <w:pgSz w:w="11900" w:h="16838" w:orient="portrait"/>
          <w:cols w:equalWidth="0" w:num="1">
            <w:col w:w="11200"/>
          </w:cols>
          <w:pgMar w:left="340" w:top="1440" w:right="35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808990</wp:posOffset>
            </wp:positionV>
            <wp:extent cx="1440180" cy="1440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Susie Wee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1492885</wp:posOffset>
            </wp:positionV>
            <wp:extent cx="659765" cy="488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76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-328295</wp:posOffset>
            </wp:positionV>
            <wp:extent cx="7132320" cy="3505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505835"/>
                    </a:xfrm>
                    <a:prstGeom prst="rect">
                      <a:avLst/>
                    </a:prstGeom>
                    <a:noFill/>
                  </pic:spPr>
                </pic:pic>
              </a:graphicData>
            </a:graphic>
          </wp:anchor>
        </w:drawing>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Dr. Wee has been a Vice President at Google, a multinational technology company, since April 2022. From November 2019 to August 2021, Dr. Wee served as Senior Vice President and General Manager of DevNet and CX Ecosystem Success at Cisco Systems Inc., a technology company. Dr. Wee founded and led DevNet, Cisco’s developer program, beginning in October 2013. Dr. Wee began working at Cisco in April 2011, and held leadership roles including Senior Vice President &amp; Chief Technology Officer of DevNet from October 2018 to November 2019, Vice President &amp; Chief Technology Officer of DevNet from October 2013 to October 2018, Vice President &amp; Chief Technology Officer of Networked Experiences from October 2012 to October 2013, and Vice President &amp; Chief Technology and Experience Officer of Cisco’s Collaboration Technology Group from April 2011 to October 2012. Previously, Dr. Wee had a 15-year career at Hewlett Packard Enterprise Company, a technology company, where she held a number of technical and leadership roles, including Vice President and General Manager of the HP Experience Software Business and Lab Director at HP Labs. Dr. Wee is an IEEE fellow and serves on the visiting committee of the MIT Electrical Engineering and Computer Science department.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KEY QUALIFICATIONS AND EXPERTISE</w:t>
      </w:r>
    </w:p>
    <w:p>
      <w:pPr>
        <w:spacing w:after="0" w:line="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Dr. Wee brings to our Board of Directors extensive experience in information technology and application development, and an established track record of driving software innovation at global technology companies.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Current: </w:t>
      </w:r>
      <w:r>
        <w:rPr>
          <w:rFonts w:ascii="Arial" w:cs="Arial" w:eastAsia="Arial" w:hAnsi="Arial"/>
          <w:sz w:val="18"/>
          <w:szCs w:val="18"/>
          <w:color w:val="000000"/>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7B3"/>
        </w:rPr>
        <w:t xml:space="preserve">Past 5 Years: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186055</wp:posOffset>
            </wp:positionV>
            <wp:extent cx="6471920" cy="4883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71920" cy="488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60"/>
          </w:cols>
          <w:pgMar w:left="340" w:top="1440" w:right="359" w:bottom="1440" w:gutter="0" w:footer="0" w:header="0"/>
        </w:sectPr>
      </w:pPr>
    </w:p>
    <w:p>
      <w:pPr>
        <w:spacing w:after="0" w:line="345" w:lineRule="exact"/>
        <w:rPr>
          <w:sz w:val="20"/>
          <w:szCs w:val="20"/>
          <w:color w:val="auto"/>
        </w:rPr>
      </w:pPr>
    </w:p>
    <w:p>
      <w:pPr>
        <w:ind w:left="180"/>
        <w:spacing w:after="0"/>
        <w:tabs>
          <w:tab w:leader="none" w:pos="1020" w:val="left"/>
          <w:tab w:leader="none" w:pos="294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r>
        <w:rPr>
          <w:rFonts w:ascii="Arial" w:cs="Arial" w:eastAsia="Arial" w:hAnsi="Arial"/>
          <w:sz w:val="18"/>
          <w:szCs w:val="18"/>
          <w:b w:val="1"/>
          <w:bCs w:val="1"/>
          <w:color w:val="auto"/>
        </w:rPr>
        <w:tab/>
        <w:t xml:space="preserve">Director since: </w:t>
      </w:r>
      <w:r>
        <w:rPr>
          <w:rFonts w:ascii="Arial" w:cs="Arial" w:eastAsia="Arial" w:hAnsi="Arial"/>
          <w:sz w:val="18"/>
          <w:szCs w:val="18"/>
          <w:color w:val="auto"/>
        </w:rPr>
        <w:t>2019</w:t>
      </w:r>
      <w:r>
        <w:rPr>
          <w:sz w:val="20"/>
          <w:szCs w:val="20"/>
          <w:color w:val="auto"/>
        </w:rPr>
        <w:tab/>
      </w:r>
      <w:r>
        <w:rPr>
          <w:rFonts w:ascii="Arial" w:cs="Arial" w:eastAsia="Arial" w:hAnsi="Arial"/>
          <w:sz w:val="17"/>
          <w:szCs w:val="17"/>
          <w:b w:val="1"/>
          <w:bCs w:val="1"/>
          <w:color w:val="auto"/>
        </w:rPr>
        <w:t xml:space="preserve">Committee(s): </w:t>
      </w:r>
      <w:r>
        <w:rPr>
          <w:rFonts w:ascii="Arial" w:cs="Arial" w:eastAsia="Arial" w:hAnsi="Arial"/>
          <w:sz w:val="17"/>
          <w:szCs w:val="17"/>
          <w:color w:val="auto"/>
        </w:rPr>
        <w:t>Compensation and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w:t>
      </w:r>
    </w:p>
    <w:p>
      <w:pPr>
        <w:ind w:left="46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00"/>
          </w:cols>
          <w:pgMar w:left="340" w:top="1440"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41"/>
          <w:szCs w:val="41"/>
          <w:b w:val="1"/>
          <w:bCs w:val="1"/>
          <w:color w:val="0067B3"/>
        </w:rPr>
        <w:t>Determination of Independence</w:t>
      </w:r>
    </w:p>
    <w:p>
      <w:pPr>
        <w:spacing w:after="0" w:line="16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Under applicable Nasdaq Rules, a director of ADI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ADI that would interfere with the exercise of independent judgment in carrying out the responsibilities of a director. These guidelines are posted on our website under https://investor.analog.com/governance/governance-documents. For relationships not covered by the guidelines, the determination of whether such a relationship exists is made by the members of our Board of Directors who are independent directors (as defined above). Our Board of Directors has determined that none of Messrs. Andonian, Champy, Evans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Sicchitano, Mses. Golz and Johnson, and Drs. Chandrakasan, Frank, Glimcher, and Wee has a relationship which would interfere with the exercise of independent judgment in carrying out the responsibilities of a director and that each of these directors is an “independent director” as defined under Rule 5605(a)(2) of the Nasdaq Rules. Our Board of Directors has determined that Mr. Roche, our CEO and Chair, and Mr. Stata, our co-founder and former Chair, are not “independent” under the Nasdaq Rules because Mr. Roche is a current employee and Mr. Stata is our founder. Our Board of Directors also determined that Mr. Doluca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not “independent” under the Nasdaq Rules given his prior role as the President and Chief Executive Officer of Maxim and the fact that integration efforts between Maxim and ADI are still ongoing. Our Board of Directors also determined that Dr. Mark Little, a former director, was an “independent director” prior to his retirement from our Board of Directors on March 9, 2022. Our Board of Directors considered our annual laboratory membership and sponsorship of university research projects with MIT, of which Dr. Chandrakasan is the Dean of the School of Engineering and Mr. Champy is a board member. Even though Dr. Chandrakasan is a senior leader at MIT, our Board of Directors determined that this donation does not impair his independence due to the lack of any benefit to him from the donation other than general benefits pertaining to any other academics of the school. Our Board of Directors also considered Ms. Golz’s former affiliation with Ernst &amp; Young and Mr. Andonian’s former and current affiliation with McKinsey &amp; Company, and determined that those relationships would not interfere with the exercise of independent judgment in carrying out the responsibilities of a director.</w:t>
      </w:r>
    </w:p>
    <w:p>
      <w:pPr>
        <w:spacing w:after="0" w:line="67"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Messrs. Doluca and Evans are not standing for re-election and their terms on the Board of Directors will end at the Annual Meeting on March 8, 2023.</w:t>
      </w:r>
    </w:p>
    <w:p>
      <w:pPr>
        <w:spacing w:after="0" w:line="30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27</w:t>
      </w:r>
    </w:p>
    <w:p>
      <w:pPr>
        <w:sectPr>
          <w:pgSz w:w="11900" w:h="16838" w:orient="portrait"/>
          <w:cols w:equalWidth="0" w:num="1">
            <w:col w:w="11240"/>
          </w:cols>
          <w:pgMar w:left="320" w:top="1356" w:right="339" w:bottom="1440" w:gutter="0" w:footer="0" w:header="0"/>
        </w:sectPr>
      </w:pPr>
    </w:p>
    <w:bookmarkStart w:id="35" w:name="page36"/>
    <w:bookmarkEnd w:id="35"/>
    <w:p>
      <w:pPr>
        <w:spacing w:after="0"/>
        <w:rPr>
          <w:sz w:val="20"/>
          <w:szCs w:val="20"/>
          <w:color w:val="auto"/>
        </w:rPr>
      </w:pPr>
      <w:r>
        <w:rPr>
          <w:rFonts w:ascii="Arial" w:cs="Arial" w:eastAsia="Arial" w:hAnsi="Arial"/>
          <w:sz w:val="41"/>
          <w:szCs w:val="41"/>
          <w:b w:val="1"/>
          <w:bCs w:val="1"/>
          <w:color w:val="0067B3"/>
        </w:rPr>
        <w:t>Director Candidates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80" w:type="dxa"/>
            <w:vAlign w:val="bottom"/>
            <w:tcBorders>
              <w:top w:val="single" w:sz="8" w:color="0067B3"/>
            </w:tcBorders>
            <w:shd w:val="clear" w:color="auto" w:fill="0067B3"/>
          </w:tcPr>
          <w:p>
            <w:pPr>
              <w:ind w:left="160"/>
              <w:spacing w:after="0"/>
              <w:rPr>
                <w:sz w:val="20"/>
                <w:szCs w:val="20"/>
                <w:color w:val="auto"/>
              </w:rPr>
            </w:pPr>
            <w:r>
              <w:rPr>
                <w:rFonts w:ascii="Arial" w:cs="Arial" w:eastAsia="Arial" w:hAnsi="Arial"/>
                <w:sz w:val="18"/>
                <w:szCs w:val="18"/>
                <w:b w:val="1"/>
                <w:bCs w:val="1"/>
                <w:color w:val="FFFFFF"/>
              </w:rPr>
              <w:t>Recommendation</w:t>
            </w:r>
          </w:p>
        </w:tc>
        <w:tc>
          <w:tcPr>
            <w:tcW w:w="9000" w:type="dxa"/>
            <w:vAlign w:val="bottom"/>
            <w:tcBorders>
              <w:top w:val="single" w:sz="8" w:color="0067B3"/>
            </w:tcBorders>
          </w:tcPr>
          <w:p>
            <w:pPr>
              <w:ind w:left="140"/>
              <w:spacing w:after="0"/>
              <w:rPr>
                <w:sz w:val="20"/>
                <w:szCs w:val="20"/>
                <w:color w:val="auto"/>
              </w:rPr>
            </w:pPr>
            <w:r>
              <w:rPr>
                <w:rFonts w:ascii="Arial" w:cs="Arial" w:eastAsia="Arial" w:hAnsi="Arial"/>
                <w:sz w:val="18"/>
                <w:szCs w:val="18"/>
                <w:color w:val="auto"/>
              </w:rPr>
              <w:t>In considering whether to recommend any candidate for inclusion in the Board of Directors’ slate of</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recommended director nominees, including candidates recommended by shareholders, the Nominating and</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Corporate Governance Committee will apply the criteria set forth in our Corporate Governance Guidelines.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These criteria include the candidate’s integrity, business acumen, experience, commitment, and diligence; the</w:t>
            </w:r>
          </w:p>
        </w:tc>
      </w:tr>
      <w:tr>
        <w:trPr>
          <w:trHeight w:val="239"/>
        </w:trPr>
        <w:tc>
          <w:tcPr>
            <w:tcW w:w="2080" w:type="dxa"/>
            <w:vAlign w:val="bottom"/>
            <w:shd w:val="clear" w:color="auto" w:fill="0067B3"/>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presence of any conflicts of interest; and the ability of the candidate to act in the interests of all shareholders.</w:t>
            </w:r>
          </w:p>
        </w:tc>
      </w:tr>
      <w:tr>
        <w:trPr>
          <w:trHeight w:val="118"/>
        </w:trPr>
        <w:tc>
          <w:tcPr>
            <w:tcW w:w="2080" w:type="dxa"/>
            <w:vAlign w:val="bottom"/>
            <w:tcBorders>
              <w:bottom w:val="single" w:sz="8" w:color="0067B3"/>
            </w:tcBorders>
            <w:shd w:val="clear" w:color="auto" w:fill="0067B3"/>
          </w:tcPr>
          <w:p>
            <w:pPr>
              <w:spacing w:after="0"/>
              <w:rPr>
                <w:sz w:val="10"/>
                <w:szCs w:val="10"/>
                <w:color w:val="auto"/>
              </w:rPr>
            </w:pPr>
          </w:p>
        </w:tc>
        <w:tc>
          <w:tcPr>
            <w:tcW w:w="9000" w:type="dxa"/>
            <w:vAlign w:val="bottom"/>
            <w:tcBorders>
              <w:bottom w:val="single" w:sz="8" w:color="939598"/>
            </w:tcBorders>
          </w:tcPr>
          <w:p>
            <w:pPr>
              <w:spacing w:after="0"/>
              <w:rPr>
                <w:sz w:val="10"/>
                <w:szCs w:val="10"/>
                <w:color w:val="auto"/>
              </w:rPr>
            </w:pPr>
          </w:p>
        </w:tc>
      </w:tr>
      <w:tr>
        <w:trPr>
          <w:trHeight w:val="299"/>
        </w:trPr>
        <w:tc>
          <w:tcPr>
            <w:tcW w:w="2080" w:type="dxa"/>
            <w:vAlign w:val="bottom"/>
            <w:shd w:val="clear" w:color="auto" w:fill="0067B3"/>
          </w:tcPr>
          <w:p>
            <w:pPr>
              <w:ind w:left="160"/>
              <w:spacing w:after="0"/>
              <w:rPr>
                <w:sz w:val="20"/>
                <w:szCs w:val="20"/>
                <w:color w:val="auto"/>
              </w:rPr>
            </w:pPr>
            <w:r>
              <w:rPr>
                <w:rFonts w:ascii="Arial" w:cs="Arial" w:eastAsia="Arial" w:hAnsi="Arial"/>
                <w:sz w:val="18"/>
                <w:szCs w:val="18"/>
                <w:b w:val="1"/>
                <w:bCs w:val="1"/>
                <w:color w:val="FFFFFF"/>
              </w:rPr>
              <w:t>Diversity</w:t>
            </w:r>
          </w:p>
        </w:tc>
        <w:tc>
          <w:tcPr>
            <w:tcW w:w="9000" w:type="dxa"/>
            <w:vAlign w:val="bottom"/>
          </w:tcPr>
          <w:p>
            <w:pPr>
              <w:ind w:left="140"/>
              <w:spacing w:after="0"/>
              <w:rPr>
                <w:sz w:val="20"/>
                <w:szCs w:val="20"/>
                <w:color w:val="auto"/>
              </w:rPr>
            </w:pPr>
            <w:r>
              <w:rPr>
                <w:rFonts w:ascii="Arial" w:cs="Arial" w:eastAsia="Arial" w:hAnsi="Arial"/>
                <w:sz w:val="18"/>
                <w:szCs w:val="18"/>
                <w:color w:val="auto"/>
              </w:rPr>
              <w:t>The Nominating and Corporate Governance Committee seeks nominees with a broad diversity of experience,</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professions, skills, geographic representation and backgrounds. The Nominating and Corporate Governance</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Committee does not assign specific weights to particular criteria and no particular criterion is necessarily</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applicable to all prospective nominees. ADI believes that the backgrounds and qualifications of the directors,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considered as a group, should provide a significant composite mix of experience, knowledge and abilities that</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will allow our Board of Directors to fulfill its responsibilities. While we do not have a policy regarding diversity of</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our Board members, the Nominating and Corporate Governance Committee includes gender, racial and ethnic</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diversity as part of its search criteria, consistent with the requirement for relevant and diverse experience, skills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and industry familiarity. Effective application of these criteria is reflected in the diverse composition of our</w:t>
            </w:r>
          </w:p>
        </w:tc>
      </w:tr>
      <w:tr>
        <w:trPr>
          <w:trHeight w:val="239"/>
        </w:trPr>
        <w:tc>
          <w:tcPr>
            <w:tcW w:w="2080" w:type="dxa"/>
            <w:vAlign w:val="bottom"/>
            <w:shd w:val="clear" w:color="auto" w:fill="0067B3"/>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Board of Directors.</w:t>
            </w:r>
          </w:p>
        </w:tc>
      </w:tr>
      <w:tr>
        <w:trPr>
          <w:trHeight w:val="117"/>
        </w:trPr>
        <w:tc>
          <w:tcPr>
            <w:tcW w:w="2080" w:type="dxa"/>
            <w:vAlign w:val="bottom"/>
            <w:tcBorders>
              <w:bottom w:val="single" w:sz="8" w:color="0067B3"/>
            </w:tcBorders>
            <w:shd w:val="clear" w:color="auto" w:fill="0067B3"/>
          </w:tcPr>
          <w:p>
            <w:pPr>
              <w:spacing w:after="0"/>
              <w:rPr>
                <w:sz w:val="10"/>
                <w:szCs w:val="10"/>
                <w:color w:val="auto"/>
              </w:rPr>
            </w:pPr>
          </w:p>
        </w:tc>
        <w:tc>
          <w:tcPr>
            <w:tcW w:w="9000" w:type="dxa"/>
            <w:vAlign w:val="bottom"/>
            <w:tcBorders>
              <w:bottom w:val="single" w:sz="8" w:color="939598"/>
            </w:tcBorders>
          </w:tcPr>
          <w:p>
            <w:pPr>
              <w:spacing w:after="0"/>
              <w:rPr>
                <w:sz w:val="10"/>
                <w:szCs w:val="10"/>
                <w:color w:val="auto"/>
              </w:rPr>
            </w:pPr>
          </w:p>
        </w:tc>
      </w:tr>
      <w:tr>
        <w:trPr>
          <w:trHeight w:val="299"/>
        </w:trPr>
        <w:tc>
          <w:tcPr>
            <w:tcW w:w="2080" w:type="dxa"/>
            <w:vAlign w:val="bottom"/>
            <w:shd w:val="clear" w:color="auto" w:fill="0067B3"/>
          </w:tcPr>
          <w:p>
            <w:pPr>
              <w:ind w:left="160"/>
              <w:spacing w:after="0"/>
              <w:rPr>
                <w:sz w:val="20"/>
                <w:szCs w:val="20"/>
                <w:color w:val="auto"/>
              </w:rPr>
            </w:pPr>
            <w:r>
              <w:rPr>
                <w:rFonts w:ascii="Arial" w:cs="Arial" w:eastAsia="Arial" w:hAnsi="Arial"/>
                <w:sz w:val="18"/>
                <w:szCs w:val="18"/>
                <w:b w:val="1"/>
                <w:bCs w:val="1"/>
                <w:color w:val="FFFFFF"/>
              </w:rPr>
              <w:t>Evaluation</w:t>
            </w:r>
          </w:p>
        </w:tc>
        <w:tc>
          <w:tcPr>
            <w:tcW w:w="9000" w:type="dxa"/>
            <w:vAlign w:val="bottom"/>
          </w:tcPr>
          <w:p>
            <w:pPr>
              <w:ind w:left="140"/>
              <w:spacing w:after="0"/>
              <w:rPr>
                <w:sz w:val="20"/>
                <w:szCs w:val="20"/>
                <w:color w:val="auto"/>
              </w:rPr>
            </w:pPr>
            <w:r>
              <w:rPr>
                <w:rFonts w:ascii="Arial" w:cs="Arial" w:eastAsia="Arial" w:hAnsi="Arial"/>
                <w:sz w:val="18"/>
                <w:szCs w:val="18"/>
                <w:color w:val="auto"/>
              </w:rPr>
              <w:t>The process followed by the Nominating and Corporate Governance Committee to identify and evaluate</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candidates includes requests to members of our Board of Directors and others for recommendations, meetings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from time to time to evaluate biographical information and background material relating to potential candidates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and interviews of selected candidates by members of the Nominating and Corporate Governance Committee</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and the Board of Directors. From time to time, the Nominating and Corporate Governance Committee may also</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seek input from director search firms for identification and evaluation of candidates. Assuming that appropriate</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biographical and background material is provided for candidates recommended by shareholders on a timely</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basis, the Nominating and Corporate Governance Committee will evaluate director candidates recommended</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by shareholders by following substantially the same process, and applying substantially the same criteria, as it</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follows for director candidates submitted by members of our Board of Directors. Mr. Andonian was introduced</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by a director and, with the recommendation of the Nominating and Corporate Governance Committee, was</w:t>
            </w:r>
          </w:p>
        </w:tc>
      </w:tr>
      <w:tr>
        <w:trPr>
          <w:trHeight w:val="216"/>
        </w:trPr>
        <w:tc>
          <w:tcPr>
            <w:tcW w:w="2080" w:type="dxa"/>
            <w:vAlign w:val="bottom"/>
            <w:shd w:val="clear" w:color="auto" w:fill="0067B3"/>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elected to our Board of Directors effective June 27, 2022 and is included in the slate of director nominees</w:t>
            </w:r>
          </w:p>
        </w:tc>
      </w:tr>
      <w:tr>
        <w:trPr>
          <w:trHeight w:val="239"/>
        </w:trPr>
        <w:tc>
          <w:tcPr>
            <w:tcW w:w="2080" w:type="dxa"/>
            <w:vAlign w:val="bottom"/>
            <w:shd w:val="clear" w:color="auto" w:fill="0067B3"/>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nominated by the Board of Directors for election as a director at the Annual Meeting.</w:t>
            </w:r>
          </w:p>
        </w:tc>
      </w:tr>
      <w:tr>
        <w:trPr>
          <w:trHeight w:val="118"/>
        </w:trPr>
        <w:tc>
          <w:tcPr>
            <w:tcW w:w="2080" w:type="dxa"/>
            <w:vAlign w:val="bottom"/>
            <w:shd w:val="clear" w:color="auto" w:fill="0067B3"/>
          </w:tcPr>
          <w:p>
            <w:pPr>
              <w:spacing w:after="0"/>
              <w:rPr>
                <w:sz w:val="10"/>
                <w:szCs w:val="10"/>
                <w:color w:val="auto"/>
              </w:rPr>
            </w:pPr>
          </w:p>
        </w:tc>
        <w:tc>
          <w:tcPr>
            <w:tcW w:w="9000" w:type="dxa"/>
            <w:vAlign w:val="bottom"/>
            <w:tcBorders>
              <w:bottom w:val="single" w:sz="8" w:color="0067B3"/>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-1945005</wp:posOffset>
            </wp:positionV>
            <wp:extent cx="13112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-3470910</wp:posOffset>
            </wp:positionV>
            <wp:extent cx="13112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Recommendations and Nominations of Director Candidates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of record of ADI may recommend director candidates for inclusion by our Board of Directors in the slate of nominees that the Board of Directors recommends to our shareholders for election. The qualifications of recommended candidates will be reviewed by the Nominating and Corporate Governance Committee. If our Board of Directors determines to nominate a shareholder-recommended candidate and recommends his or her election as a director by the shareholders, the name will be included in ADI’s proxy card for the shareholders’ meeting at which his or her election is recommended.</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 and background and a statement as to whether the shareholder or group of shareholders making the recommendation has beneficially owned more than 5% of ADI’s common stock for at least one year as of the date the recommendation is made, to the Nominating and Corporate Governance Committee, c/o Janene Asgeirsson, Secretary, Analog Devices, Inc., One Analog Way, Wilmington, Massachusetts 01887. Our Nominating and Corporate Governance Committee will consider a recommendation only if appropriate biographical information and background material is provided on a timely basis.</w:t>
      </w:r>
    </w:p>
    <w:p>
      <w:pPr>
        <w:spacing w:after="0" w:line="74"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Shareholders also have the right to directly nominate director candidates, without any action or recommendation on the part of the Nominating and Corporate Governance Committee or the Board of Directors, by following the procedures set forth in our amended and restated bylaws and described in the response to the question “</w:t>
      </w:r>
      <w:r>
        <w:rPr>
          <w:rFonts w:ascii="Arial" w:cs="Arial" w:eastAsia="Arial" w:hAnsi="Arial"/>
          <w:sz w:val="18"/>
          <w:szCs w:val="18"/>
          <w:b w:val="1"/>
          <w:bCs w:val="1"/>
          <w:color w:val="auto"/>
        </w:rPr>
        <w:t>How and when may I submit a shareholder proposal, including a</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nomination for director, for the 2024 annual meeting of shareholders?</w:t>
      </w:r>
      <w:r>
        <w:rPr>
          <w:rFonts w:ascii="Arial" w:cs="Arial" w:eastAsia="Arial" w:hAnsi="Arial"/>
          <w:sz w:val="18"/>
          <w:szCs w:val="18"/>
          <w:color w:val="auto"/>
        </w:rPr>
        <w:t>” below.</w:t>
      </w:r>
    </w:p>
    <w:p>
      <w:pPr>
        <w:sectPr>
          <w:pgSz w:w="11900" w:h="16838" w:orient="portrait"/>
          <w:cols w:equalWidth="0" w:num="1">
            <w:col w:w="11200"/>
          </w:cols>
          <w:pgMar w:left="320" w:top="1356" w:right="379" w:bottom="1440" w:gutter="0" w:footer="0" w:header="0"/>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28</w:t>
      </w:r>
    </w:p>
    <w:p>
      <w:pPr>
        <w:jc w:val="right"/>
        <w:ind w:right="9420"/>
        <w:spacing w:after="0"/>
        <w:rPr>
          <w:sz w:val="20"/>
          <w:szCs w:val="20"/>
          <w:color w:val="auto"/>
        </w:rPr>
      </w:pPr>
      <w:r>
        <w:rPr>
          <w:rFonts w:ascii="Arial" w:cs="Arial" w:eastAsia="Arial" w:hAnsi="Arial"/>
          <w:sz w:val="16"/>
          <w:szCs w:val="16"/>
          <w:color w:val="6D6E71"/>
        </w:rPr>
        <w:t>Board of Directors</w:t>
      </w:r>
    </w:p>
    <w:p>
      <w:pPr>
        <w:sectPr>
          <w:pgSz w:w="11900" w:h="16838" w:orient="portrait"/>
          <w:cols w:equalWidth="0" w:num="1">
            <w:col w:w="11200"/>
          </w:cols>
          <w:pgMar w:left="320" w:top="1356" w:right="3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58"/>
          <w:szCs w:val="58"/>
          <w:color w:val="auto"/>
        </w:rPr>
        <w:t>Corporate Governance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Board Policies and Practices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periodically review our corporate governance policies and practices and compare them to those suggested by various authorities in corporate governance and the practices of other public companies.</w:t>
      </w:r>
    </w:p>
    <w:p>
      <w:pPr>
        <w:spacing w:after="0" w:line="4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have long believed that good corporate governance is important to ensure that ADI is managed for the long-term benefit of our shareholders. As a result, we have adopted the following policies and procedures that we believe are in the best interests of ADI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65747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6574790"/>
                    </a:xfrm>
                    <a:prstGeom prst="rect">
                      <a:avLst/>
                    </a:prstGeom>
                    <a:noFill/>
                  </pic:spPr>
                </pic:pic>
              </a:graphicData>
            </a:graphic>
          </wp:anchor>
        </w:drawing>
      </w:r>
    </w:p>
    <w:p>
      <w:pPr>
        <w:spacing w:after="0" w:line="209" w:lineRule="exact"/>
        <w:rPr>
          <w:sz w:val="20"/>
          <w:szCs w:val="20"/>
          <w:color w:val="auto"/>
        </w:rPr>
      </w:pPr>
    </w:p>
    <w:p>
      <w:pPr>
        <w:ind w:left="160"/>
        <w:spacing w:after="0"/>
        <w:tabs>
          <w:tab w:leader="none" w:pos="2140" w:val="left"/>
        </w:tabs>
        <w:rPr>
          <w:sz w:val="20"/>
          <w:szCs w:val="20"/>
          <w:color w:val="auto"/>
        </w:rPr>
      </w:pPr>
      <w:r>
        <w:rPr>
          <w:rFonts w:ascii="Arial" w:cs="Arial" w:eastAsia="Arial" w:hAnsi="Arial"/>
          <w:sz w:val="16"/>
          <w:szCs w:val="16"/>
          <w:b w:val="1"/>
          <w:bCs w:val="1"/>
          <w:color w:val="FFFFFF"/>
        </w:rPr>
        <w:t>Policy/Practice</w:t>
      </w:r>
      <w:r>
        <w:rPr>
          <w:sz w:val="20"/>
          <w:szCs w:val="20"/>
          <w:color w:val="auto"/>
        </w:rPr>
        <w:tab/>
      </w:r>
      <w:r>
        <w:rPr>
          <w:rFonts w:ascii="Arial" w:cs="Arial" w:eastAsia="Arial" w:hAnsi="Arial"/>
          <w:sz w:val="16"/>
          <w:szCs w:val="16"/>
          <w:b w:val="1"/>
          <w:bCs w:val="1"/>
          <w:color w:val="FFFFFF"/>
        </w:rPr>
        <w:t>Summary</w:t>
      </w:r>
    </w:p>
    <w:p>
      <w:pPr>
        <w:sectPr>
          <w:pgSz w:w="11900" w:h="16838" w:orient="portrait"/>
          <w:cols w:equalWidth="0" w:num="1">
            <w:col w:w="11220"/>
          </w:cols>
          <w:pgMar w:left="320" w:top="1126" w:right="359" w:bottom="1130" w:gutter="0" w:footer="0" w:header="0"/>
        </w:sectPr>
      </w:pP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Corporate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Governance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Guidelines</w:t>
      </w:r>
    </w:p>
    <w:p>
      <w:pPr>
        <w:spacing w:after="0" w:line="275" w:lineRule="exact"/>
        <w:rPr>
          <w:sz w:val="20"/>
          <w:szCs w:val="20"/>
          <w:color w:val="auto"/>
        </w:rPr>
      </w:pPr>
    </w:p>
    <w:p>
      <w:pPr>
        <w:ind w:left="160"/>
        <w:spacing w:after="0" w:line="281" w:lineRule="auto"/>
        <w:rPr>
          <w:sz w:val="20"/>
          <w:szCs w:val="20"/>
          <w:color w:val="auto"/>
        </w:rPr>
      </w:pPr>
      <w:r>
        <w:rPr>
          <w:rFonts w:ascii="Arial" w:cs="Arial" w:eastAsia="Arial" w:hAnsi="Arial"/>
          <w:sz w:val="18"/>
          <w:szCs w:val="18"/>
          <w:b w:val="1"/>
          <w:bCs w:val="1"/>
          <w:color w:val="FFFFFF"/>
        </w:rPr>
        <w:t>Declassified Board of Directors</w:t>
      </w:r>
    </w:p>
    <w:p>
      <w:pPr>
        <w:spacing w:after="0" w:line="1"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color w:val="FFFFFF"/>
        </w:rPr>
        <w:t>Majority Voting for Election of Directors</w:t>
      </w: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Executive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Sessions</w:t>
      </w:r>
    </w:p>
    <w:p>
      <w:pPr>
        <w:spacing w:after="0" w:line="200" w:lineRule="exact"/>
        <w:rPr>
          <w:sz w:val="20"/>
          <w:szCs w:val="20"/>
          <w:color w:val="auto"/>
        </w:rPr>
      </w:pPr>
    </w:p>
    <w:p>
      <w:pPr>
        <w:spacing w:after="0" w:line="291" w:lineRule="exact"/>
        <w:rPr>
          <w:sz w:val="20"/>
          <w:szCs w:val="20"/>
          <w:color w:val="auto"/>
        </w:rPr>
      </w:pPr>
    </w:p>
    <w:p>
      <w:pPr>
        <w:ind w:left="160"/>
        <w:spacing w:after="0" w:line="311" w:lineRule="auto"/>
        <w:rPr>
          <w:sz w:val="20"/>
          <w:szCs w:val="20"/>
          <w:color w:val="auto"/>
        </w:rPr>
      </w:pPr>
      <w:r>
        <w:rPr>
          <w:rFonts w:ascii="Arial" w:cs="Arial" w:eastAsia="Arial" w:hAnsi="Arial"/>
          <w:sz w:val="17"/>
          <w:szCs w:val="17"/>
          <w:b w:val="1"/>
          <w:bCs w:val="1"/>
          <w:color w:val="FFFFFF"/>
        </w:rPr>
        <w:t>No Hedging and No Pledging Policy</w:t>
      </w:r>
    </w:p>
    <w:p>
      <w:pPr>
        <w:spacing w:after="0" w:line="200" w:lineRule="exact"/>
        <w:rPr>
          <w:sz w:val="20"/>
          <w:szCs w:val="20"/>
          <w:color w:val="auto"/>
        </w:rPr>
      </w:pPr>
    </w:p>
    <w:p>
      <w:pPr>
        <w:spacing w:after="0" w:line="211" w:lineRule="exact"/>
        <w:rPr>
          <w:sz w:val="20"/>
          <w:szCs w:val="20"/>
          <w:color w:val="auto"/>
        </w:rPr>
      </w:pPr>
    </w:p>
    <w:p>
      <w:pPr>
        <w:ind w:left="160" w:right="120"/>
        <w:spacing w:after="0" w:line="311" w:lineRule="auto"/>
        <w:rPr>
          <w:sz w:val="20"/>
          <w:szCs w:val="20"/>
          <w:color w:val="auto"/>
        </w:rPr>
      </w:pPr>
      <w:r>
        <w:rPr>
          <w:rFonts w:ascii="Arial" w:cs="Arial" w:eastAsia="Arial" w:hAnsi="Arial"/>
          <w:sz w:val="17"/>
          <w:szCs w:val="17"/>
          <w:b w:val="1"/>
          <w:bCs w:val="1"/>
          <w:color w:val="FFFFFF"/>
        </w:rPr>
        <w:t>Equity Award Grant Date Policy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right="240"/>
        <w:spacing w:after="0" w:line="267" w:lineRule="auto"/>
        <w:rPr>
          <w:sz w:val="20"/>
          <w:szCs w:val="20"/>
          <w:color w:val="auto"/>
        </w:rPr>
      </w:pPr>
      <w:r>
        <w:rPr>
          <w:rFonts w:ascii="Arial" w:cs="Arial" w:eastAsia="Arial" w:hAnsi="Arial"/>
          <w:sz w:val="17"/>
          <w:szCs w:val="17"/>
          <w:b w:val="1"/>
          <w:bCs w:val="1"/>
          <w:color w:val="FFFFFF"/>
        </w:rPr>
        <w:t>Executive Stock Ownership</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Clawback Policy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has adopted Corporate Governance Guidelines for ADI that establish a common set of expectations to assist our Board of Directors and its committees in performing their duties. Our Board of Directors reviews these guidelines at least annually, and updates them as necessary to reflect changing regulatory requirements and evolving practices.</w:t>
      </w:r>
    </w:p>
    <w:p>
      <w:pPr>
        <w:spacing w:after="0" w:line="3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a declassified Board of Directors and our bylaws provide that each director will serve for a term ending on the date of the annual meeting following the one at which such director was elected.</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provide for a majority voting standard in uncontested director elections, so a director nominee is elected to our Board of Directors if the votes “for” that director exceed the votes “against” (with abstentions and broker non-votes not counted as for or against the election). If a director nominee does not receive more for votes than against votes, the director must offer his or her resignation, which our Board of Directors must determine whether to accept and publicly disclose that determination.</w:t>
      </w:r>
    </w:p>
    <w:p>
      <w:pPr>
        <w:spacing w:after="0" w:line="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least twice per year, our Board of Directors holds executive sessions with our independent, non-employee directors, as defined under the Nasdaq Rules. Our Presiding Director, Mr. Champy, presides at these independent director executive sessions. In addition, the committees of our Board of Directors also regularly hold executive sessions without management present and with their advisors.</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prohibit all hedging transactions or short sales involving ADI securities by our directors and employees, including our executive officers. Since January 2013, we have prohibited our directors and executive officers from holding any ADI securities in a margin account, and from any future pledging of their ADI securities as collateral for a loan.</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do not time or select the grant dates of any stock options or stock-based awards in coordination with our release of material non-public information, nor do we have any program, plan or practice to do so. In addition, our Compensation and Talent Committee has adopted specific written policies regarding the grant dates of equity awards made to our directors, executive officers and employees. See </w:t>
      </w:r>
      <w:r>
        <w:rPr>
          <w:rFonts w:ascii="Arial" w:cs="Arial" w:eastAsia="Arial" w:hAnsi="Arial"/>
          <w:sz w:val="18"/>
          <w:szCs w:val="18"/>
          <w:i w:val="1"/>
          <w:iCs w:val="1"/>
          <w:color w:val="auto"/>
        </w:rPr>
        <w:t>Director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 Award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Grant Date Policy </w:t>
      </w:r>
      <w:r>
        <w:rPr>
          <w:rFonts w:ascii="Arial" w:cs="Arial" w:eastAsia="Arial" w:hAnsi="Arial"/>
          <w:sz w:val="18"/>
          <w:szCs w:val="18"/>
          <w:color w:val="auto"/>
        </w:rPr>
        <w:t>below for more information.</w:t>
      </w:r>
    </w:p>
    <w:p>
      <w:pPr>
        <w:spacing w:after="0" w:line="3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Under our guidelines, the target stock ownership levels are five times annual base salary for the CEO and three times annual base salary for other executive officers and any Senior Vice President reporting to the CEO, which we collectively refer to as, the Leadership Team. The CEO has four years from the date of his appointment as CEO to achieve his targeted level. Members of the Leadership Team other than the CEO have five years from the date he or she becomes part of the Leadership Team to achieve their targeted level. Shares subject to unexercised options, whether or not vested, and unvested performance-based RSUs whose performance have not yet been certified by the Compensation and Talent Committee will not be counted for purposes of satisfying these guidelines. RSUs and restricted stock (whether or not vested) and unvested performance-based RSUs whose performance has been certified by the Compensation and Talent Committee are counted for purposes of satisfying these guidelines. All members of the Leadership Team, other than Ms. Asgeirsson, who first joined ADI in fiscal year 2021, were in compliance with our stock ownership guidelines as of the end of fiscal year 2022. Ms. Asgeirsson is expected to be in compliance with our stock ownership guidelines within the first five years of her appointment to the Leadership Team.</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clawback policy provides that in the event of a material restatement of our financial results, the Compensation and Talent Committee may, as appropriate, seek to recover from our CEO and other named executive officers whose fraud or willful misconduct caused or partially caused such restatement, all or a portion of the performance-based compensation awarded to such named executive officer that was in excess of the amount that would have been awarded based on the restated financial results. We will amend our compensation clawback policy so that it is compliant with the regulations mandated under the Dodd-Frank Wall Street Reform and Consumer Protection Act when corresponding listing standards become effective.</w:t>
      </w:r>
    </w:p>
    <w:p>
      <w:pPr>
        <w:spacing w:after="0" w:line="200" w:lineRule="exact"/>
        <w:rPr>
          <w:sz w:val="20"/>
          <w:szCs w:val="20"/>
          <w:color w:val="auto"/>
        </w:rPr>
      </w:pPr>
    </w:p>
    <w:p>
      <w:pPr>
        <w:sectPr>
          <w:pgSz w:w="11900" w:h="16838" w:orient="portrait"/>
          <w:cols w:equalWidth="0" w:num="2">
            <w:col w:w="1780" w:space="380"/>
            <w:col w:w="9060"/>
          </w:cols>
          <w:pgMar w:left="320" w:top="1126" w:right="359" w:bottom="1130" w:gutter="0" w:footer="0" w:header="0"/>
          <w:type w:val="continuous"/>
        </w:sectPr>
      </w:pPr>
    </w:p>
    <w:p>
      <w:pPr>
        <w:spacing w:after="0" w:line="156"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29</w:t>
      </w:r>
    </w:p>
    <w:p>
      <w:pPr>
        <w:sectPr>
          <w:pgSz w:w="11900" w:h="16838" w:orient="portrait"/>
          <w:cols w:equalWidth="0" w:num="1">
            <w:col w:w="11220"/>
          </w:cols>
          <w:pgMar w:left="320" w:top="1126" w:right="359" w:bottom="1130" w:gutter="0" w:footer="0" w:header="0"/>
          <w:type w:val="continuous"/>
        </w:sectPr>
      </w:pPr>
    </w:p>
    <w:bookmarkStart w:id="37" w:name="page38"/>
    <w:bookmarkEnd w:id="37"/>
    <w:p>
      <w:pPr>
        <w:ind w:left="160"/>
        <w:spacing w:after="0"/>
        <w:tabs>
          <w:tab w:leader="none" w:pos="2140" w:val="left"/>
        </w:tabs>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940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940050"/>
                    </a:xfrm>
                    <a:prstGeom prst="rect">
                      <a:avLst/>
                    </a:prstGeom>
                    <a:noFill/>
                  </pic:spPr>
                </pic:pic>
              </a:graphicData>
            </a:graphic>
          </wp:anchor>
        </w:drawing>
        <w:t>Policy/Practice</w:t>
      </w:r>
      <w:r>
        <w:rPr>
          <w:sz w:val="20"/>
          <w:szCs w:val="20"/>
          <w:color w:val="auto"/>
        </w:rPr>
        <w:tab/>
      </w:r>
      <w:r>
        <w:rPr>
          <w:rFonts w:ascii="Arial" w:cs="Arial" w:eastAsia="Arial" w:hAnsi="Arial"/>
          <w:sz w:val="15"/>
          <w:szCs w:val="15"/>
          <w:b w:val="1"/>
          <w:bCs w:val="1"/>
          <w:color w:val="FFFFFF"/>
        </w:rPr>
        <w:t>Summary</w:t>
      </w:r>
    </w:p>
    <w:p>
      <w:pPr>
        <w:sectPr>
          <w:pgSz w:w="11900" w:h="16838" w:orient="portrait"/>
          <w:cols w:equalWidth="0" w:num="1">
            <w:col w:w="11220"/>
          </w:cols>
          <w:pgMar w:left="320" w:top="1232" w:right="359" w:bottom="1440" w:gutter="0" w:footer="0" w:header="0"/>
        </w:sectPr>
      </w:pPr>
    </w:p>
    <w:p>
      <w:pPr>
        <w:spacing w:after="0" w:line="79" w:lineRule="exact"/>
        <w:rPr>
          <w:sz w:val="20"/>
          <w:szCs w:val="20"/>
          <w:color w:val="auto"/>
        </w:rPr>
      </w:pPr>
    </w:p>
    <w:p>
      <w:pPr>
        <w:ind w:left="160" w:right="440"/>
        <w:spacing w:after="0" w:line="273" w:lineRule="auto"/>
        <w:rPr>
          <w:sz w:val="20"/>
          <w:szCs w:val="20"/>
          <w:color w:val="auto"/>
        </w:rPr>
      </w:pPr>
      <w:r>
        <w:rPr>
          <w:rFonts w:ascii="Arial" w:cs="Arial" w:eastAsia="Arial" w:hAnsi="Arial"/>
          <w:sz w:val="18"/>
          <w:szCs w:val="18"/>
          <w:b w:val="1"/>
          <w:bCs w:val="1"/>
          <w:color w:val="FFFFFF"/>
        </w:rPr>
        <w:t>Adoption of Proxy Access Right</w:t>
      </w:r>
    </w:p>
    <w:p>
      <w:pPr>
        <w:spacing w:after="0" w:line="9" w:lineRule="exact"/>
        <w:rPr>
          <w:sz w:val="20"/>
          <w:szCs w:val="20"/>
          <w:color w:val="auto"/>
        </w:rPr>
      </w:pPr>
    </w:p>
    <w:p>
      <w:pPr>
        <w:ind w:left="160" w:right="80"/>
        <w:spacing w:after="0" w:line="296" w:lineRule="auto"/>
        <w:rPr>
          <w:sz w:val="20"/>
          <w:szCs w:val="20"/>
          <w:color w:val="auto"/>
        </w:rPr>
      </w:pPr>
      <w:r>
        <w:rPr>
          <w:rFonts w:ascii="Arial" w:cs="Arial" w:eastAsia="Arial" w:hAnsi="Arial"/>
          <w:sz w:val="17"/>
          <w:szCs w:val="17"/>
          <w:b w:val="1"/>
          <w:bCs w:val="1"/>
          <w:color w:val="FFFFFF"/>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Code of</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Corporate Social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Responsibility</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Director Education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Board of Directors approved a bylaw amendment implementing proxy access, which allows shareholders that meet standard eligibility requirements to nominate and include in our Proxy Statement director candidates for election.</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 Code of Business Conduct and Ethics, which details our commitment to conducting business ethically, in compliance with the law, and in a way that reflects our deeper values. Our Code of Business Conduct and Ethics details our commitment to safeguarding personal data, explains our whistleblower reporting process, and is designed to be consistent with best practices. Our Code of Business Conduct and Ethics provides transparency on our enhanced whistleblower process. Specifically, we affirm our commitment to a consistent and transparent review process, prompt and thorough investigations, assignment of neutral investigators, communication about investigation outcomes, and implementation of appropriate corrective actions.</w:t>
      </w:r>
    </w:p>
    <w:p>
      <w:pPr>
        <w:spacing w:after="0" w:line="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Code of Corporate Social Responsibility details ADI’s policies for itself and its suppliers in the areas of labor and human rights, health and safety, environment, ethics, management systems and data privacy.</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encourage our directors to attend director education programs and provide educational opportunities to our directors through a variety of platforms. We reimburse the costs of attending such programs. We also provide members of our Board of Directors a membership to the National Association of Corporate Directors.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200" w:lineRule="exact"/>
        <w:rPr>
          <w:sz w:val="20"/>
          <w:szCs w:val="20"/>
          <w:color w:val="auto"/>
        </w:rPr>
      </w:pPr>
    </w:p>
    <w:p>
      <w:pPr>
        <w:sectPr>
          <w:pgSz w:w="11900" w:h="16838" w:orient="portrait"/>
          <w:cols w:equalWidth="0" w:num="2">
            <w:col w:w="1760" w:space="400"/>
            <w:col w:w="9060"/>
          </w:cols>
          <w:pgMar w:left="320" w:top="1232" w:right="359" w:bottom="1440" w:gutter="0" w:footer="0" w:header="0"/>
          <w:type w:val="continuous"/>
        </w:sectPr>
      </w:pPr>
    </w:p>
    <w:p>
      <w:pPr>
        <w:spacing w:after="0" w:line="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You can access our bylaws, the current charters for our Audit Committee, Compensation and Talent Committee, Nominating and Corporate Governance Committee and Corporate Development Committee, our Corporate Governance Guidelines, our Code of Business Conduct and Ethics, and other governance documents and corporate policies at https://investor.analog.com/governance/governance-documents and https://www.analog.com/en/about-adi/legal-and-risk-oversight.html or by writing to: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67B3"/>
        </w:rPr>
        <w:t>investor.relations@analog.com</w:t>
      </w:r>
    </w:p>
    <w:p>
      <w:pPr>
        <w:spacing w:after="0" w:line="28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Board and Committee Structure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is responsible for broad corporate policy and overall performance of ADI through oversight of management. Among other duties, our Board of Directors appoints ADI’s executive officers, assigns to them responsibility for management of our operations, and reviews their performance. Our Board of Directors regularly reviews our Board leadership structure and it is recognized that the combination or separation of the CEO and Chair roles are driven by the needs of ADI at a particular time. Since March 2022, Mr. Roche has been serving as the CEO and Chair. The Board of Directors determined that having Mr. Roche serve in this combined role strengthens his ability to provide leadership as ADI continues to transition in response to customer demand for more complete solutions. Mr. Champy has served as our independent Presiding Director since 2010.</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30</w:t>
      </w:r>
    </w:p>
    <w:p>
      <w:pPr>
        <w:ind w:left="480"/>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1">
            <w:col w:w="11220"/>
          </w:cols>
          <w:pgMar w:left="320" w:top="1232" w:right="359" w:bottom="1440" w:gutter="0" w:footer="0" w:header="0"/>
          <w:type w:val="continuous"/>
        </w:sectPr>
      </w:pPr>
    </w:p>
    <w:bookmarkStart w:id="38" w:name="page39"/>
    <w:bookmarkEnd w:id="38"/>
    <w:p>
      <w:pPr>
        <w:ind w:left="7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40575" cy="25374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0575" cy="2537460"/>
                    </a:xfrm>
                    <a:prstGeom prst="rect">
                      <a:avLst/>
                    </a:prstGeom>
                    <a:noFill/>
                  </pic:spPr>
                </pic:pic>
              </a:graphicData>
            </a:graphic>
          </wp:anchor>
        </w:drawing>
        <w:t>In accordance with best practices, the Presiding Director has significant responsibilities, including:</w:t>
      </w:r>
    </w:p>
    <w:p>
      <w:pPr>
        <w:spacing w:after="0" w:line="90" w:lineRule="exact"/>
        <w:rPr>
          <w:sz w:val="20"/>
          <w:szCs w:val="20"/>
          <w:color w:val="auto"/>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Leadership of executive sessions of the independent directors or other meetings at which the Chair is not present;</w:t>
      </w:r>
    </w:p>
    <w:p>
      <w:pPr>
        <w:spacing w:after="0" w:line="76"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Authority to call meetings of the independent directors;</w:t>
      </w:r>
    </w:p>
    <w:p>
      <w:pPr>
        <w:spacing w:after="0" w:line="76"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Coordinating with the Chair to call Board of Directors’ meetings;</w:t>
      </w:r>
    </w:p>
    <w:p>
      <w:pPr>
        <w:spacing w:after="0" w:line="90"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Overseeing the annual Board of Directors’ evaluation process;</w:t>
      </w:r>
    </w:p>
    <w:p>
      <w:pPr>
        <w:spacing w:after="0" w:line="76"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Serving as a liaison between the Chair and the independent directors, as required;</w:t>
      </w:r>
    </w:p>
    <w:p>
      <w:pPr>
        <w:spacing w:after="0" w:line="76" w:lineRule="exact"/>
        <w:rPr>
          <w:rFonts w:ascii="Arial" w:cs="Arial" w:eastAsia="Arial" w:hAnsi="Arial"/>
          <w:sz w:val="18"/>
          <w:szCs w:val="18"/>
          <w:color w:val="0067B3"/>
        </w:rPr>
      </w:pPr>
    </w:p>
    <w:p>
      <w:pPr>
        <w:ind w:left="191" w:right="680" w:hanging="191"/>
        <w:spacing w:after="0" w:line="287" w:lineRule="auto"/>
        <w:tabs>
          <w:tab w:leader="none" w:pos="153"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Coordinating with the Chair to set and approve the Board of Directors’ meeting schedule and agenda to assure sufficient time for discussion of all agenda items;</w:t>
      </w:r>
    </w:p>
    <w:p>
      <w:pPr>
        <w:spacing w:after="0" w:line="17"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Determining the appropriate materials to be provided to the Board of Directors;</w:t>
      </w:r>
    </w:p>
    <w:p>
      <w:pPr>
        <w:spacing w:after="0" w:line="76" w:lineRule="exact"/>
        <w:rPr>
          <w:rFonts w:ascii="Arial" w:cs="Arial" w:eastAsia="Arial" w:hAnsi="Arial"/>
          <w:sz w:val="18"/>
          <w:szCs w:val="18"/>
          <w:color w:val="0067B3"/>
        </w:rPr>
      </w:pPr>
    </w:p>
    <w:p>
      <w:pPr>
        <w:ind w:left="191" w:right="360" w:hanging="191"/>
        <w:spacing w:after="0" w:line="287" w:lineRule="auto"/>
        <w:tabs>
          <w:tab w:leader="none" w:pos="153"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Serving as the focal point for shareholder communications with the independent directors and requests for consultation addressed to independent members of the Board of Directors;</w:t>
      </w:r>
    </w:p>
    <w:p>
      <w:pPr>
        <w:spacing w:after="0" w:line="4" w:lineRule="exact"/>
        <w:rPr>
          <w:rFonts w:ascii="Arial" w:cs="Arial" w:eastAsia="Arial" w:hAnsi="Arial"/>
          <w:sz w:val="18"/>
          <w:szCs w:val="18"/>
          <w:color w:val="0067B3"/>
        </w:rPr>
      </w:pPr>
    </w:p>
    <w:p>
      <w:pPr>
        <w:ind w:left="191" w:right="280" w:hanging="191"/>
        <w:spacing w:after="0" w:line="287" w:lineRule="auto"/>
        <w:tabs>
          <w:tab w:leader="none" w:pos="153"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The ability to retain outside professionals on behalf of our Board of Directors as our Board of Directors may determine is necessary or appropriate; and</w:t>
      </w:r>
    </w:p>
    <w:p>
      <w:pPr>
        <w:spacing w:after="0" w:line="17" w:lineRule="exact"/>
        <w:rPr>
          <w:rFonts w:ascii="Arial" w:cs="Arial" w:eastAsia="Arial" w:hAnsi="Arial"/>
          <w:sz w:val="18"/>
          <w:szCs w:val="18"/>
          <w:color w:val="0067B3"/>
        </w:rPr>
      </w:pPr>
    </w:p>
    <w:p>
      <w:pPr>
        <w:ind w:left="151" w:hanging="151"/>
        <w:spacing w:after="0"/>
        <w:tabs>
          <w:tab w:leader="none" w:pos="151" w:val="left"/>
        </w:tabs>
        <w:numPr>
          <w:ilvl w:val="0"/>
          <w:numId w:val="33"/>
        </w:numPr>
        <w:rPr>
          <w:rFonts w:ascii="Arial" w:cs="Arial" w:eastAsia="Arial" w:hAnsi="Arial"/>
          <w:sz w:val="18"/>
          <w:szCs w:val="18"/>
          <w:color w:val="0067B3"/>
        </w:rPr>
      </w:pPr>
      <w:r>
        <w:rPr>
          <w:rFonts w:ascii="Arial" w:cs="Arial" w:eastAsia="Arial" w:hAnsi="Arial"/>
          <w:sz w:val="18"/>
          <w:szCs w:val="18"/>
          <w:color w:val="auto"/>
        </w:rPr>
        <w:t>Such other functions as our Board of Directors may direct from time to time.</w:t>
      </w: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31</w:t>
      </w:r>
    </w:p>
    <w:p>
      <w:pPr>
        <w:sectPr>
          <w:pgSz w:w="11900" w:h="16838" w:orient="portrait"/>
          <w:cols w:equalWidth="0" w:num="1">
            <w:col w:w="11051"/>
          </w:cols>
          <w:pgMar w:left="489" w:top="1322" w:right="359" w:bottom="1440" w:gutter="0" w:footer="0" w:header="0"/>
        </w:sectPr>
      </w:pPr>
    </w:p>
    <w:bookmarkStart w:id="39" w:name="page40"/>
    <w:bookmarkEnd w:id="39"/>
    <w:p>
      <w:pPr>
        <w:spacing w:after="0"/>
        <w:rPr>
          <w:sz w:val="20"/>
          <w:szCs w:val="20"/>
          <w:color w:val="auto"/>
        </w:rPr>
      </w:pPr>
      <w:r>
        <w:rPr>
          <w:rFonts w:ascii="Arial" w:cs="Arial" w:eastAsia="Arial" w:hAnsi="Arial"/>
          <w:sz w:val="32"/>
          <w:szCs w:val="32"/>
          <w:b w:val="1"/>
          <w:bCs w:val="1"/>
          <w:color w:val="auto"/>
        </w:rPr>
        <w:t>Board Committees</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Board of Directors has standing Audit, Compensation and Talent, Nominating and Corporate Governance, and Corporate Development Committees. With the exception of the Corporate Development Committee, of which Mr. Roche is Chair, the members of all three other committees are comprised of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Each director also undertakes an evaluation of our Board of Directors more generally. Our Presiding Director, working with our Chief Legal Officer, also has conversations with each director designed to assess the competencies and skills each director brings to our Board of Directors. Summaries of the evaluations are presented to the Board of Directors. Mr. Roche is the only current director who is, or has been in the past three years, an employee of ADI. Mr. Stata does not serve on any standing committee and Messrs. Roche and Stata do not participate in the portion of any Board or committee meeting during which their compensation is evaluated or in sessions comprised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40575" cy="4097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40976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b w:val="1"/>
          <w:bCs w:val="1"/>
          <w:color w:val="0067B3"/>
        </w:rPr>
        <w:t>Audit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27"/>
          <w:szCs w:val="27"/>
          <w:b w:val="1"/>
          <w:bCs w:val="1"/>
          <w:color w:val="0067B3"/>
        </w:rPr>
        <w:t>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0067B3"/>
        </w:rPr>
        <w:t>Karen M. Golz (Chair)</w:t>
      </w:r>
    </w:p>
    <w:p>
      <w:pPr>
        <w:spacing w:after="0" w:line="10" w:lineRule="exact"/>
        <w:rPr>
          <w:sz w:val="20"/>
          <w:szCs w:val="20"/>
          <w:color w:val="auto"/>
        </w:rPr>
      </w:pPr>
    </w:p>
    <w:p>
      <w:pPr>
        <w:ind w:left="240" w:right="300"/>
        <w:spacing w:after="0" w:line="239" w:lineRule="auto"/>
        <w:rPr>
          <w:sz w:val="20"/>
          <w:szCs w:val="20"/>
          <w:color w:val="auto"/>
        </w:rPr>
      </w:pPr>
      <w:r>
        <w:rPr>
          <w:rFonts w:ascii="Arial" w:cs="Arial" w:eastAsia="Arial" w:hAnsi="Arial"/>
          <w:sz w:val="17"/>
          <w:szCs w:val="17"/>
          <w:color w:val="auto"/>
        </w:rPr>
        <w:t>Bruce R. Evans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Mercedes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Meetings in 2022: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0067B3"/>
        </w:rPr>
        <w:t>PRINCIPAL RESPONSIBILITIES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the Audit Committee is to assist our Board of Directors’ oversight of:</w:t>
      </w:r>
    </w:p>
    <w:p>
      <w:pPr>
        <w:spacing w:after="0" w:line="117" w:lineRule="exact"/>
        <w:rPr>
          <w:sz w:val="20"/>
          <w:szCs w:val="20"/>
          <w:color w:val="auto"/>
        </w:rPr>
      </w:pPr>
    </w:p>
    <w:p>
      <w:pPr>
        <w:ind w:left="200" w:right="160" w:hanging="195"/>
        <w:spacing w:after="0" w:line="287" w:lineRule="auto"/>
        <w:tabs>
          <w:tab w:leader="none" w:pos="163"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The integrity of our financial statements, including regulatory requirements to the extent they pertain to financial matters;</w:t>
      </w:r>
    </w:p>
    <w:p>
      <w:pPr>
        <w:spacing w:after="0" w:line="4" w:lineRule="exact"/>
        <w:rPr>
          <w:rFonts w:ascii="Arial" w:cs="Arial" w:eastAsia="Arial" w:hAnsi="Arial"/>
          <w:sz w:val="18"/>
          <w:szCs w:val="18"/>
          <w:color w:val="0067B3"/>
        </w:rPr>
      </w:pPr>
    </w:p>
    <w:p>
      <w:pPr>
        <w:ind w:left="160" w:hanging="155"/>
        <w:spacing w:after="0"/>
        <w:tabs>
          <w:tab w:leader="none" w:pos="160"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The qualifications and independence of our independent registered public accounting firm;</w:t>
      </w:r>
    </w:p>
    <w:p>
      <w:pPr>
        <w:spacing w:after="0" w:line="76" w:lineRule="exact"/>
        <w:rPr>
          <w:rFonts w:ascii="Arial" w:cs="Arial" w:eastAsia="Arial" w:hAnsi="Arial"/>
          <w:sz w:val="18"/>
          <w:szCs w:val="18"/>
          <w:color w:val="0067B3"/>
        </w:rPr>
      </w:pPr>
    </w:p>
    <w:p>
      <w:pPr>
        <w:ind w:left="160" w:hanging="155"/>
        <w:spacing w:after="0"/>
        <w:tabs>
          <w:tab w:leader="none" w:pos="160"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The performance of our internal audit function and independent registered public accounting firm;</w:t>
      </w:r>
    </w:p>
    <w:p>
      <w:pPr>
        <w:spacing w:after="0" w:line="90" w:lineRule="exact"/>
        <w:rPr>
          <w:rFonts w:ascii="Arial" w:cs="Arial" w:eastAsia="Arial" w:hAnsi="Arial"/>
          <w:sz w:val="18"/>
          <w:szCs w:val="18"/>
          <w:color w:val="0067B3"/>
        </w:rPr>
      </w:pPr>
    </w:p>
    <w:p>
      <w:pPr>
        <w:ind w:left="200" w:right="420" w:hanging="195"/>
        <w:spacing w:after="0" w:line="287" w:lineRule="auto"/>
        <w:tabs>
          <w:tab w:leader="none" w:pos="163"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The process relating to internal enterprise risk management, control systems, and review of related person transactions;</w:t>
      </w:r>
    </w:p>
    <w:p>
      <w:pPr>
        <w:spacing w:after="0" w:line="4" w:lineRule="exact"/>
        <w:rPr>
          <w:rFonts w:ascii="Arial" w:cs="Arial" w:eastAsia="Arial" w:hAnsi="Arial"/>
          <w:sz w:val="18"/>
          <w:szCs w:val="18"/>
          <w:color w:val="0067B3"/>
        </w:rPr>
      </w:pPr>
    </w:p>
    <w:p>
      <w:pPr>
        <w:ind w:left="200" w:right="340" w:hanging="195"/>
        <w:spacing w:after="0" w:line="268" w:lineRule="auto"/>
        <w:tabs>
          <w:tab w:leader="none" w:pos="163"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Evaluating capital allocation and structure, including potential issuance of debt and equity securities, credit agreements, letters of credit, guarantees and other financial instruments, investment policy, dividends, stock splits and stock repurchases;</w:t>
      </w:r>
    </w:p>
    <w:p>
      <w:pPr>
        <w:spacing w:after="0" w:line="22" w:lineRule="exact"/>
        <w:rPr>
          <w:rFonts w:ascii="Arial" w:cs="Arial" w:eastAsia="Arial" w:hAnsi="Arial"/>
          <w:sz w:val="18"/>
          <w:szCs w:val="18"/>
          <w:color w:val="0067B3"/>
        </w:rPr>
      </w:pPr>
    </w:p>
    <w:p>
      <w:pPr>
        <w:ind w:left="160" w:hanging="155"/>
        <w:spacing w:after="0"/>
        <w:tabs>
          <w:tab w:leader="none" w:pos="160"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Evaluating our significant financial exposures and liabilities; and</w:t>
      </w:r>
    </w:p>
    <w:p>
      <w:pPr>
        <w:spacing w:after="0" w:line="90" w:lineRule="exact"/>
        <w:rPr>
          <w:rFonts w:ascii="Arial" w:cs="Arial" w:eastAsia="Arial" w:hAnsi="Arial"/>
          <w:sz w:val="18"/>
          <w:szCs w:val="18"/>
          <w:color w:val="0067B3"/>
        </w:rPr>
      </w:pPr>
    </w:p>
    <w:p>
      <w:pPr>
        <w:ind w:left="160" w:hanging="155"/>
        <w:spacing w:after="0"/>
        <w:tabs>
          <w:tab w:leader="none" w:pos="160" w:val="left"/>
        </w:tabs>
        <w:numPr>
          <w:ilvl w:val="0"/>
          <w:numId w:val="34"/>
        </w:numPr>
        <w:rPr>
          <w:rFonts w:ascii="Arial" w:cs="Arial" w:eastAsia="Arial" w:hAnsi="Arial"/>
          <w:sz w:val="18"/>
          <w:szCs w:val="18"/>
          <w:color w:val="0067B3"/>
        </w:rPr>
      </w:pPr>
      <w:r>
        <w:rPr>
          <w:rFonts w:ascii="Arial" w:cs="Arial" w:eastAsia="Arial" w:hAnsi="Arial"/>
          <w:sz w:val="18"/>
          <w:szCs w:val="18"/>
          <w:color w:val="auto"/>
        </w:rPr>
        <w:t>Reviewing our financial outlook and plans for financing our working and long-term capital requirements.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of Directors has determined that each of Mses. Golz and Johnson and Mr. Evans qualifies as an “audit committee financial expert” under the rules of the U.S. Securities and Exchange Commission, or SEC, each is independent as defined under the Nasdaq Rules and the independence requirements under Rule 10A-3(b)(1) of the Securities Exchange Act of 1934, or Exchange Act. In addition, our Board of Directors has determined that each member of the Audit Committee is able to read and understand financial statements, including ADI’s consolidated balance sheet and its consolidated statements of income, comprehensive income, shareholders’ equity and cash flows and related notes as required under the Nasdaq Rules. Our Board of Directors has certified that it has at least one member of the Audit Committee who has past employment experience in finance or accounting as required by the Nasdaq Rules.</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responsibilities of our Audit Committee and its activities during fiscal year 2022 are described in the Report of the Audit Committee below.</w:t>
      </w:r>
    </w:p>
    <w:p>
      <w:pPr>
        <w:spacing w:after="0" w:line="200" w:lineRule="exact"/>
        <w:rPr>
          <w:sz w:val="20"/>
          <w:szCs w:val="20"/>
          <w:color w:val="auto"/>
        </w:rPr>
      </w:pPr>
    </w:p>
    <w:p>
      <w:pPr>
        <w:sectPr>
          <w:pgSz w:w="11900" w:h="16838" w:orient="portrait"/>
          <w:cols w:equalWidth="0" w:num="2">
            <w:col w:w="2060" w:space="720"/>
            <w:col w:w="8460"/>
          </w:cols>
          <w:pgMar w:left="320" w:top="1311" w:right="339" w:bottom="1440" w:gutter="0" w:footer="0" w:header="0"/>
          <w:type w:val="continuous"/>
        </w:sectPr>
      </w:pPr>
    </w:p>
    <w:p>
      <w:pPr>
        <w:spacing w:after="0" w:line="12"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Mr. Evans is not standing for re-election and his term on the Board of Directors will end at the Annual Meeting on March 8, 2023.</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Committee charter provides that no member of the Audit Committee may serve on the audit committee of more than two other public companies in addition to ADI, unless approved by the Board of Directors. Ms. Johnson, who first joined our Board of Directors in August 2021, is a member of our Audit Committee and is also a member of the audit committees of three other public companies, serving as the audit committee chair for two of those public companies. Our Audit Committee considered Ms. Johnson’s additional board and audit committee service and whether or not such service created an actual or potential conflict with her service on our Board of Directors and Audit Committee. Having determined that no such conflict existed, our Audit Committee recommended that our Board of Directors approve, and our Board of Directors did approve, Ms. Johnson’s service on up to four public company boards, inclusive of ADI’s Board of Directors. Neither Ms. Golz nor Mr. Evans serve on the audit committees of more than two other public companies in addition to ADI.</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has the authority to engage independent legal, accounting and other advisors that it deems necessary or appropriate to carry out its responsibilities. These independent advisors may be the regular advisors to ADI. The Audit Committee is empowered to pre-approve all audit services to be provided to ADI and all other services to be provided to ADI by our independent auditor. The Audit Committee has delegated authority to the Chair of the Audit Committee to pre-approve any audit or non-audit services to be provided to ADI by the independent registered public accounting firm for which the cost is less than $100,000. The Audit Committee selected and appointed Ernst &amp; Young LLP, our independent registered public accounting firm, and did not retain any other advisors during fiscal year 2022.</w:t>
      </w:r>
    </w:p>
    <w:p>
      <w:pPr>
        <w:sectPr>
          <w:pgSz w:w="11900" w:h="16838" w:orient="portrait"/>
          <w:cols w:equalWidth="0" w:num="1">
            <w:col w:w="11240"/>
          </w:cols>
          <w:pgMar w:left="320" w:top="1311" w:right="339" w:bottom="1440" w:gutter="0" w:footer="0" w:header="0"/>
          <w:type w:val="continuous"/>
        </w:sect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32</w:t>
      </w:r>
    </w:p>
    <w:p>
      <w:pPr>
        <w:jc w:val="right"/>
        <w:ind w:right="9120"/>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1">
            <w:col w:w="11240"/>
          </w:cols>
          <w:pgMar w:left="320" w:top="1311" w:right="339" w:bottom="1440" w:gutter="0" w:footer="0" w:header="0"/>
          <w:type w:val="continuous"/>
        </w:sectPr>
      </w:pPr>
    </w:p>
    <w:bookmarkStart w:id="40" w:name="page41"/>
    <w:bookmarkEnd w:id="40"/>
    <w:tbl>
      <w:tblPr>
        <w:tblLayout w:type="fixed"/>
        <w:tblInd w:w="10" w:type="dxa"/>
        <w:tblCellMar>
          <w:top w:w="0" w:type="dxa"/>
          <w:left w:w="0" w:type="dxa"/>
          <w:bottom w:w="0" w:type="dxa"/>
          <w:right w:w="0" w:type="dxa"/>
        </w:tblCellMar>
      </w:tblPr>
      <w:tr>
        <w:trPr>
          <w:trHeight w:val="339"/>
        </w:trPr>
        <w:tc>
          <w:tcPr>
            <w:tcW w:w="2580" w:type="dxa"/>
            <w:vAlign w:val="bottom"/>
            <w:tcBorders>
              <w:top w:val="single" w:sz="8" w:color="006098"/>
              <w:left w:val="single" w:sz="8" w:color="auto"/>
              <w:right w:val="single" w:sz="8" w:color="auto"/>
            </w:tcBorders>
            <w:vMerge w:val="restart"/>
            <w:shd w:val="clear" w:color="auto" w:fill="E2E6F4"/>
          </w:tcPr>
          <w:p>
            <w:pPr>
              <w:ind w:left="240"/>
              <w:spacing w:after="0"/>
              <w:rPr>
                <w:sz w:val="20"/>
                <w:szCs w:val="20"/>
                <w:color w:val="auto"/>
              </w:rPr>
            </w:pPr>
            <w:r>
              <w:rPr>
                <w:rFonts w:ascii="Arial" w:cs="Arial" w:eastAsia="Arial" w:hAnsi="Arial"/>
                <w:sz w:val="27"/>
                <w:szCs w:val="27"/>
                <w:b w:val="1"/>
                <w:bCs w:val="1"/>
                <w:color w:val="0067B3"/>
              </w:rPr>
              <w:t>Compensation</w:t>
            </w:r>
          </w:p>
        </w:tc>
        <w:tc>
          <w:tcPr>
            <w:tcW w:w="8680" w:type="dxa"/>
            <w:vAlign w:val="bottom"/>
            <w:tcBorders>
              <w:top w:val="single" w:sz="8" w:color="006098"/>
              <w:right w:val="single" w:sz="8" w:color="auto"/>
            </w:tcBorders>
          </w:tcPr>
          <w:p>
            <w:pPr>
              <w:ind w:left="200"/>
              <w:spacing w:after="0"/>
              <w:rPr>
                <w:sz w:val="20"/>
                <w:szCs w:val="20"/>
                <w:color w:val="auto"/>
              </w:rPr>
            </w:pPr>
            <w:r>
              <w:rPr>
                <w:rFonts w:ascii="Arial" w:cs="Arial" w:eastAsia="Arial" w:hAnsi="Arial"/>
                <w:sz w:val="15"/>
                <w:szCs w:val="15"/>
                <w:b w:val="1"/>
                <w:bCs w:val="1"/>
                <w:color w:val="0067B3"/>
              </w:rPr>
              <w:t>PRINCIPAL RESPONSIBILITIES</w:t>
            </w:r>
          </w:p>
        </w:tc>
        <w:tc>
          <w:tcPr>
            <w:tcW w:w="0" w:type="dxa"/>
            <w:vAlign w:val="bottom"/>
          </w:tcPr>
          <w:p>
            <w:pPr>
              <w:spacing w:after="0"/>
              <w:rPr>
                <w:sz w:val="1"/>
                <w:szCs w:val="1"/>
                <w:color w:val="auto"/>
              </w:rPr>
            </w:pPr>
          </w:p>
        </w:tc>
      </w:tr>
      <w:tr>
        <w:trPr>
          <w:trHeight w:val="77"/>
        </w:trPr>
        <w:tc>
          <w:tcPr>
            <w:tcW w:w="2580" w:type="dxa"/>
            <w:vAlign w:val="bottom"/>
            <w:tcBorders>
              <w:left w:val="single" w:sz="8" w:color="auto"/>
              <w:right w:val="single" w:sz="8" w:color="auto"/>
            </w:tcBorders>
            <w:vMerge w:val="continue"/>
            <w:shd w:val="clear" w:color="auto" w:fill="E2E6F4"/>
          </w:tcPr>
          <w:p>
            <w:pPr>
              <w:spacing w:after="0"/>
              <w:rPr>
                <w:sz w:val="6"/>
                <w:szCs w:val="6"/>
                <w:color w:val="auto"/>
              </w:rPr>
            </w:pPr>
          </w:p>
        </w:tc>
        <w:tc>
          <w:tcPr>
            <w:tcW w:w="86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The primary responsibilities of the Compensation and Talent Committee are to:</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right w:val="single" w:sz="8" w:color="auto"/>
            </w:tcBorders>
            <w:vMerge w:val="restart"/>
            <w:shd w:val="clear" w:color="auto" w:fill="E2E6F4"/>
          </w:tcPr>
          <w:p>
            <w:pPr>
              <w:ind w:left="240"/>
              <w:spacing w:after="0" w:line="297" w:lineRule="exact"/>
              <w:rPr>
                <w:sz w:val="20"/>
                <w:szCs w:val="20"/>
                <w:color w:val="auto"/>
              </w:rPr>
            </w:pPr>
            <w:r>
              <w:rPr>
                <w:rFonts w:ascii="Arial" w:cs="Arial" w:eastAsia="Arial" w:hAnsi="Arial"/>
                <w:sz w:val="27"/>
                <w:szCs w:val="27"/>
                <w:b w:val="1"/>
                <w:bCs w:val="1"/>
                <w:color w:val="0067B3"/>
              </w:rPr>
              <w:t>and Talent</w:t>
            </w:r>
          </w:p>
        </w:tc>
        <w:tc>
          <w:tcPr>
            <w:tcW w:w="86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580" w:type="dxa"/>
            <w:vAlign w:val="bottom"/>
            <w:tcBorders>
              <w:left w:val="single" w:sz="8" w:color="auto"/>
              <w:right w:val="single" w:sz="8" w:color="auto"/>
            </w:tcBorders>
            <w:vMerge w:val="continue"/>
            <w:shd w:val="clear" w:color="auto" w:fill="E2E6F4"/>
          </w:tcPr>
          <w:p>
            <w:pPr>
              <w:spacing w:after="0"/>
              <w:rPr>
                <w:sz w:val="7"/>
                <w:szCs w:val="7"/>
                <w:color w:val="auto"/>
              </w:rPr>
            </w:pPr>
          </w:p>
        </w:tc>
        <w:tc>
          <w:tcPr>
            <w:tcW w:w="86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Evaluate and set the compensation of our CEO, our other executive officers and any senior executive</w:t>
            </w:r>
          </w:p>
        </w:tc>
        <w:tc>
          <w:tcPr>
            <w:tcW w:w="0" w:type="dxa"/>
            <w:vAlign w:val="bottom"/>
          </w:tcPr>
          <w:p>
            <w:pPr>
              <w:spacing w:after="0"/>
              <w:rPr>
                <w:sz w:val="1"/>
                <w:szCs w:val="1"/>
                <w:color w:val="auto"/>
              </w:rPr>
            </w:pPr>
          </w:p>
        </w:tc>
      </w:tr>
      <w:tr>
        <w:trPr>
          <w:trHeight w:val="159"/>
        </w:trPr>
        <w:tc>
          <w:tcPr>
            <w:tcW w:w="2580" w:type="dxa"/>
            <w:vAlign w:val="bottom"/>
            <w:tcBorders>
              <w:left w:val="single" w:sz="8" w:color="auto"/>
              <w:right w:val="single" w:sz="8" w:color="auto"/>
            </w:tcBorders>
            <w:vMerge w:val="restart"/>
            <w:shd w:val="clear" w:color="auto" w:fill="E2E6F4"/>
          </w:tcPr>
          <w:p>
            <w:pPr>
              <w:ind w:left="240"/>
              <w:spacing w:after="0"/>
              <w:rPr>
                <w:sz w:val="20"/>
                <w:szCs w:val="20"/>
                <w:color w:val="auto"/>
              </w:rPr>
            </w:pPr>
            <w:r>
              <w:rPr>
                <w:rFonts w:ascii="Arial" w:cs="Arial" w:eastAsia="Arial" w:hAnsi="Arial"/>
                <w:sz w:val="27"/>
                <w:szCs w:val="27"/>
                <w:b w:val="1"/>
                <w:bCs w:val="1"/>
                <w:color w:val="0067B3"/>
              </w:rPr>
              <w:t>Committee</w:t>
            </w:r>
          </w:p>
        </w:tc>
        <w:tc>
          <w:tcPr>
            <w:tcW w:w="86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580" w:type="dxa"/>
            <w:vAlign w:val="bottom"/>
            <w:tcBorders>
              <w:left w:val="single" w:sz="8" w:color="auto"/>
              <w:right w:val="single" w:sz="8" w:color="auto"/>
            </w:tcBorders>
            <w:vMerge w:val="continue"/>
            <w:shd w:val="clear" w:color="auto" w:fill="E2E6F4"/>
          </w:tcPr>
          <w:p>
            <w:pPr>
              <w:spacing w:after="0"/>
              <w:rPr>
                <w:sz w:val="20"/>
                <w:szCs w:val="20"/>
                <w:color w:val="auto"/>
              </w:rPr>
            </w:pPr>
          </w:p>
        </w:tc>
        <w:tc>
          <w:tcPr>
            <w:tcW w:w="868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reporting to our CEO;</w:t>
            </w:r>
          </w:p>
        </w:tc>
        <w:tc>
          <w:tcPr>
            <w:tcW w:w="0" w:type="dxa"/>
            <w:vAlign w:val="bottom"/>
          </w:tcPr>
          <w:p>
            <w:pPr>
              <w:spacing w:after="0"/>
              <w:rPr>
                <w:sz w:val="1"/>
                <w:szCs w:val="1"/>
                <w:color w:val="auto"/>
              </w:rPr>
            </w:pPr>
          </w:p>
        </w:tc>
      </w:tr>
      <w:tr>
        <w:trPr>
          <w:trHeight w:val="274"/>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23"/>
                <w:szCs w:val="23"/>
                <w:b w:val="1"/>
                <w:bCs w:val="1"/>
                <w:color w:val="auto"/>
                <w:vertAlign w:val="superscript"/>
              </w:rPr>
              <w:t>(1)</w:t>
            </w: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Make recommendations to our Board of Directors regarding the compensation of our directors;</w:t>
            </w:r>
          </w:p>
        </w:tc>
        <w:tc>
          <w:tcPr>
            <w:tcW w:w="0" w:type="dxa"/>
            <w:vAlign w:val="bottom"/>
          </w:tcPr>
          <w:p>
            <w:pPr>
              <w:spacing w:after="0"/>
              <w:rPr>
                <w:sz w:val="1"/>
                <w:szCs w:val="1"/>
                <w:color w:val="auto"/>
              </w:rPr>
            </w:pPr>
          </w:p>
        </w:tc>
      </w:tr>
      <w:tr>
        <w:trPr>
          <w:trHeight w:val="221"/>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color w:val="0067B3"/>
              </w:rPr>
              <w:t>Edward H. Frank (Chair)</w:t>
            </w: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Review, and make recommendations to our Board of Directors with respect to, incentive</w:t>
            </w:r>
          </w:p>
        </w:tc>
        <w:tc>
          <w:tcPr>
            <w:tcW w:w="0" w:type="dxa"/>
            <w:vAlign w:val="bottom"/>
          </w:tcPr>
          <w:p>
            <w:pPr>
              <w:spacing w:after="0"/>
              <w:rPr>
                <w:sz w:val="1"/>
                <w:szCs w:val="1"/>
                <w:color w:val="auto"/>
              </w:rPr>
            </w:pPr>
          </w:p>
        </w:tc>
      </w:tr>
      <w:tr>
        <w:trPr>
          <w:trHeight w:val="211"/>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color w:val="auto"/>
              </w:rPr>
              <w:t>Laurie H. Glimcher</w:t>
            </w:r>
          </w:p>
        </w:tc>
        <w:tc>
          <w:tcPr>
            <w:tcW w:w="868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compensation plans and equity-based plans, and exercise all rights, authority and functions with</w:t>
            </w:r>
          </w:p>
        </w:tc>
        <w:tc>
          <w:tcPr>
            <w:tcW w:w="0" w:type="dxa"/>
            <w:vAlign w:val="bottom"/>
          </w:tcPr>
          <w:p>
            <w:pPr>
              <w:spacing w:after="0"/>
              <w:rPr>
                <w:sz w:val="1"/>
                <w:szCs w:val="1"/>
                <w:color w:val="auto"/>
              </w:rPr>
            </w:pPr>
          </w:p>
        </w:tc>
      </w:tr>
      <w:tr>
        <w:trPr>
          <w:trHeight w:val="266"/>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color w:val="auto"/>
              </w:rPr>
              <w:t>Susie Wee</w:t>
            </w:r>
          </w:p>
        </w:tc>
        <w:tc>
          <w:tcPr>
            <w:tcW w:w="868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respect to such plans;</w:t>
            </w:r>
          </w:p>
        </w:tc>
        <w:tc>
          <w:tcPr>
            <w:tcW w:w="0" w:type="dxa"/>
            <w:vAlign w:val="bottom"/>
          </w:tcPr>
          <w:p>
            <w:pPr>
              <w:spacing w:after="0"/>
              <w:rPr>
                <w:sz w:val="1"/>
                <w:szCs w:val="1"/>
                <w:color w:val="auto"/>
              </w:rPr>
            </w:pPr>
          </w:p>
        </w:tc>
      </w:tr>
      <w:tr>
        <w:trPr>
          <w:trHeight w:val="311"/>
        </w:trPr>
        <w:tc>
          <w:tcPr>
            <w:tcW w:w="2580" w:type="dxa"/>
            <w:vAlign w:val="bottom"/>
            <w:tcBorders>
              <w:left w:val="single" w:sz="8" w:color="auto"/>
              <w:right w:val="single" w:sz="8" w:color="auto"/>
            </w:tcBorders>
            <w:shd w:val="clear" w:color="auto" w:fill="E2E6F4"/>
          </w:tcPr>
          <w:p>
            <w:pPr>
              <w:spacing w:after="0"/>
              <w:rPr>
                <w:sz w:val="24"/>
                <w:szCs w:val="24"/>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Oversee our policies, strategies and programs relating to human capital management;</w:t>
            </w:r>
          </w:p>
        </w:tc>
        <w:tc>
          <w:tcPr>
            <w:tcW w:w="0" w:type="dxa"/>
            <w:vAlign w:val="bottom"/>
          </w:tcPr>
          <w:p>
            <w:pPr>
              <w:spacing w:after="0"/>
              <w:rPr>
                <w:sz w:val="1"/>
                <w:szCs w:val="1"/>
                <w:color w:val="auto"/>
              </w:rPr>
            </w:pPr>
          </w:p>
        </w:tc>
      </w:tr>
      <w:tr>
        <w:trPr>
          <w:trHeight w:val="324"/>
        </w:trPr>
        <w:tc>
          <w:tcPr>
            <w:tcW w:w="2580" w:type="dxa"/>
            <w:vAlign w:val="bottom"/>
            <w:tcBorders>
              <w:left w:val="single" w:sz="8" w:color="auto"/>
              <w:right w:val="single" w:sz="8" w:color="auto"/>
            </w:tcBorders>
            <w:shd w:val="clear" w:color="auto" w:fill="E2E6F4"/>
          </w:tcPr>
          <w:p>
            <w:pPr>
              <w:spacing w:after="0"/>
              <w:rPr>
                <w:sz w:val="24"/>
                <w:szCs w:val="24"/>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Oversee management of the risks associated with our compensation practices and policies; and</w:t>
            </w:r>
          </w:p>
        </w:tc>
        <w:tc>
          <w:tcPr>
            <w:tcW w:w="0" w:type="dxa"/>
            <w:vAlign w:val="bottom"/>
          </w:tcPr>
          <w:p>
            <w:pPr>
              <w:spacing w:after="0"/>
              <w:rPr>
                <w:sz w:val="1"/>
                <w:szCs w:val="1"/>
                <w:color w:val="auto"/>
              </w:rPr>
            </w:pPr>
          </w:p>
        </w:tc>
      </w:tr>
      <w:tr>
        <w:trPr>
          <w:trHeight w:val="284"/>
        </w:trPr>
        <w:tc>
          <w:tcPr>
            <w:tcW w:w="2580" w:type="dxa"/>
            <w:vAlign w:val="bottom"/>
            <w:tcBorders>
              <w:left w:val="single" w:sz="8" w:color="auto"/>
              <w:right w:val="single" w:sz="8" w:color="auto"/>
            </w:tcBorders>
            <w:shd w:val="clear" w:color="auto" w:fill="E2E6F4"/>
          </w:tcPr>
          <w:p>
            <w:pPr>
              <w:spacing w:after="0"/>
              <w:rPr>
                <w:sz w:val="24"/>
                <w:szCs w:val="24"/>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Oversee the evaluation and succession planning and development programs for senior executives.</w:t>
            </w:r>
          </w:p>
        </w:tc>
        <w:tc>
          <w:tcPr>
            <w:tcW w:w="0" w:type="dxa"/>
            <w:vAlign w:val="bottom"/>
          </w:tcPr>
          <w:p>
            <w:pPr>
              <w:spacing w:after="0"/>
              <w:rPr>
                <w:sz w:val="1"/>
                <w:szCs w:val="1"/>
                <w:color w:val="auto"/>
              </w:rPr>
            </w:pPr>
          </w:p>
        </w:tc>
      </w:tr>
      <w:tr>
        <w:trPr>
          <w:trHeight w:val="247"/>
        </w:trPr>
        <w:tc>
          <w:tcPr>
            <w:tcW w:w="2580" w:type="dxa"/>
            <w:vAlign w:val="bottom"/>
            <w:tcBorders>
              <w:left w:val="single" w:sz="8" w:color="auto"/>
              <w:right w:val="single" w:sz="8" w:color="auto"/>
            </w:tcBorders>
            <w:shd w:val="clear" w:color="auto" w:fill="E2E6F4"/>
          </w:tcPr>
          <w:p>
            <w:pPr>
              <w:spacing w:after="0"/>
              <w:rPr>
                <w:sz w:val="21"/>
                <w:szCs w:val="21"/>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Our Board of Directors has determined that each of Drs. Frank, Glimcher, and Wee is independent as</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right w:val="single" w:sz="8" w:color="auto"/>
            </w:tcBorders>
            <w:shd w:val="clear" w:color="auto" w:fill="E2E6F4"/>
          </w:tcPr>
          <w:p>
            <w:pPr>
              <w:spacing w:after="0"/>
              <w:rPr>
                <w:sz w:val="18"/>
                <w:szCs w:val="18"/>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defined under the Nasdaq Rules and the independence requirements under Rule 10C-1 of the</w:t>
            </w:r>
          </w:p>
        </w:tc>
        <w:tc>
          <w:tcPr>
            <w:tcW w:w="0" w:type="dxa"/>
            <w:vAlign w:val="bottom"/>
          </w:tcPr>
          <w:p>
            <w:pPr>
              <w:spacing w:after="0"/>
              <w:rPr>
                <w:sz w:val="1"/>
                <w:szCs w:val="1"/>
                <w:color w:val="auto"/>
              </w:rPr>
            </w:pPr>
          </w:p>
        </w:tc>
      </w:tr>
      <w:tr>
        <w:trPr>
          <w:trHeight w:val="239"/>
        </w:trPr>
        <w:tc>
          <w:tcPr>
            <w:tcW w:w="2580" w:type="dxa"/>
            <w:vAlign w:val="bottom"/>
            <w:tcBorders>
              <w:left w:val="single" w:sz="8" w:color="auto"/>
              <w:right w:val="single" w:sz="8" w:color="auto"/>
            </w:tcBorders>
            <w:shd w:val="clear" w:color="auto" w:fill="E2E6F4"/>
          </w:tcPr>
          <w:p>
            <w:pPr>
              <w:spacing w:after="0"/>
              <w:rPr>
                <w:sz w:val="20"/>
                <w:szCs w:val="20"/>
                <w:color w:val="auto"/>
              </w:rPr>
            </w:pP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Exchange Act.</w:t>
            </w:r>
          </w:p>
        </w:tc>
        <w:tc>
          <w:tcPr>
            <w:tcW w:w="0" w:type="dxa"/>
            <w:vAlign w:val="bottom"/>
          </w:tcPr>
          <w:p>
            <w:pPr>
              <w:spacing w:after="0"/>
              <w:rPr>
                <w:sz w:val="1"/>
                <w:szCs w:val="1"/>
                <w:color w:val="auto"/>
              </w:rPr>
            </w:pPr>
          </w:p>
        </w:tc>
      </w:tr>
      <w:tr>
        <w:trPr>
          <w:trHeight w:val="318"/>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b w:val="1"/>
                <w:bCs w:val="1"/>
                <w:color w:val="auto"/>
              </w:rPr>
              <w:t xml:space="preserve">Meetings in 2022: </w:t>
            </w:r>
            <w:r>
              <w:rPr>
                <w:rFonts w:ascii="Arial" w:cs="Arial" w:eastAsia="Arial" w:hAnsi="Arial"/>
                <w:sz w:val="18"/>
                <w:szCs w:val="18"/>
                <w:color w:val="auto"/>
              </w:rPr>
              <w:t>10</w:t>
            </w:r>
          </w:p>
        </w:tc>
        <w:tc>
          <w:tcPr>
            <w:tcW w:w="8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80" w:type="dxa"/>
            <w:vAlign w:val="bottom"/>
            <w:tcBorders>
              <w:left w:val="single" w:sz="8" w:color="auto"/>
              <w:bottom w:val="single" w:sz="8" w:color="auto"/>
              <w:right w:val="single" w:sz="8" w:color="auto"/>
            </w:tcBorders>
            <w:shd w:val="clear" w:color="auto" w:fill="E2E6F4"/>
          </w:tcPr>
          <w:p>
            <w:pPr>
              <w:spacing w:after="0"/>
              <w:rPr>
                <w:sz w:val="9"/>
                <w:szCs w:val="9"/>
                <w:color w:val="auto"/>
              </w:rPr>
            </w:pPr>
          </w:p>
        </w:tc>
        <w:tc>
          <w:tcPr>
            <w:tcW w:w="8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-1259840</wp:posOffset>
            </wp:positionV>
            <wp:extent cx="908685" cy="908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101"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Dr. Little also served on the Compensation and Talent Committee during fiscal year 2022 until his retirement from our Board of Directors in March 2022.</w:t>
      </w:r>
    </w:p>
    <w:p>
      <w:pPr>
        <w:spacing w:after="0" w:line="9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its oversight and administration of ADI’s cash and equity incentive plans, the Compensation and Talent Committee authorizes the granting of stock options, RSUs and other stock incentives (within guidelines established by our Board of Directors and in accordance with our Equity Award Grant Date Policy) to our Leadership Team, including our NEOs. In accordance with the terms of our Amended and Restated 1996 Stock Incentive Plan (which we refer to as the 1996 Plan and which we assumed in the Maxim acquisition), and our 2020 Equity Incentive Plan, which we refer to as the 2020 Plan, the Compensation and Talent Committee has delegated to a standing committee composed of our CEO, Chief Financial Officer, Chief People Officer and Chief Legal Officer the power to grant options, RSUs and other stock awards to employees who are not (i) executive officers, (ii) other senior vice presidents who report to the CEO or (iii) directors, subject to specified thresholds, parameters and applicable law. The same standing committee also has the ability to accelerate outstanding awards under the 1996 Plan, the 2020 Plan, our Amended and Restated 2006 Stock Incentive Plan, which we refer to as the 2006 Plan, and our Amended and Restated 2010 Equity Incentive Plan, which we refer to as the 2010 Plan (which we assumed when we acquired Linear Technology Corporation) granted to employees who are not (i) executive officers, (ii) other senior vice presidents who report to the CEO or (iii) directors, subject to specified thresholds, parameters and applicable law. Additionally, the Compensation and Talent Committee oversees our clawback policy, as well as any clawback policy ADI may adopt in the future.</w:t>
      </w:r>
    </w:p>
    <w:p>
      <w:pPr>
        <w:spacing w:after="0" w:line="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Compensation and Talent Committee has the authority to engage independent compensation consultants, legal counsel, and other advisors that it deems necessary or appropriate to carry out its responsibilities, taking into account the independence of those advisors. The Compensation and Talent Committee is empowered, without further action by our Board of Directors, to cause ADI to pay the compensation of those advisors as established by the Compensation and Talent Committee.</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2022, the Compensation and Talent Committee amended its charter to further expand its role to include oversight for ADI’s enterprise-level strategies and programs relating to human capital management and diversity. ADI’s approach to human capital management is wide-reaching and encompasses many facets of our business including those with respect to diversity, equity and inclusion, talent recruitment and development, retention, employee engagement, pay equity practices, workplace health and safety and cultural initiatives. Further, in December 2022, the Compensation Committee changed its name to the Compensation and Talent Committee to reflect its expanded role.</w:t>
      </w:r>
    </w:p>
    <w:p>
      <w:pPr>
        <w:spacing w:after="0" w:line="33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33</w:t>
      </w:r>
    </w:p>
    <w:p>
      <w:pPr>
        <w:sectPr>
          <w:pgSz w:w="11900" w:h="16838" w:orient="portrait"/>
          <w:cols w:equalWidth="0" w:num="1">
            <w:col w:w="11260"/>
          </w:cols>
          <w:pgMar w:left="320" w:top="1200" w:right="319" w:bottom="1440" w:gutter="0" w:footer="0" w:header="0"/>
        </w:sectPr>
      </w:pPr>
    </w:p>
    <w:bookmarkStart w:id="41" w:name="page42"/>
    <w:bookmarkEnd w:id="41"/>
    <w:p>
      <w:pPr>
        <w:spacing w:after="0" w:line="4" w:lineRule="exact"/>
        <w:rPr>
          <w:sz w:val="20"/>
          <w:szCs w:val="20"/>
          <w:color w:val="auto"/>
        </w:rPr>
      </w:pPr>
    </w:p>
    <w:p>
      <w:pPr>
        <w:ind w:left="240" w:right="240"/>
        <w:spacing w:after="0" w:line="279" w:lineRule="auto"/>
        <w:rPr>
          <w:sz w:val="20"/>
          <w:szCs w:val="20"/>
          <w:color w:val="auto"/>
        </w:rPr>
      </w:pPr>
      <w:r>
        <w:rPr>
          <w:rFonts w:ascii="Arial" w:cs="Arial" w:eastAsia="Arial" w:hAnsi="Arial"/>
          <w:sz w:val="26"/>
          <w:szCs w:val="26"/>
          <w:b w:val="1"/>
          <w:bCs w:val="1"/>
          <w:color w:val="0067B3"/>
        </w:rPr>
        <w:t>Nominating and Corporate Governance Committee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0067B3"/>
        </w:rPr>
        <w:t>James A. Champy (Chair)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André Andonian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Anantha P. Chandrakasan</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Kenton J. Sicchitano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Meetings in 2022: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67B3"/>
        </w:rPr>
        <w:t>PRINCIPAL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-191135</wp:posOffset>
            </wp:positionV>
            <wp:extent cx="7140575" cy="3094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30943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Nominating and Corporate Governance Committee are to:</w:t>
      </w:r>
    </w:p>
    <w:p>
      <w:pPr>
        <w:spacing w:after="0" w:line="63" w:lineRule="exact"/>
        <w:rPr>
          <w:sz w:val="20"/>
          <w:szCs w:val="20"/>
          <w:color w:val="auto"/>
        </w:rPr>
      </w:pPr>
    </w:p>
    <w:p>
      <w:pPr>
        <w:ind w:left="200" w:right="600" w:hanging="195"/>
        <w:spacing w:after="0" w:line="258" w:lineRule="auto"/>
        <w:tabs>
          <w:tab w:leader="none" w:pos="163"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Identify individuals qualified to become members of our Board of Directors consistent with criteria approved by the Board of Directors;</w:t>
      </w:r>
    </w:p>
    <w:p>
      <w:pPr>
        <w:ind w:left="200" w:right="460" w:hanging="195"/>
        <w:spacing w:after="0" w:line="250" w:lineRule="auto"/>
        <w:tabs>
          <w:tab w:leader="none" w:pos="163"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Recommend to the Board of Directors the persons to be nominated by the Board of Directors for election as directors at any meeting of shareholders and the persons to be elected by the Board of Directors to fill any vacancies on the Board of Directors;</w:t>
      </w:r>
    </w:p>
    <w:p>
      <w:pPr>
        <w:spacing w:after="0" w:line="1" w:lineRule="exact"/>
        <w:rPr>
          <w:rFonts w:ascii="Arial" w:cs="Arial" w:eastAsia="Arial" w:hAnsi="Arial"/>
          <w:sz w:val="18"/>
          <w:szCs w:val="18"/>
          <w:color w:val="0067B3"/>
        </w:rPr>
      </w:pPr>
    </w:p>
    <w:p>
      <w:pPr>
        <w:ind w:left="200" w:right="380" w:hanging="195"/>
        <w:spacing w:after="0" w:line="250" w:lineRule="auto"/>
        <w:tabs>
          <w:tab w:leader="none" w:pos="163"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In connection with Board of Director succession and refreshment practices, review with the Board of Directors, on an annual basis, the requisite skills and criteria for new directors as well as the composition of the Board of Directors as a whole;</w:t>
      </w:r>
    </w:p>
    <w:p>
      <w:pPr>
        <w:spacing w:after="0" w:line="1" w:lineRule="exact"/>
        <w:rPr>
          <w:rFonts w:ascii="Arial" w:cs="Arial" w:eastAsia="Arial" w:hAnsi="Arial"/>
          <w:sz w:val="18"/>
          <w:szCs w:val="18"/>
          <w:color w:val="0067B3"/>
        </w:rPr>
      </w:pPr>
    </w:p>
    <w:p>
      <w:pPr>
        <w:ind w:left="200" w:right="420" w:hanging="195"/>
        <w:spacing w:after="0" w:line="266" w:lineRule="auto"/>
        <w:tabs>
          <w:tab w:leader="none" w:pos="163"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Recommend to the Board of Directors the directors to be appointed to each committee of the Board of Directors;</w:t>
      </w:r>
    </w:p>
    <w:p>
      <w:pPr>
        <w:ind w:left="160" w:hanging="155"/>
        <w:spacing w:after="0"/>
        <w:tabs>
          <w:tab w:leader="none" w:pos="160"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Develop and recommend to the Board of Directors a set of corporate governance principles;</w:t>
      </w:r>
    </w:p>
    <w:p>
      <w:pPr>
        <w:spacing w:after="0" w:line="36" w:lineRule="exact"/>
        <w:rPr>
          <w:rFonts w:ascii="Arial" w:cs="Arial" w:eastAsia="Arial" w:hAnsi="Arial"/>
          <w:sz w:val="18"/>
          <w:szCs w:val="18"/>
          <w:color w:val="0067B3"/>
        </w:rPr>
      </w:pPr>
    </w:p>
    <w:p>
      <w:pPr>
        <w:ind w:left="200" w:right="480" w:hanging="195"/>
        <w:spacing w:after="0" w:line="266" w:lineRule="auto"/>
        <w:tabs>
          <w:tab w:leader="none" w:pos="163"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Oversee the evaluation, background, vetting, orientation, and training of the members of the Board of Directors;</w:t>
      </w:r>
    </w:p>
    <w:p>
      <w:pPr>
        <w:ind w:left="160" w:hanging="155"/>
        <w:spacing w:after="0"/>
        <w:tabs>
          <w:tab w:leader="none" w:pos="160"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Oversee our Code of Business Conduct and Ethics;</w:t>
      </w:r>
    </w:p>
    <w:p>
      <w:pPr>
        <w:spacing w:after="0" w:line="36" w:lineRule="exact"/>
        <w:rPr>
          <w:rFonts w:ascii="Arial" w:cs="Arial" w:eastAsia="Arial" w:hAnsi="Arial"/>
          <w:sz w:val="18"/>
          <w:szCs w:val="18"/>
          <w:color w:val="0067B3"/>
        </w:rPr>
      </w:pPr>
    </w:p>
    <w:p>
      <w:pPr>
        <w:ind w:left="160" w:hanging="155"/>
        <w:spacing w:after="0"/>
        <w:tabs>
          <w:tab w:leader="none" w:pos="160"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Oversee and periodically review ADI’s ESG policies, goals and programs; and</w:t>
      </w:r>
    </w:p>
    <w:p>
      <w:pPr>
        <w:spacing w:after="0" w:line="49" w:lineRule="exact"/>
        <w:rPr>
          <w:rFonts w:ascii="Arial" w:cs="Arial" w:eastAsia="Arial" w:hAnsi="Arial"/>
          <w:sz w:val="18"/>
          <w:szCs w:val="18"/>
          <w:color w:val="0067B3"/>
        </w:rPr>
      </w:pPr>
    </w:p>
    <w:p>
      <w:pPr>
        <w:ind w:left="160" w:hanging="155"/>
        <w:spacing w:after="0"/>
        <w:tabs>
          <w:tab w:leader="none" w:pos="160" w:val="left"/>
        </w:tabs>
        <w:numPr>
          <w:ilvl w:val="0"/>
          <w:numId w:val="37"/>
        </w:numPr>
        <w:rPr>
          <w:rFonts w:ascii="Arial" w:cs="Arial" w:eastAsia="Arial" w:hAnsi="Arial"/>
          <w:sz w:val="18"/>
          <w:szCs w:val="18"/>
          <w:color w:val="0067B3"/>
        </w:rPr>
      </w:pPr>
      <w:r>
        <w:rPr>
          <w:rFonts w:ascii="Arial" w:cs="Arial" w:eastAsia="Arial" w:hAnsi="Arial"/>
          <w:sz w:val="18"/>
          <w:szCs w:val="18"/>
          <w:color w:val="auto"/>
        </w:rPr>
        <w:t>Oversee risks associated with its areas of responsibility.</w:t>
      </w:r>
    </w:p>
    <w:p>
      <w:pPr>
        <w:spacing w:after="0" w:line="6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Our Board of Directors has determined that each of Messrs. Champy, Andonian, and Sicchitano and Dr. Chandrakasan is independent as defined under the Nasdaq Rules.</w:t>
      </w:r>
    </w:p>
    <w:p>
      <w:pPr>
        <w:spacing w:after="0" w:line="200" w:lineRule="exact"/>
        <w:rPr>
          <w:sz w:val="20"/>
          <w:szCs w:val="20"/>
          <w:color w:val="auto"/>
        </w:rPr>
      </w:pPr>
    </w:p>
    <w:p>
      <w:pPr>
        <w:sectPr>
          <w:pgSz w:w="11900" w:h="16838" w:orient="portrait"/>
          <w:cols w:equalWidth="0" w:num="2">
            <w:col w:w="2320" w:space="460"/>
            <w:col w:w="8480"/>
          </w:cols>
          <w:pgMar w:left="320" w:top="1349" w:right="319" w:bottom="1440" w:gutter="0" w:footer="0" w:header="0"/>
        </w:sectPr>
      </w:pPr>
    </w:p>
    <w:p>
      <w:pPr>
        <w:spacing w:after="0" w:line="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Nominating and Corporate Governance Committee has the authority to engage any independent legal and other advisors it deems necessary or appropriate to carry out its responsibilities. These independent advisors may be the regular advisors to ADI. The Nominating and Corporate Governance Committee is empowered, without further action by the Board of Directors, to cause ADI to pay the compensation of these advisors as established by the Nominating and Corporate Governance Committee. For information relating to nominations of directors by our shareholders, see </w:t>
      </w:r>
      <w:r>
        <w:rPr>
          <w:rFonts w:ascii="Arial" w:cs="Arial" w:eastAsia="Arial" w:hAnsi="Arial"/>
          <w:sz w:val="18"/>
          <w:szCs w:val="18"/>
          <w:i w:val="1"/>
          <w:iCs w:val="1"/>
          <w:color w:val="auto"/>
        </w:rPr>
        <w:t>Director Candidates</w:t>
      </w:r>
      <w:r>
        <w:rPr>
          <w:rFonts w:ascii="Arial" w:cs="Arial" w:eastAsia="Arial" w:hAnsi="Arial"/>
          <w:sz w:val="18"/>
          <w:szCs w:val="18"/>
          <w:color w:val="auto"/>
        </w:rPr>
        <w:t xml:space="preserve"> above.</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2580" w:type="dxa"/>
            <w:vAlign w:val="bottom"/>
            <w:tcBorders>
              <w:top w:val="single" w:sz="8" w:color="006098"/>
              <w:left w:val="single" w:sz="8" w:color="auto"/>
              <w:right w:val="single" w:sz="8" w:color="auto"/>
            </w:tcBorders>
            <w:vMerge w:val="restart"/>
            <w:shd w:val="clear" w:color="auto" w:fill="E2E6F4"/>
          </w:tcPr>
          <w:p>
            <w:pPr>
              <w:ind w:left="240"/>
              <w:spacing w:after="0"/>
              <w:rPr>
                <w:sz w:val="20"/>
                <w:szCs w:val="20"/>
                <w:color w:val="auto"/>
              </w:rPr>
            </w:pPr>
            <w:r>
              <w:rPr>
                <w:rFonts w:ascii="Arial" w:cs="Arial" w:eastAsia="Arial" w:hAnsi="Arial"/>
                <w:sz w:val="27"/>
                <w:szCs w:val="27"/>
                <w:b w:val="1"/>
                <w:bCs w:val="1"/>
                <w:color w:val="0067B3"/>
              </w:rPr>
              <w:t>Corporate</w:t>
            </w:r>
          </w:p>
        </w:tc>
        <w:tc>
          <w:tcPr>
            <w:tcW w:w="8680" w:type="dxa"/>
            <w:vAlign w:val="bottom"/>
            <w:tcBorders>
              <w:top w:val="single" w:sz="8" w:color="006098"/>
              <w:right w:val="single" w:sz="8" w:color="auto"/>
            </w:tcBorders>
          </w:tcPr>
          <w:p>
            <w:pPr>
              <w:ind w:left="200"/>
              <w:spacing w:after="0"/>
              <w:rPr>
                <w:sz w:val="20"/>
                <w:szCs w:val="20"/>
                <w:color w:val="auto"/>
              </w:rPr>
            </w:pPr>
            <w:r>
              <w:rPr>
                <w:rFonts w:ascii="Arial" w:cs="Arial" w:eastAsia="Arial" w:hAnsi="Arial"/>
                <w:sz w:val="15"/>
                <w:szCs w:val="15"/>
                <w:b w:val="1"/>
                <w:bCs w:val="1"/>
                <w:color w:val="0067B3"/>
              </w:rPr>
              <w:t>PRINCIPAL RESPONSIBILITIES</w:t>
            </w:r>
          </w:p>
        </w:tc>
        <w:tc>
          <w:tcPr>
            <w:tcW w:w="0" w:type="dxa"/>
            <w:vAlign w:val="bottom"/>
          </w:tcPr>
          <w:p>
            <w:pPr>
              <w:spacing w:after="0"/>
              <w:rPr>
                <w:sz w:val="1"/>
                <w:szCs w:val="1"/>
                <w:color w:val="auto"/>
              </w:rPr>
            </w:pPr>
          </w:p>
        </w:tc>
      </w:tr>
      <w:tr>
        <w:trPr>
          <w:trHeight w:val="77"/>
        </w:trPr>
        <w:tc>
          <w:tcPr>
            <w:tcW w:w="2580" w:type="dxa"/>
            <w:vAlign w:val="bottom"/>
            <w:tcBorders>
              <w:left w:val="single" w:sz="8" w:color="auto"/>
              <w:right w:val="single" w:sz="8" w:color="auto"/>
            </w:tcBorders>
            <w:vMerge w:val="continue"/>
            <w:shd w:val="clear" w:color="auto" w:fill="E2E6F4"/>
          </w:tcPr>
          <w:p>
            <w:pPr>
              <w:spacing w:after="0"/>
              <w:rPr>
                <w:sz w:val="6"/>
                <w:szCs w:val="6"/>
                <w:color w:val="auto"/>
              </w:rPr>
            </w:pPr>
          </w:p>
        </w:tc>
        <w:tc>
          <w:tcPr>
            <w:tcW w:w="86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The primary responsibility of the Corporate Development Committee is to review and make</w:t>
            </w:r>
          </w:p>
        </w:tc>
        <w:tc>
          <w:tcPr>
            <w:tcW w:w="0" w:type="dxa"/>
            <w:vAlign w:val="bottom"/>
          </w:tcPr>
          <w:p>
            <w:pPr>
              <w:spacing w:after="0"/>
              <w:rPr>
                <w:sz w:val="1"/>
                <w:szCs w:val="1"/>
                <w:color w:val="auto"/>
              </w:rPr>
            </w:pPr>
          </w:p>
        </w:tc>
      </w:tr>
      <w:tr>
        <w:trPr>
          <w:trHeight w:val="159"/>
        </w:trPr>
        <w:tc>
          <w:tcPr>
            <w:tcW w:w="2580" w:type="dxa"/>
            <w:vAlign w:val="bottom"/>
            <w:tcBorders>
              <w:left w:val="single" w:sz="8" w:color="auto"/>
              <w:right w:val="single" w:sz="8" w:color="auto"/>
            </w:tcBorders>
            <w:vMerge w:val="restart"/>
            <w:shd w:val="clear" w:color="auto" w:fill="E2E6F4"/>
          </w:tcPr>
          <w:p>
            <w:pPr>
              <w:ind w:left="240"/>
              <w:spacing w:after="0"/>
              <w:rPr>
                <w:sz w:val="20"/>
                <w:szCs w:val="20"/>
                <w:color w:val="auto"/>
              </w:rPr>
            </w:pPr>
            <w:r>
              <w:rPr>
                <w:rFonts w:ascii="Arial" w:cs="Arial" w:eastAsia="Arial" w:hAnsi="Arial"/>
                <w:sz w:val="27"/>
                <w:szCs w:val="27"/>
                <w:b w:val="1"/>
                <w:bCs w:val="1"/>
                <w:color w:val="0067B3"/>
              </w:rPr>
              <w:t>Development</w:t>
            </w:r>
          </w:p>
        </w:tc>
        <w:tc>
          <w:tcPr>
            <w:tcW w:w="86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80" w:type="dxa"/>
            <w:vAlign w:val="bottom"/>
            <w:tcBorders>
              <w:left w:val="single" w:sz="8" w:color="auto"/>
              <w:right w:val="single" w:sz="8" w:color="auto"/>
            </w:tcBorders>
            <w:vMerge w:val="continue"/>
            <w:shd w:val="clear" w:color="auto" w:fill="E2E6F4"/>
          </w:tcPr>
          <w:p>
            <w:pPr>
              <w:spacing w:after="0"/>
              <w:rPr>
                <w:sz w:val="15"/>
                <w:szCs w:val="15"/>
                <w:color w:val="auto"/>
              </w:rPr>
            </w:pPr>
          </w:p>
        </w:tc>
        <w:tc>
          <w:tcPr>
            <w:tcW w:w="8680" w:type="dxa"/>
            <w:vAlign w:val="bottom"/>
            <w:tcBorders>
              <w:right w:val="single" w:sz="8" w:color="auto"/>
            </w:tcBorders>
          </w:tcPr>
          <w:p>
            <w:pPr>
              <w:ind w:left="200"/>
              <w:spacing w:after="0" w:line="181" w:lineRule="exact"/>
              <w:rPr>
                <w:sz w:val="20"/>
                <w:szCs w:val="20"/>
                <w:color w:val="auto"/>
              </w:rPr>
            </w:pPr>
            <w:r>
              <w:rPr>
                <w:rFonts w:ascii="Arial" w:cs="Arial" w:eastAsia="Arial" w:hAnsi="Arial"/>
                <w:sz w:val="18"/>
                <w:szCs w:val="18"/>
                <w:color w:val="auto"/>
              </w:rPr>
              <w:t>recommendations to the Board of Directors at each full meeting of the Board of Directors, with respect</w:t>
            </w:r>
          </w:p>
        </w:tc>
        <w:tc>
          <w:tcPr>
            <w:tcW w:w="0" w:type="dxa"/>
            <w:vAlign w:val="bottom"/>
          </w:tcPr>
          <w:p>
            <w:pPr>
              <w:spacing w:after="0"/>
              <w:rPr>
                <w:sz w:val="1"/>
                <w:szCs w:val="1"/>
                <w:color w:val="auto"/>
              </w:rPr>
            </w:pPr>
          </w:p>
        </w:tc>
      </w:tr>
      <w:tr>
        <w:trPr>
          <w:trHeight w:val="359"/>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27"/>
                <w:szCs w:val="27"/>
                <w:b w:val="1"/>
                <w:bCs w:val="1"/>
                <w:color w:val="0067B3"/>
              </w:rPr>
              <w:t>Committee</w:t>
            </w: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70"/>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b w:val="1"/>
                <w:bCs w:val="1"/>
                <w:color w:val="auto"/>
              </w:rPr>
              <w:t>Members</w:t>
            </w:r>
          </w:p>
        </w:tc>
        <w:tc>
          <w:tcPr>
            <w:tcW w:w="8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Strategic plans, transactions and investments, including mergers, acquisitions and divestitures; and</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E2E6F4"/>
          </w:tcPr>
          <w:p>
            <w:pPr>
              <w:ind w:left="240"/>
              <w:spacing w:after="0" w:line="202" w:lineRule="exact"/>
              <w:rPr>
                <w:sz w:val="20"/>
                <w:szCs w:val="20"/>
                <w:color w:val="auto"/>
              </w:rPr>
            </w:pPr>
            <w:r>
              <w:rPr>
                <w:rFonts w:ascii="Arial" w:cs="Arial" w:eastAsia="Arial" w:hAnsi="Arial"/>
                <w:sz w:val="18"/>
                <w:szCs w:val="18"/>
                <w:color w:val="0067B3"/>
              </w:rPr>
              <w:t>Vincent Roche (Chair)</w:t>
            </w:r>
          </w:p>
        </w:tc>
        <w:tc>
          <w:tcPr>
            <w:tcW w:w="8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The results, performance and financial impact of material transactions.</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color w:val="auto"/>
              </w:rPr>
              <w:t>André Andonian</w:t>
            </w:r>
          </w:p>
        </w:tc>
        <w:tc>
          <w:tcPr>
            <w:tcW w:w="86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All matters approved by the Corporate Development Committee are recommended to and also</w:t>
            </w:r>
          </w:p>
        </w:tc>
        <w:tc>
          <w:tcPr>
            <w:tcW w:w="0" w:type="dxa"/>
            <w:vAlign w:val="bottom"/>
          </w:tcPr>
          <w:p>
            <w:pPr>
              <w:spacing w:after="0"/>
              <w:rPr>
                <w:sz w:val="1"/>
                <w:szCs w:val="1"/>
                <w:color w:val="auto"/>
              </w:rPr>
            </w:pPr>
          </w:p>
        </w:tc>
      </w:tr>
      <w:tr>
        <w:trPr>
          <w:trHeight w:val="135"/>
        </w:trPr>
        <w:tc>
          <w:tcPr>
            <w:tcW w:w="2580" w:type="dxa"/>
            <w:vAlign w:val="bottom"/>
            <w:tcBorders>
              <w:left w:val="single" w:sz="8" w:color="auto"/>
              <w:right w:val="single" w:sz="8" w:color="auto"/>
            </w:tcBorders>
            <w:vMerge w:val="restart"/>
            <w:shd w:val="clear" w:color="auto" w:fill="E2E6F4"/>
          </w:tcPr>
          <w:p>
            <w:pPr>
              <w:ind w:left="240"/>
              <w:spacing w:after="0"/>
              <w:rPr>
                <w:sz w:val="20"/>
                <w:szCs w:val="20"/>
                <w:color w:val="auto"/>
              </w:rPr>
            </w:pPr>
            <w:r>
              <w:rPr>
                <w:rFonts w:ascii="Arial" w:cs="Arial" w:eastAsia="Arial" w:hAnsi="Arial"/>
                <w:sz w:val="18"/>
                <w:szCs w:val="18"/>
                <w:color w:val="auto"/>
              </w:rPr>
              <w:t>Anantha P. Chandrakasan</w:t>
            </w:r>
          </w:p>
        </w:tc>
        <w:tc>
          <w:tcPr>
            <w:tcW w:w="8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580" w:type="dxa"/>
            <w:vAlign w:val="bottom"/>
            <w:tcBorders>
              <w:left w:val="single" w:sz="8" w:color="auto"/>
              <w:right w:val="single" w:sz="8" w:color="auto"/>
            </w:tcBorders>
            <w:vMerge w:val="continue"/>
            <w:shd w:val="clear" w:color="auto" w:fill="E2E6F4"/>
          </w:tcPr>
          <w:p>
            <w:pPr>
              <w:spacing w:after="0"/>
              <w:rPr>
                <w:sz w:val="6"/>
                <w:szCs w:val="6"/>
                <w:color w:val="auto"/>
              </w:rPr>
            </w:pPr>
          </w:p>
        </w:tc>
        <w:tc>
          <w:tcPr>
            <w:tcW w:w="86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approved by our Board of Directors.</w:t>
            </w:r>
          </w:p>
        </w:tc>
        <w:tc>
          <w:tcPr>
            <w:tcW w:w="0" w:type="dxa"/>
            <w:vAlign w:val="bottom"/>
          </w:tcPr>
          <w:p>
            <w:pPr>
              <w:spacing w:after="0"/>
              <w:rPr>
                <w:sz w:val="1"/>
                <w:szCs w:val="1"/>
                <w:color w:val="auto"/>
              </w:rPr>
            </w:pPr>
          </w:p>
        </w:tc>
      </w:tr>
      <w:tr>
        <w:trPr>
          <w:trHeight w:val="218"/>
        </w:trPr>
        <w:tc>
          <w:tcPr>
            <w:tcW w:w="2580" w:type="dxa"/>
            <w:vAlign w:val="bottom"/>
            <w:tcBorders>
              <w:left w:val="single" w:sz="8" w:color="auto"/>
              <w:right w:val="single" w:sz="8" w:color="auto"/>
            </w:tcBorders>
            <w:shd w:val="clear" w:color="auto" w:fill="E2E6F4"/>
          </w:tcPr>
          <w:p>
            <w:pPr>
              <w:ind w:left="240"/>
              <w:spacing w:after="0" w:line="219" w:lineRule="exact"/>
              <w:rPr>
                <w:sz w:val="20"/>
                <w:szCs w:val="20"/>
                <w:color w:val="auto"/>
              </w:rPr>
            </w:pPr>
            <w:r>
              <w:rPr>
                <w:rFonts w:ascii="Arial" w:cs="Arial" w:eastAsia="Arial" w:hAnsi="Arial"/>
                <w:sz w:val="18"/>
                <w:szCs w:val="18"/>
                <w:color w:val="auto"/>
              </w:rPr>
              <w:t>Bruce R. Evans</w:t>
            </w:r>
            <w:r>
              <w:rPr>
                <w:rFonts w:ascii="Arial" w:cs="Arial" w:eastAsia="Arial" w:hAnsi="Arial"/>
                <w:sz w:val="23"/>
                <w:szCs w:val="23"/>
                <w:color w:val="auto"/>
                <w:vertAlign w:val="superscript"/>
              </w:rPr>
              <w:t>(1)</w:t>
            </w:r>
          </w:p>
        </w:tc>
        <w:tc>
          <w:tcPr>
            <w:tcW w:w="86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color w:val="auto"/>
              </w:rPr>
              <w:t>Edward H. Frank</w:t>
            </w:r>
          </w:p>
        </w:tc>
        <w:tc>
          <w:tcPr>
            <w:tcW w:w="8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8"/>
        </w:trPr>
        <w:tc>
          <w:tcPr>
            <w:tcW w:w="2580" w:type="dxa"/>
            <w:vAlign w:val="bottom"/>
            <w:tcBorders>
              <w:left w:val="single" w:sz="8" w:color="auto"/>
              <w:right w:val="single" w:sz="8" w:color="auto"/>
            </w:tcBorders>
            <w:shd w:val="clear" w:color="auto" w:fill="E2E6F4"/>
          </w:tcPr>
          <w:p>
            <w:pPr>
              <w:ind w:left="240"/>
              <w:spacing w:after="0"/>
              <w:rPr>
                <w:sz w:val="20"/>
                <w:szCs w:val="20"/>
                <w:color w:val="auto"/>
              </w:rPr>
            </w:pPr>
            <w:r>
              <w:rPr>
                <w:rFonts w:ascii="Arial" w:cs="Arial" w:eastAsia="Arial" w:hAnsi="Arial"/>
                <w:sz w:val="18"/>
                <w:szCs w:val="18"/>
                <w:b w:val="1"/>
                <w:bCs w:val="1"/>
                <w:color w:val="auto"/>
              </w:rPr>
              <w:t xml:space="preserve">Meetings in 2022: </w:t>
            </w:r>
            <w:r>
              <w:rPr>
                <w:rFonts w:ascii="Arial" w:cs="Arial" w:eastAsia="Arial" w:hAnsi="Arial"/>
                <w:sz w:val="18"/>
                <w:szCs w:val="18"/>
                <w:color w:val="auto"/>
              </w:rPr>
              <w:t>6</w:t>
            </w:r>
          </w:p>
        </w:tc>
        <w:tc>
          <w:tcPr>
            <w:tcW w:w="8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80" w:type="dxa"/>
            <w:vAlign w:val="bottom"/>
            <w:tcBorders>
              <w:left w:val="single" w:sz="8" w:color="auto"/>
              <w:bottom w:val="single" w:sz="8" w:color="auto"/>
              <w:right w:val="single" w:sz="8" w:color="auto"/>
            </w:tcBorders>
            <w:shd w:val="clear" w:color="auto" w:fill="E2E6F4"/>
          </w:tcPr>
          <w:p>
            <w:pPr>
              <w:spacing w:after="0"/>
              <w:rPr>
                <w:sz w:val="9"/>
                <w:szCs w:val="9"/>
                <w:color w:val="auto"/>
              </w:rPr>
            </w:pPr>
          </w:p>
        </w:tc>
        <w:tc>
          <w:tcPr>
            <w:tcW w:w="8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-1739900</wp:posOffset>
            </wp:positionV>
            <wp:extent cx="908685" cy="1388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08685" cy="1388745"/>
                    </a:xfrm>
                    <a:prstGeom prst="rect">
                      <a:avLst/>
                    </a:prstGeom>
                    <a:noFill/>
                  </pic:spPr>
                </pic:pic>
              </a:graphicData>
            </a:graphic>
          </wp:anchor>
        </w:drawing>
      </w:r>
    </w:p>
    <w:p>
      <w:pPr>
        <w:spacing w:after="0" w:line="101"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Mr. Evans is not standing for re-election and his term on the Board of Directors will end at the Annual Meeting on March 8, 2023.</w:t>
      </w:r>
    </w:p>
    <w:p>
      <w:pPr>
        <w:spacing w:after="0" w:line="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Corporate Development Committee was established by our Board of Directors in June 2021 to assist the Board of Directors in evaluating mergers, acquisitions, divestitures, and other strategic transactions and investments.</w:t>
      </w:r>
    </w:p>
    <w:p>
      <w:pPr>
        <w:sectPr>
          <w:pgSz w:w="11900" w:h="16838" w:orient="portrait"/>
          <w:cols w:equalWidth="0" w:num="1">
            <w:col w:w="11260"/>
          </w:cols>
          <w:pgMar w:left="320" w:top="1349" w:right="319" w:bottom="1440" w:gutter="0" w:footer="0" w:header="0"/>
          <w:type w:val="continuous"/>
        </w:sect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34</w:t>
      </w:r>
    </w:p>
    <w:p>
      <w:pPr>
        <w:jc w:val="right"/>
        <w:ind w:right="9140"/>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1">
            <w:col w:w="11260"/>
          </w:cols>
          <w:pgMar w:left="320" w:top="1349" w:right="319" w:bottom="1440" w:gutter="0" w:footer="0" w:header="0"/>
          <w:type w:val="continuous"/>
        </w:sectPr>
      </w:pPr>
    </w:p>
    <w:bookmarkStart w:id="42" w:name="page43"/>
    <w:bookmarkEnd w:id="42"/>
    <w:p>
      <w:pPr>
        <w:ind w:right="340"/>
        <w:spacing w:after="0" w:line="262" w:lineRule="auto"/>
        <w:rPr>
          <w:sz w:val="20"/>
          <w:szCs w:val="20"/>
          <w:color w:val="auto"/>
        </w:rPr>
      </w:pPr>
      <w:r>
        <w:rPr>
          <w:rFonts w:ascii="Arial" w:cs="Arial" w:eastAsia="Arial" w:hAnsi="Arial"/>
          <w:sz w:val="18"/>
          <w:szCs w:val="18"/>
          <w:color w:val="auto"/>
        </w:rPr>
        <w:t>The Corporate Development Committee has the authority to engage any independent legal and other advisors it deems necessary or appropriate to carry out its responsibilities. These independent advisors may be the regular advisors to ADI. The Corporate Development Committee is empowered, without further action by the Board of Directors, to cause ADI to pay the compensation of these advisors as established by the Corporate Development Committee.</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Meetings and Attendance; Executive Sessions</w:t>
      </w:r>
    </w:p>
    <w:p>
      <w:pPr>
        <w:spacing w:after="0" w:line="318" w:lineRule="exact"/>
        <w:rPr>
          <w:sz w:val="20"/>
          <w:szCs w:val="20"/>
          <w:color w:val="auto"/>
        </w:rPr>
      </w:pPr>
    </w:p>
    <w:p>
      <w:pPr>
        <w:ind w:left="20" w:right="2340"/>
        <w:spacing w:after="0" w:line="259" w:lineRule="auto"/>
        <w:rPr>
          <w:sz w:val="20"/>
          <w:szCs w:val="20"/>
          <w:color w:val="auto"/>
        </w:rPr>
      </w:pPr>
      <w:r>
        <w:rPr>
          <w:rFonts w:ascii="Arial" w:cs="Arial" w:eastAsia="Arial" w:hAnsi="Arial"/>
          <w:sz w:val="18"/>
          <w:szCs w:val="18"/>
          <w:color w:val="auto"/>
        </w:rPr>
        <w:t>Our Board of Directors met nine times and its committees collectively held thirty meetings in fiscal year 2022 (including by telephone and video conference). During fiscal year 2022, overall attendance by incumbent directors at Board of Directors and committee meetings was 99% and each of our incumbent directors attended 96% or more of the total number of meetings of the Board of Directors and the committees on which he or she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-593725</wp:posOffset>
            </wp:positionV>
            <wp:extent cx="1097280" cy="10972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51" w:lineRule="exact"/>
        <w:rPr>
          <w:sz w:val="20"/>
          <w:szCs w:val="20"/>
          <w:color w:val="auto"/>
        </w:rPr>
      </w:pPr>
    </w:p>
    <w:p>
      <w:pPr>
        <w:ind w:left="20" w:right="2500"/>
        <w:spacing w:after="0" w:line="287" w:lineRule="auto"/>
        <w:rPr>
          <w:sz w:val="20"/>
          <w:szCs w:val="20"/>
          <w:color w:val="auto"/>
        </w:rPr>
      </w:pPr>
      <w:r>
        <w:rPr>
          <w:rFonts w:ascii="Arial" w:cs="Arial" w:eastAsia="Arial" w:hAnsi="Arial"/>
          <w:sz w:val="18"/>
          <w:szCs w:val="18"/>
          <w:color w:val="auto"/>
        </w:rPr>
        <w:t>The independent directors met in executive session without Messrs. Roche, Doluca or Stata at three Board of Directors meetings during fiscal year 2022.</w:t>
      </w:r>
    </w:p>
    <w:p>
      <w:pPr>
        <w:spacing w:after="0" w:line="45" w:lineRule="exact"/>
        <w:rPr>
          <w:sz w:val="20"/>
          <w:szCs w:val="20"/>
          <w:color w:val="auto"/>
        </w:rPr>
      </w:pPr>
    </w:p>
    <w:p>
      <w:pPr>
        <w:ind w:left="20" w:right="2300"/>
        <w:spacing w:after="0" w:line="287"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Eleven directors attended our 2022 Annual Meeting of Shareholders.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Education and Orientation Program</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encourage our directors to attend director education programs and provide educational opportunities to our directors through a variety of platforms. We reimburse the costs of attending such programs. We also provide members of our Board of Directors a membership to the National Association of Corporate Directors. Further, we include educational topics regularly at our scheduled Board of Directors’ meetings. During such sessions, an outside party presents on a topic that is relevant to our business and strategic objectives, and of interest to our Board of Directors.</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Also, all new directors participate in our director orientation program, which we significantly enhanced in fiscal year 2022 in connection with our onboarding of Mr. Andonian. This orientation program is designed to familiarize new directors with ADI and our Board of Directors, through a review of background material, meetings with senior management and facilities tours. This orientation allows new directors to become familiar with our business and strategic plan, products, technologies and end markets, corporate governance practices, compensation practices, and other key policies and practices.</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Evaluations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0" w:type="dxa"/>
            <w:vAlign w:val="bottom"/>
            <w:tcBorders>
              <w:top w:val="single" w:sz="8" w:color="0067B3"/>
              <w:left w:val="single" w:sz="8" w:color="0067B3"/>
            </w:tcBorders>
          </w:tcPr>
          <w:p>
            <w:pPr>
              <w:spacing w:after="0"/>
              <w:rPr>
                <w:sz w:val="22"/>
                <w:szCs w:val="22"/>
                <w:color w:val="auto"/>
              </w:rPr>
            </w:pPr>
          </w:p>
        </w:tc>
        <w:tc>
          <w:tcPr>
            <w:tcW w:w="2500" w:type="dxa"/>
            <w:vAlign w:val="bottom"/>
            <w:tcBorders>
              <w:top w:val="single" w:sz="8" w:color="0067B3"/>
            </w:tcBorders>
          </w:tcPr>
          <w:p>
            <w:pPr>
              <w:spacing w:after="0"/>
              <w:rPr>
                <w:sz w:val="22"/>
                <w:szCs w:val="22"/>
                <w:color w:val="auto"/>
              </w:rPr>
            </w:pPr>
          </w:p>
        </w:tc>
        <w:tc>
          <w:tcPr>
            <w:tcW w:w="240" w:type="dxa"/>
            <w:vAlign w:val="bottom"/>
            <w:tcBorders>
              <w:top w:val="single" w:sz="8" w:color="0067B3"/>
            </w:tcBorders>
          </w:tcPr>
          <w:p>
            <w:pPr>
              <w:spacing w:after="0"/>
              <w:rPr>
                <w:sz w:val="22"/>
                <w:szCs w:val="22"/>
                <w:color w:val="auto"/>
              </w:rPr>
            </w:pPr>
          </w:p>
        </w:tc>
        <w:tc>
          <w:tcPr>
            <w:tcW w:w="2520" w:type="dxa"/>
            <w:vAlign w:val="bottom"/>
            <w:tcBorders>
              <w:top w:val="single" w:sz="8" w:color="0067B3"/>
            </w:tcBorders>
          </w:tcPr>
          <w:p>
            <w:pPr>
              <w:spacing w:after="0"/>
              <w:rPr>
                <w:sz w:val="22"/>
                <w:szCs w:val="22"/>
                <w:color w:val="auto"/>
              </w:rPr>
            </w:pPr>
          </w:p>
        </w:tc>
        <w:tc>
          <w:tcPr>
            <w:tcW w:w="220" w:type="dxa"/>
            <w:vAlign w:val="bottom"/>
            <w:tcBorders>
              <w:top w:val="single" w:sz="8" w:color="0067B3"/>
            </w:tcBorders>
          </w:tcPr>
          <w:p>
            <w:pPr>
              <w:spacing w:after="0"/>
              <w:rPr>
                <w:sz w:val="22"/>
                <w:szCs w:val="22"/>
                <w:color w:val="auto"/>
              </w:rPr>
            </w:pPr>
          </w:p>
        </w:tc>
        <w:tc>
          <w:tcPr>
            <w:tcW w:w="2520" w:type="dxa"/>
            <w:vAlign w:val="bottom"/>
            <w:tcBorders>
              <w:top w:val="single" w:sz="8" w:color="0067B3"/>
            </w:tcBorders>
          </w:tcPr>
          <w:p>
            <w:pPr>
              <w:spacing w:after="0"/>
              <w:rPr>
                <w:sz w:val="22"/>
                <w:szCs w:val="22"/>
                <w:color w:val="auto"/>
              </w:rPr>
            </w:pPr>
          </w:p>
        </w:tc>
        <w:tc>
          <w:tcPr>
            <w:tcW w:w="220" w:type="dxa"/>
            <w:vAlign w:val="bottom"/>
            <w:tcBorders>
              <w:top w:val="single" w:sz="8" w:color="0067B3"/>
            </w:tcBorders>
          </w:tcPr>
          <w:p>
            <w:pPr>
              <w:spacing w:after="0"/>
              <w:rPr>
                <w:sz w:val="22"/>
                <w:szCs w:val="22"/>
                <w:color w:val="auto"/>
              </w:rPr>
            </w:pPr>
          </w:p>
        </w:tc>
        <w:tc>
          <w:tcPr>
            <w:tcW w:w="2520" w:type="dxa"/>
            <w:vAlign w:val="bottom"/>
            <w:tcBorders>
              <w:top w:val="single" w:sz="8" w:color="0067B3"/>
            </w:tcBorders>
          </w:tcPr>
          <w:p>
            <w:pPr>
              <w:spacing w:after="0"/>
              <w:rPr>
                <w:sz w:val="22"/>
                <w:szCs w:val="22"/>
                <w:color w:val="auto"/>
              </w:rPr>
            </w:pPr>
          </w:p>
        </w:tc>
        <w:tc>
          <w:tcPr>
            <w:tcW w:w="240" w:type="dxa"/>
            <w:vAlign w:val="bottom"/>
            <w:tcBorders>
              <w:top w:val="single" w:sz="8" w:color="0067B3"/>
              <w:right w:val="single" w:sz="8" w:color="0067B3"/>
            </w:tcBorders>
          </w:tcPr>
          <w:p>
            <w:pPr>
              <w:spacing w:after="0"/>
              <w:rPr>
                <w:sz w:val="22"/>
                <w:szCs w:val="22"/>
                <w:color w:val="auto"/>
              </w:rPr>
            </w:pPr>
          </w:p>
        </w:tc>
        <w:tc>
          <w:tcPr>
            <w:tcW w:w="0" w:type="dxa"/>
            <w:vAlign w:val="bottom"/>
          </w:tcPr>
          <w:p>
            <w:pPr>
              <w:spacing w:after="0"/>
              <w:rPr>
                <w:sz w:val="1"/>
                <w:szCs w:val="1"/>
                <w:color w:val="auto"/>
              </w:rPr>
            </w:pPr>
          </w:p>
        </w:tc>
      </w:tr>
      <w:tr>
        <w:trPr>
          <w:trHeight w:val="575"/>
        </w:trPr>
        <w:tc>
          <w:tcPr>
            <w:tcW w:w="220" w:type="dxa"/>
            <w:vAlign w:val="bottom"/>
            <w:tcBorders>
              <w:left w:val="single" w:sz="8" w:color="0067B3"/>
            </w:tcBorders>
          </w:tcPr>
          <w:p>
            <w:pPr>
              <w:spacing w:after="0"/>
              <w:rPr>
                <w:sz w:val="24"/>
                <w:szCs w:val="24"/>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b w:val="1"/>
                <w:bCs w:val="1"/>
                <w:color w:val="0067B3"/>
              </w:rPr>
              <w:t>Development of Annual</w:t>
            </w:r>
          </w:p>
        </w:tc>
        <w:tc>
          <w:tcPr>
            <w:tcW w:w="240" w:type="dxa"/>
            <w:vAlign w:val="bottom"/>
          </w:tcPr>
          <w:p>
            <w:pPr>
              <w:spacing w:after="0"/>
              <w:rPr>
                <w:sz w:val="24"/>
                <w:szCs w:val="24"/>
                <w:color w:val="auto"/>
              </w:rPr>
            </w:pPr>
          </w:p>
        </w:tc>
        <w:tc>
          <w:tcPr>
            <w:tcW w:w="2520" w:type="dxa"/>
            <w:vAlign w:val="bottom"/>
            <w:shd w:val="clear" w:color="auto" w:fill="E2E6F4"/>
          </w:tcPr>
          <w:p>
            <w:pPr>
              <w:ind w:left="60"/>
              <w:spacing w:after="0"/>
              <w:rPr>
                <w:sz w:val="20"/>
                <w:szCs w:val="20"/>
                <w:color w:val="auto"/>
              </w:rPr>
            </w:pPr>
            <w:r>
              <w:rPr>
                <w:rFonts w:ascii="Arial" w:cs="Arial" w:eastAsia="Arial" w:hAnsi="Arial"/>
                <w:sz w:val="18"/>
                <w:szCs w:val="18"/>
                <w:b w:val="1"/>
                <w:bCs w:val="1"/>
                <w:color w:val="0067B3"/>
              </w:rPr>
              <w:t>Written Questionnaires</w:t>
            </w:r>
          </w:p>
        </w:tc>
        <w:tc>
          <w:tcPr>
            <w:tcW w:w="220" w:type="dxa"/>
            <w:vAlign w:val="bottom"/>
          </w:tcPr>
          <w:p>
            <w:pPr>
              <w:spacing w:after="0"/>
              <w:rPr>
                <w:sz w:val="24"/>
                <w:szCs w:val="24"/>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b w:val="1"/>
                <w:bCs w:val="1"/>
                <w:color w:val="0067B3"/>
              </w:rPr>
              <w:t>One-on-One Discussions</w:t>
            </w:r>
          </w:p>
        </w:tc>
        <w:tc>
          <w:tcPr>
            <w:tcW w:w="220" w:type="dxa"/>
            <w:vAlign w:val="bottom"/>
          </w:tcPr>
          <w:p>
            <w:pPr>
              <w:spacing w:after="0"/>
              <w:rPr>
                <w:sz w:val="24"/>
                <w:szCs w:val="24"/>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b w:val="1"/>
                <w:bCs w:val="1"/>
                <w:color w:val="0067B3"/>
              </w:rPr>
              <w:t>Evaluation of Results</w:t>
            </w: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20" w:type="dxa"/>
            <w:vAlign w:val="bottom"/>
            <w:tcBorders>
              <w:left w:val="single" w:sz="8" w:color="0067B3"/>
            </w:tcBorders>
          </w:tcPr>
          <w:p>
            <w:pPr>
              <w:spacing w:after="0"/>
              <w:rPr>
                <w:sz w:val="21"/>
                <w:szCs w:val="21"/>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b w:val="1"/>
                <w:bCs w:val="1"/>
                <w:color w:val="0067B3"/>
              </w:rPr>
              <w:t>Evaluation Process</w:t>
            </w:r>
          </w:p>
        </w:tc>
        <w:tc>
          <w:tcPr>
            <w:tcW w:w="240" w:type="dxa"/>
            <w:vAlign w:val="bottom"/>
          </w:tcPr>
          <w:p>
            <w:pPr>
              <w:spacing w:after="0"/>
              <w:rPr>
                <w:sz w:val="21"/>
                <w:szCs w:val="21"/>
                <w:color w:val="auto"/>
              </w:rPr>
            </w:pPr>
          </w:p>
        </w:tc>
        <w:tc>
          <w:tcPr>
            <w:tcW w:w="2520" w:type="dxa"/>
            <w:vAlign w:val="bottom"/>
            <w:vMerge w:val="restart"/>
            <w:shd w:val="clear" w:color="auto" w:fill="E2E6F4"/>
          </w:tcPr>
          <w:p>
            <w:pPr>
              <w:ind w:left="60"/>
              <w:spacing w:after="0"/>
              <w:rPr>
                <w:sz w:val="20"/>
                <w:szCs w:val="20"/>
                <w:color w:val="auto"/>
              </w:rPr>
            </w:pPr>
            <w:r>
              <w:rPr>
                <w:rFonts w:ascii="Arial" w:cs="Arial" w:eastAsia="Arial" w:hAnsi="Arial"/>
                <w:sz w:val="18"/>
                <w:szCs w:val="18"/>
                <w:color w:val="auto"/>
              </w:rPr>
              <w:t>Each director undertakes an</w:t>
            </w:r>
          </w:p>
        </w:tc>
        <w:tc>
          <w:tcPr>
            <w:tcW w:w="220" w:type="dxa"/>
            <w:vAlign w:val="bottom"/>
          </w:tcPr>
          <w:p>
            <w:pPr>
              <w:spacing w:after="0"/>
              <w:rPr>
                <w:sz w:val="21"/>
                <w:szCs w:val="21"/>
                <w:color w:val="auto"/>
              </w:rPr>
            </w:pPr>
          </w:p>
        </w:tc>
        <w:tc>
          <w:tcPr>
            <w:tcW w:w="2520" w:type="dxa"/>
            <w:vAlign w:val="bottom"/>
            <w:vMerge w:val="restart"/>
            <w:shd w:val="clear" w:color="auto" w:fill="E2E6F4"/>
          </w:tcPr>
          <w:p>
            <w:pPr>
              <w:ind w:left="80"/>
              <w:spacing w:after="0"/>
              <w:rPr>
                <w:sz w:val="20"/>
                <w:szCs w:val="20"/>
                <w:color w:val="auto"/>
              </w:rPr>
            </w:pPr>
            <w:r>
              <w:rPr>
                <w:rFonts w:ascii="Arial" w:cs="Arial" w:eastAsia="Arial" w:hAnsi="Arial"/>
                <w:sz w:val="18"/>
                <w:szCs w:val="18"/>
                <w:color w:val="auto"/>
              </w:rPr>
              <w:t>Our Presiding Director,</w:t>
            </w:r>
          </w:p>
        </w:tc>
        <w:tc>
          <w:tcPr>
            <w:tcW w:w="220" w:type="dxa"/>
            <w:vAlign w:val="bottom"/>
          </w:tcPr>
          <w:p>
            <w:pPr>
              <w:spacing w:after="0"/>
              <w:rPr>
                <w:sz w:val="21"/>
                <w:szCs w:val="21"/>
                <w:color w:val="auto"/>
              </w:rPr>
            </w:pPr>
          </w:p>
        </w:tc>
        <w:tc>
          <w:tcPr>
            <w:tcW w:w="2520" w:type="dxa"/>
            <w:vAlign w:val="bottom"/>
            <w:vMerge w:val="restart"/>
            <w:shd w:val="clear" w:color="auto" w:fill="E2E6F4"/>
          </w:tcPr>
          <w:p>
            <w:pPr>
              <w:ind w:left="80"/>
              <w:spacing w:after="0"/>
              <w:rPr>
                <w:sz w:val="20"/>
                <w:szCs w:val="20"/>
                <w:color w:val="auto"/>
              </w:rPr>
            </w:pPr>
            <w:r>
              <w:rPr>
                <w:rFonts w:ascii="Arial" w:cs="Arial" w:eastAsia="Arial" w:hAnsi="Arial"/>
                <w:sz w:val="18"/>
                <w:szCs w:val="18"/>
                <w:color w:val="auto"/>
              </w:rPr>
              <w:t>In March of each year, our</w:t>
            </w:r>
          </w:p>
        </w:tc>
        <w:tc>
          <w:tcPr>
            <w:tcW w:w="240" w:type="dxa"/>
            <w:vAlign w:val="bottom"/>
            <w:tcBorders>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20" w:type="dxa"/>
            <w:vAlign w:val="bottom"/>
            <w:tcBorders>
              <w:left w:val="single" w:sz="8" w:color="0067B3"/>
            </w:tcBorders>
          </w:tcPr>
          <w:p>
            <w:pPr>
              <w:spacing w:after="0"/>
              <w:rPr>
                <w:sz w:val="6"/>
                <w:szCs w:val="6"/>
                <w:color w:val="auto"/>
              </w:rPr>
            </w:pPr>
          </w:p>
        </w:tc>
        <w:tc>
          <w:tcPr>
            <w:tcW w:w="2500" w:type="dxa"/>
            <w:vAlign w:val="bottom"/>
            <w:shd w:val="clear" w:color="auto" w:fill="E2E6F4"/>
          </w:tcPr>
          <w:p>
            <w:pPr>
              <w:spacing w:after="0"/>
              <w:rPr>
                <w:sz w:val="6"/>
                <w:szCs w:val="6"/>
                <w:color w:val="auto"/>
              </w:rPr>
            </w:pPr>
          </w:p>
        </w:tc>
        <w:tc>
          <w:tcPr>
            <w:tcW w:w="240" w:type="dxa"/>
            <w:vAlign w:val="bottom"/>
          </w:tcPr>
          <w:p>
            <w:pPr>
              <w:spacing w:after="0"/>
              <w:rPr>
                <w:sz w:val="6"/>
                <w:szCs w:val="6"/>
                <w:color w:val="auto"/>
              </w:rPr>
            </w:pPr>
          </w:p>
        </w:tc>
        <w:tc>
          <w:tcPr>
            <w:tcW w:w="2520" w:type="dxa"/>
            <w:vAlign w:val="bottom"/>
            <w:vMerge w:val="continue"/>
            <w:shd w:val="clear" w:color="auto" w:fill="E2E6F4"/>
          </w:tcPr>
          <w:p>
            <w:pPr>
              <w:spacing w:after="0"/>
              <w:rPr>
                <w:sz w:val="6"/>
                <w:szCs w:val="6"/>
                <w:color w:val="auto"/>
              </w:rPr>
            </w:pPr>
          </w:p>
        </w:tc>
        <w:tc>
          <w:tcPr>
            <w:tcW w:w="220" w:type="dxa"/>
            <w:vAlign w:val="bottom"/>
          </w:tcPr>
          <w:p>
            <w:pPr>
              <w:spacing w:after="0"/>
              <w:rPr>
                <w:sz w:val="6"/>
                <w:szCs w:val="6"/>
                <w:color w:val="auto"/>
              </w:rPr>
            </w:pPr>
          </w:p>
        </w:tc>
        <w:tc>
          <w:tcPr>
            <w:tcW w:w="2520" w:type="dxa"/>
            <w:vAlign w:val="bottom"/>
            <w:vMerge w:val="continue"/>
            <w:shd w:val="clear" w:color="auto" w:fill="E2E6F4"/>
          </w:tcPr>
          <w:p>
            <w:pPr>
              <w:spacing w:after="0"/>
              <w:rPr>
                <w:sz w:val="6"/>
                <w:szCs w:val="6"/>
                <w:color w:val="auto"/>
              </w:rPr>
            </w:pPr>
          </w:p>
        </w:tc>
        <w:tc>
          <w:tcPr>
            <w:tcW w:w="220" w:type="dxa"/>
            <w:vAlign w:val="bottom"/>
          </w:tcPr>
          <w:p>
            <w:pPr>
              <w:spacing w:after="0"/>
              <w:rPr>
                <w:sz w:val="6"/>
                <w:szCs w:val="6"/>
                <w:color w:val="auto"/>
              </w:rPr>
            </w:pPr>
          </w:p>
        </w:tc>
        <w:tc>
          <w:tcPr>
            <w:tcW w:w="2520" w:type="dxa"/>
            <w:vAlign w:val="bottom"/>
            <w:vMerge w:val="continue"/>
            <w:shd w:val="clear" w:color="auto" w:fill="E2E6F4"/>
          </w:tcPr>
          <w:p>
            <w:pPr>
              <w:spacing w:after="0"/>
              <w:rPr>
                <w:sz w:val="6"/>
                <w:szCs w:val="6"/>
                <w:color w:val="auto"/>
              </w:rPr>
            </w:pPr>
          </w:p>
        </w:tc>
        <w:tc>
          <w:tcPr>
            <w:tcW w:w="240" w:type="dxa"/>
            <w:vAlign w:val="bottom"/>
            <w:tcBorders>
              <w:right w:val="single" w:sz="8" w:color="0067B3"/>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Each December, our</w:t>
            </w:r>
          </w:p>
        </w:tc>
        <w:tc>
          <w:tcPr>
            <w:tcW w:w="240" w:type="dxa"/>
            <w:vAlign w:val="bottom"/>
          </w:tcPr>
          <w:p>
            <w:pPr>
              <w:spacing w:after="0"/>
              <w:rPr>
                <w:sz w:val="18"/>
                <w:szCs w:val="18"/>
                <w:color w:val="auto"/>
              </w:rPr>
            </w:pPr>
          </w:p>
        </w:tc>
        <w:tc>
          <w:tcPr>
            <w:tcW w:w="2520" w:type="dxa"/>
            <w:vAlign w:val="bottom"/>
            <w:shd w:val="clear" w:color="auto" w:fill="E2E6F4"/>
          </w:tcPr>
          <w:p>
            <w:pPr>
              <w:ind w:left="60"/>
              <w:spacing w:after="0"/>
              <w:rPr>
                <w:sz w:val="20"/>
                <w:szCs w:val="20"/>
                <w:color w:val="auto"/>
              </w:rPr>
            </w:pPr>
            <w:r>
              <w:rPr>
                <w:rFonts w:ascii="Arial" w:cs="Arial" w:eastAsia="Arial" w:hAnsi="Arial"/>
                <w:sz w:val="18"/>
                <w:szCs w:val="18"/>
                <w:color w:val="auto"/>
              </w:rPr>
              <w:t>evaluation of the Board of</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working with our Chief Legal</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Presiding Director provides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Presiding Director along with</w:t>
            </w:r>
          </w:p>
        </w:tc>
        <w:tc>
          <w:tcPr>
            <w:tcW w:w="240" w:type="dxa"/>
            <w:vAlign w:val="bottom"/>
          </w:tcPr>
          <w:p>
            <w:pPr>
              <w:spacing w:after="0"/>
              <w:rPr>
                <w:sz w:val="18"/>
                <w:szCs w:val="18"/>
                <w:color w:val="auto"/>
              </w:rPr>
            </w:pPr>
          </w:p>
        </w:tc>
        <w:tc>
          <w:tcPr>
            <w:tcW w:w="2520" w:type="dxa"/>
            <w:vAlign w:val="bottom"/>
            <w:shd w:val="clear" w:color="auto" w:fill="E2E6F4"/>
          </w:tcPr>
          <w:p>
            <w:pPr>
              <w:ind w:left="60"/>
              <w:spacing w:after="0"/>
              <w:rPr>
                <w:sz w:val="20"/>
                <w:szCs w:val="20"/>
                <w:color w:val="auto"/>
              </w:rPr>
            </w:pPr>
            <w:r>
              <w:rPr>
                <w:rFonts w:ascii="Arial" w:cs="Arial" w:eastAsia="Arial" w:hAnsi="Arial"/>
                <w:sz w:val="18"/>
                <w:szCs w:val="18"/>
                <w:color w:val="auto"/>
              </w:rPr>
              <w:t>Directors.</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Officer, also has</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summaries of the evaluations</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our CEO and Chair and our</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conversations with each</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to the Board of Directors and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Chief Legal Officer discuss</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member of our Board of</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engages in a robust</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the Board of Directors’</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Directors designed to assess</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discussion with Board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evaluation process for the</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the effectiveness of our</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members on Board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year, considering evolving</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Board of Directors, as well as</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effectiveness and</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ind w:left="80"/>
              <w:spacing w:after="0"/>
              <w:rPr>
                <w:sz w:val="20"/>
                <w:szCs w:val="20"/>
                <w:color w:val="auto"/>
              </w:rPr>
            </w:pPr>
            <w:r>
              <w:rPr>
                <w:rFonts w:ascii="Arial" w:cs="Arial" w:eastAsia="Arial" w:hAnsi="Arial"/>
                <w:sz w:val="18"/>
                <w:szCs w:val="18"/>
                <w:color w:val="auto"/>
              </w:rPr>
              <w:t>best practices.</w:t>
            </w: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competencies and skills each</w:t>
            </w: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engagement.</w:t>
            </w: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0067B3"/>
            </w:tcBorders>
          </w:tcPr>
          <w:p>
            <w:pPr>
              <w:spacing w:after="0"/>
              <w:rPr>
                <w:sz w:val="18"/>
                <w:szCs w:val="18"/>
                <w:color w:val="auto"/>
              </w:rPr>
            </w:pPr>
          </w:p>
        </w:tc>
        <w:tc>
          <w:tcPr>
            <w:tcW w:w="2500" w:type="dxa"/>
            <w:vAlign w:val="bottom"/>
            <w:shd w:val="clear" w:color="auto" w:fill="E2E6F4"/>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director brings to the Board of</w:t>
            </w:r>
          </w:p>
        </w:tc>
        <w:tc>
          <w:tcPr>
            <w:tcW w:w="220" w:type="dxa"/>
            <w:vAlign w:val="bottom"/>
          </w:tcPr>
          <w:p>
            <w:pPr>
              <w:spacing w:after="0"/>
              <w:rPr>
                <w:sz w:val="18"/>
                <w:szCs w:val="18"/>
                <w:color w:val="auto"/>
              </w:rPr>
            </w:pPr>
          </w:p>
        </w:tc>
        <w:tc>
          <w:tcPr>
            <w:tcW w:w="2520" w:type="dxa"/>
            <w:vAlign w:val="bottom"/>
            <w:shd w:val="clear" w:color="auto" w:fill="E2E6F4"/>
          </w:tcPr>
          <w:p>
            <w:pPr>
              <w:spacing w:after="0"/>
              <w:rPr>
                <w:sz w:val="18"/>
                <w:szCs w:val="18"/>
                <w:color w:val="auto"/>
              </w:rPr>
            </w:pPr>
          </w:p>
        </w:tc>
        <w:tc>
          <w:tcPr>
            <w:tcW w:w="240" w:type="dxa"/>
            <w:vAlign w:val="bottom"/>
            <w:tcBorders>
              <w:right w:val="single" w:sz="8" w:color="0067B3"/>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0067B3"/>
            </w:tcBorders>
          </w:tcPr>
          <w:p>
            <w:pPr>
              <w:spacing w:after="0"/>
              <w:rPr>
                <w:sz w:val="20"/>
                <w:szCs w:val="20"/>
                <w:color w:val="auto"/>
              </w:rPr>
            </w:pPr>
          </w:p>
        </w:tc>
        <w:tc>
          <w:tcPr>
            <w:tcW w:w="2500" w:type="dxa"/>
            <w:vAlign w:val="bottom"/>
            <w:shd w:val="clear" w:color="auto" w:fill="E2E6F4"/>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shd w:val="clear" w:color="auto" w:fill="E2E6F4"/>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shd w:val="clear" w:color="auto" w:fill="E2E6F4"/>
          </w:tcPr>
          <w:p>
            <w:pPr>
              <w:ind w:left="80"/>
              <w:spacing w:after="0"/>
              <w:rPr>
                <w:sz w:val="20"/>
                <w:szCs w:val="20"/>
                <w:color w:val="auto"/>
              </w:rPr>
            </w:pPr>
            <w:r>
              <w:rPr>
                <w:rFonts w:ascii="Arial" w:cs="Arial" w:eastAsia="Arial" w:hAnsi="Arial"/>
                <w:sz w:val="18"/>
                <w:szCs w:val="18"/>
                <w:color w:val="auto"/>
              </w:rPr>
              <w:t>Directors.</w:t>
            </w:r>
          </w:p>
        </w:tc>
        <w:tc>
          <w:tcPr>
            <w:tcW w:w="220" w:type="dxa"/>
            <w:vAlign w:val="bottom"/>
          </w:tcPr>
          <w:p>
            <w:pPr>
              <w:spacing w:after="0"/>
              <w:rPr>
                <w:sz w:val="20"/>
                <w:szCs w:val="20"/>
                <w:color w:val="auto"/>
              </w:rPr>
            </w:pPr>
          </w:p>
        </w:tc>
        <w:tc>
          <w:tcPr>
            <w:tcW w:w="2520" w:type="dxa"/>
            <w:vAlign w:val="bottom"/>
            <w:shd w:val="clear" w:color="auto" w:fill="E2E6F4"/>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20" w:type="dxa"/>
            <w:vAlign w:val="bottom"/>
            <w:tcBorders>
              <w:left w:val="single" w:sz="8" w:color="0067B3"/>
            </w:tcBorders>
          </w:tcPr>
          <w:p>
            <w:pPr>
              <w:spacing w:after="0"/>
              <w:rPr>
                <w:sz w:val="24"/>
                <w:szCs w:val="24"/>
                <w:color w:val="auto"/>
              </w:rPr>
            </w:pPr>
          </w:p>
        </w:tc>
        <w:tc>
          <w:tcPr>
            <w:tcW w:w="2500" w:type="dxa"/>
            <w:vAlign w:val="bottom"/>
            <w:shd w:val="clear" w:color="auto" w:fill="E2E6F4"/>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shd w:val="clear" w:color="auto" w:fill="E2E6F4"/>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shd w:val="clear" w:color="auto" w:fill="E2E6F4"/>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shd w:val="clear" w:color="auto" w:fill="E2E6F4"/>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tcBorders>
              <w:left w:val="single" w:sz="8" w:color="0067B3"/>
              <w:bottom w:val="single" w:sz="8" w:color="0067B3"/>
            </w:tcBorders>
          </w:tcPr>
          <w:p>
            <w:pPr>
              <w:spacing w:after="0"/>
              <w:rPr>
                <w:sz w:val="21"/>
                <w:szCs w:val="21"/>
                <w:color w:val="auto"/>
              </w:rPr>
            </w:pPr>
          </w:p>
        </w:tc>
        <w:tc>
          <w:tcPr>
            <w:tcW w:w="2500" w:type="dxa"/>
            <w:vAlign w:val="bottom"/>
            <w:tcBorders>
              <w:bottom w:val="single" w:sz="8" w:color="0067B3"/>
            </w:tcBorders>
          </w:tcPr>
          <w:p>
            <w:pPr>
              <w:spacing w:after="0"/>
              <w:rPr>
                <w:sz w:val="21"/>
                <w:szCs w:val="21"/>
                <w:color w:val="auto"/>
              </w:rPr>
            </w:pPr>
          </w:p>
        </w:tc>
        <w:tc>
          <w:tcPr>
            <w:tcW w:w="240" w:type="dxa"/>
            <w:vAlign w:val="bottom"/>
            <w:tcBorders>
              <w:bottom w:val="single" w:sz="8" w:color="0067B3"/>
            </w:tcBorders>
          </w:tcPr>
          <w:p>
            <w:pPr>
              <w:spacing w:after="0"/>
              <w:rPr>
                <w:sz w:val="21"/>
                <w:szCs w:val="21"/>
                <w:color w:val="auto"/>
              </w:rPr>
            </w:pPr>
          </w:p>
        </w:tc>
        <w:tc>
          <w:tcPr>
            <w:tcW w:w="2520" w:type="dxa"/>
            <w:vAlign w:val="bottom"/>
            <w:tcBorders>
              <w:bottom w:val="single" w:sz="8" w:color="0067B3"/>
            </w:tcBorders>
          </w:tcPr>
          <w:p>
            <w:pPr>
              <w:spacing w:after="0"/>
              <w:rPr>
                <w:sz w:val="21"/>
                <w:szCs w:val="21"/>
                <w:color w:val="auto"/>
              </w:rPr>
            </w:pPr>
          </w:p>
        </w:tc>
        <w:tc>
          <w:tcPr>
            <w:tcW w:w="220" w:type="dxa"/>
            <w:vAlign w:val="bottom"/>
            <w:tcBorders>
              <w:bottom w:val="single" w:sz="8" w:color="0067B3"/>
            </w:tcBorders>
          </w:tcPr>
          <w:p>
            <w:pPr>
              <w:spacing w:after="0"/>
              <w:rPr>
                <w:sz w:val="21"/>
                <w:szCs w:val="21"/>
                <w:color w:val="auto"/>
              </w:rPr>
            </w:pPr>
          </w:p>
        </w:tc>
        <w:tc>
          <w:tcPr>
            <w:tcW w:w="2520" w:type="dxa"/>
            <w:vAlign w:val="bottom"/>
            <w:tcBorders>
              <w:bottom w:val="single" w:sz="8" w:color="0067B3"/>
            </w:tcBorders>
          </w:tcPr>
          <w:p>
            <w:pPr>
              <w:spacing w:after="0"/>
              <w:rPr>
                <w:sz w:val="21"/>
                <w:szCs w:val="21"/>
                <w:color w:val="auto"/>
              </w:rPr>
            </w:pPr>
          </w:p>
        </w:tc>
        <w:tc>
          <w:tcPr>
            <w:tcW w:w="220" w:type="dxa"/>
            <w:vAlign w:val="bottom"/>
            <w:tcBorders>
              <w:bottom w:val="single" w:sz="8" w:color="0067B3"/>
            </w:tcBorders>
          </w:tcPr>
          <w:p>
            <w:pPr>
              <w:spacing w:after="0"/>
              <w:rPr>
                <w:sz w:val="21"/>
                <w:szCs w:val="21"/>
                <w:color w:val="auto"/>
              </w:rPr>
            </w:pPr>
          </w:p>
        </w:tc>
        <w:tc>
          <w:tcPr>
            <w:tcW w:w="2520" w:type="dxa"/>
            <w:vAlign w:val="bottom"/>
            <w:tcBorders>
              <w:bottom w:val="single" w:sz="8" w:color="0067B3"/>
            </w:tcBorders>
          </w:tcPr>
          <w:p>
            <w:pPr>
              <w:spacing w:after="0"/>
              <w:rPr>
                <w:sz w:val="21"/>
                <w:szCs w:val="21"/>
                <w:color w:val="auto"/>
              </w:rPr>
            </w:pPr>
          </w:p>
        </w:tc>
        <w:tc>
          <w:tcPr>
            <w:tcW w:w="240" w:type="dxa"/>
            <w:vAlign w:val="bottom"/>
            <w:tcBorders>
              <w:bottom w:val="single" w:sz="8" w:color="0067B3"/>
              <w:right w:val="single" w:sz="8" w:color="0067B3"/>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-1362710</wp:posOffset>
            </wp:positionV>
            <wp:extent cx="6858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-1362710</wp:posOffset>
            </wp:positionV>
            <wp:extent cx="6858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-1362710</wp:posOffset>
            </wp:positionV>
            <wp:extent cx="6858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35</w:t>
      </w:r>
    </w:p>
    <w:p>
      <w:pPr>
        <w:sectPr>
          <w:pgSz w:w="11900" w:h="16838" w:orient="portrait"/>
          <w:cols w:equalWidth="0" w:num="1">
            <w:col w:w="11220"/>
          </w:cols>
          <w:pgMar w:left="320" w:top="1174"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41"/>
          <w:szCs w:val="41"/>
          <w:b w:val="1"/>
          <w:bCs w:val="1"/>
          <w:color w:val="0067B3"/>
        </w:rPr>
        <w:t>Oversight by Our Board</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Strategic Oversight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reviews our overall performance, and its primary responsibility is to oversee the management of ADI and, in doing so,</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serve the best interests of ADI and its shareholders. The Board of Directors provides for the succession of the CEO, nominates for election at annual shareholder meetings individuals to serve as directors of ADI, and elects individuals to fill any vacancies on the Board of Directors.</w:t>
      </w:r>
    </w:p>
    <w:p>
      <w:pPr>
        <w:spacing w:after="0" w:line="236" w:lineRule="auto"/>
        <w:rPr>
          <w:sz w:val="20"/>
          <w:szCs w:val="20"/>
          <w:color w:val="auto"/>
        </w:rPr>
      </w:pPr>
      <w:r>
        <w:rPr>
          <w:rFonts w:ascii="Arial" w:cs="Arial" w:eastAsia="Arial" w:hAnsi="Arial"/>
          <w:sz w:val="18"/>
          <w:szCs w:val="18"/>
          <w:color w:val="auto"/>
        </w:rPr>
        <w:t>Our Board of Directors reviews corporate objectives and strategies, and evaluates and approves significant policies and proposed major</w:t>
      </w:r>
    </w:p>
    <w:p>
      <w:pPr>
        <w:spacing w:after="0" w:line="1"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commitments of corporate resources. It oversees ADI’s risk management programs and participates in decisions that have a potential major economic impact on ADI. Management keeps the directors informed through regular written reports and presentations at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committee meetings.</w:t>
      </w:r>
    </w:p>
    <w:p>
      <w:pPr>
        <w:spacing w:after="0" w:line="23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The following table summarizes management’s and the Board of Directors’ role in risk management and oversight. Each committee of our Board of Directors assesses risks associated with their respective areas of oversight as described under </w:t>
      </w:r>
      <w:r>
        <w:rPr>
          <w:rFonts w:ascii="Arial" w:cs="Arial" w:eastAsia="Arial" w:hAnsi="Arial"/>
          <w:sz w:val="17"/>
          <w:szCs w:val="17"/>
          <w:i w:val="1"/>
          <w:iCs w:val="1"/>
          <w:color w:val="auto"/>
        </w:rPr>
        <w:t>Board Committees</w:t>
      </w:r>
      <w:r>
        <w:rPr>
          <w:rFonts w:ascii="Arial" w:cs="Arial" w:eastAsia="Arial" w:hAnsi="Arial"/>
          <w:sz w:val="17"/>
          <w:szCs w:val="17"/>
          <w:color w:val="auto"/>
        </w:rPr>
        <w:t xml:space="preserve"> above and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table below.</w:t>
      </w:r>
    </w:p>
    <w:p>
      <w:pPr>
        <w:sectPr>
          <w:pgSz w:w="11900" w:h="16838" w:orient="portrait"/>
          <w:cols w:equalWidth="0" w:num="1">
            <w:col w:w="11220"/>
          </w:cols>
          <w:pgMar w:left="320" w:top="13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-5343525</wp:posOffset>
            </wp:positionV>
            <wp:extent cx="205740" cy="4457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4457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67B3"/>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-127635</wp:posOffset>
            </wp:positionV>
            <wp:extent cx="6283325" cy="10883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83325" cy="1088390"/>
                    </a:xfrm>
                    <a:prstGeom prst="rect">
                      <a:avLst/>
                    </a:prstGeom>
                    <a:noFill/>
                  </pic:spPr>
                </pic:pic>
              </a:graphicData>
            </a:graphic>
          </wp:anchor>
        </w:drawing>
      </w:r>
    </w:p>
    <w:p>
      <w:pPr>
        <w:spacing w:after="0" w:line="67" w:lineRule="exact"/>
        <w:rPr>
          <w:sz w:val="20"/>
          <w:szCs w:val="20"/>
          <w:color w:val="auto"/>
        </w:rPr>
      </w:pPr>
    </w:p>
    <w:p>
      <w:pPr>
        <w:ind w:left="540" w:right="840" w:hanging="203"/>
        <w:spacing w:after="0" w:line="244" w:lineRule="auto"/>
        <w:tabs>
          <w:tab w:leader="none" w:pos="509" w:val="left"/>
        </w:tabs>
        <w:numPr>
          <w:ilvl w:val="0"/>
          <w:numId w:val="39"/>
        </w:numPr>
        <w:rPr>
          <w:rFonts w:ascii="Arial" w:cs="Arial" w:eastAsia="Arial" w:hAnsi="Arial"/>
          <w:sz w:val="17"/>
          <w:szCs w:val="17"/>
          <w:color w:val="0067B3"/>
        </w:rPr>
      </w:pPr>
      <w:r>
        <w:rPr>
          <w:rFonts w:ascii="Arial" w:cs="Arial" w:eastAsia="Arial" w:hAnsi="Arial"/>
          <w:sz w:val="17"/>
          <w:szCs w:val="17"/>
          <w:color w:val="auto"/>
        </w:rPr>
        <w:t>Receives regular reports from members of senior management on areas of material risk to ADI. Specifically, our Chief Risk Officer, who oversees internal enterprise risk management programs and chairs our Enterprise Risk Management Committee, provides regular reports to our full Board of Directors regarding our management of all enterprise and operational risks and our enterprise risk management program, with periodic updates on focus areas, such as cybersecurity.</w:t>
      </w:r>
    </w:p>
    <w:p>
      <w:pPr>
        <w:spacing w:after="0" w:line="1" w:lineRule="exact"/>
        <w:rPr>
          <w:rFonts w:ascii="Arial" w:cs="Arial" w:eastAsia="Arial" w:hAnsi="Arial"/>
          <w:sz w:val="17"/>
          <w:szCs w:val="17"/>
          <w:color w:val="0067B3"/>
        </w:rPr>
      </w:pPr>
    </w:p>
    <w:p>
      <w:pPr>
        <w:ind w:left="540" w:right="1220" w:hanging="203"/>
        <w:spacing w:after="0" w:line="249" w:lineRule="auto"/>
        <w:tabs>
          <w:tab w:leader="none" w:pos="509" w:val="left"/>
        </w:tabs>
        <w:numPr>
          <w:ilvl w:val="0"/>
          <w:numId w:val="39"/>
        </w:numPr>
        <w:rPr>
          <w:rFonts w:ascii="Arial" w:cs="Arial" w:eastAsia="Arial" w:hAnsi="Arial"/>
          <w:sz w:val="17"/>
          <w:szCs w:val="17"/>
          <w:color w:val="0067B3"/>
        </w:rPr>
      </w:pPr>
      <w:r>
        <w:rPr>
          <w:rFonts w:ascii="Arial" w:cs="Arial" w:eastAsia="Arial" w:hAnsi="Arial"/>
          <w:sz w:val="17"/>
          <w:szCs w:val="17"/>
          <w:color w:val="auto"/>
        </w:rPr>
        <w:t>Receives regular updates from our Audit Committee, Compensation and Talent Committee, Corporate Development Committee and Nominating and Corporate Governance Committee, which provide our Board of Directors with thorough insight about how ADI manages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-620395</wp:posOffset>
            </wp:positionV>
            <wp:extent cx="6926580" cy="45523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6580" cy="45523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-620395</wp:posOffset>
            </wp:positionV>
            <wp:extent cx="6926580" cy="4552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6580" cy="455231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67B3"/>
        </w:rPr>
        <w:t>AUDIT COMMITTEE</w:t>
      </w:r>
    </w:p>
    <w:p>
      <w:pPr>
        <w:spacing w:after="0" w:line="100" w:lineRule="exact"/>
        <w:rPr>
          <w:sz w:val="20"/>
          <w:szCs w:val="20"/>
          <w:color w:val="auto"/>
        </w:rPr>
      </w:pPr>
    </w:p>
    <w:p>
      <w:pPr>
        <w:ind w:left="540" w:right="920" w:hanging="189"/>
        <w:spacing w:after="0" w:line="249" w:lineRule="auto"/>
        <w:tabs>
          <w:tab w:leader="none" w:pos="503" w:val="left"/>
        </w:tabs>
        <w:numPr>
          <w:ilvl w:val="0"/>
          <w:numId w:val="40"/>
        </w:numPr>
        <w:rPr>
          <w:rFonts w:ascii="Arial" w:cs="Arial" w:eastAsia="Arial" w:hAnsi="Arial"/>
          <w:sz w:val="18"/>
          <w:szCs w:val="18"/>
          <w:color w:val="0067B3"/>
        </w:rPr>
      </w:pPr>
      <w:r>
        <w:rPr>
          <w:rFonts w:ascii="Arial" w:cs="Arial" w:eastAsia="Arial" w:hAnsi="Arial"/>
          <w:sz w:val="17"/>
          <w:szCs w:val="17"/>
          <w:color w:val="auto"/>
        </w:rPr>
        <w:t>Has oversight responsibility with respect to ADI’s risk assessment and risk management programs, especially as they apply to ADI’s financial statement integrity and reporting and internal controls.</w:t>
      </w:r>
    </w:p>
    <w:p>
      <w:pPr>
        <w:ind w:left="520" w:hanging="169"/>
        <w:spacing w:after="0"/>
        <w:tabs>
          <w:tab w:leader="none" w:pos="520" w:val="left"/>
        </w:tabs>
        <w:numPr>
          <w:ilvl w:val="0"/>
          <w:numId w:val="40"/>
        </w:numPr>
        <w:rPr>
          <w:rFonts w:ascii="Arial" w:cs="Arial" w:eastAsia="Arial" w:hAnsi="Arial"/>
          <w:sz w:val="17"/>
          <w:szCs w:val="17"/>
          <w:color w:val="0067B3"/>
        </w:rPr>
      </w:pPr>
      <w:r>
        <w:rPr>
          <w:rFonts w:ascii="Arial" w:cs="Arial" w:eastAsia="Arial" w:hAnsi="Arial"/>
          <w:sz w:val="17"/>
          <w:szCs w:val="17"/>
          <w:color w:val="auto"/>
        </w:rPr>
        <w:t>Receives regular reports from our Director of Internal Audit on internal audit matters and from our Chief Risk Officer 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-15240</wp:posOffset>
            </wp:positionV>
            <wp:extent cx="6858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-15240</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-15240</wp:posOffset>
            </wp:positionV>
            <wp:extent cx="6858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-15240</wp:posOffset>
            </wp:positionV>
            <wp:extent cx="6858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management matters.</w:t>
      </w:r>
    </w:p>
    <w:p>
      <w:pPr>
        <w:spacing w:after="0" w:line="13" w:lineRule="exact"/>
        <w:rPr>
          <w:sz w:val="20"/>
          <w:szCs w:val="20"/>
          <w:color w:val="auto"/>
        </w:rPr>
      </w:pPr>
    </w:p>
    <w:p>
      <w:pPr>
        <w:ind w:left="540" w:right="1040" w:hanging="189"/>
        <w:spacing w:after="0" w:line="251" w:lineRule="auto"/>
        <w:tabs>
          <w:tab w:leader="none" w:pos="509" w:val="left"/>
        </w:tabs>
        <w:numPr>
          <w:ilvl w:val="0"/>
          <w:numId w:val="41"/>
        </w:numPr>
        <w:rPr>
          <w:rFonts w:ascii="Arial" w:cs="Arial" w:eastAsia="Arial" w:hAnsi="Arial"/>
          <w:sz w:val="17"/>
          <w:szCs w:val="17"/>
          <w:color w:val="0067B3"/>
        </w:rPr>
      </w:pPr>
      <w:r>
        <w:rPr>
          <w:rFonts w:ascii="Arial" w:cs="Arial" w:eastAsia="Arial" w:hAnsi="Arial"/>
          <w:sz w:val="17"/>
          <w:szCs w:val="17"/>
          <w:color w:val="auto"/>
        </w:rPr>
        <w:t>Receives quarterly reports from our Chief Information Officer on information security and technology and from our head of compliance regarding data privacy and protection.</w:t>
      </w:r>
    </w:p>
    <w:p>
      <w:pPr>
        <w:ind w:left="540" w:right="820" w:hanging="189"/>
        <w:spacing w:after="0" w:line="267" w:lineRule="auto"/>
        <w:tabs>
          <w:tab w:leader="none" w:pos="509" w:val="left"/>
        </w:tabs>
        <w:numPr>
          <w:ilvl w:val="0"/>
          <w:numId w:val="41"/>
        </w:numPr>
        <w:rPr>
          <w:rFonts w:ascii="Arial" w:cs="Arial" w:eastAsia="Arial" w:hAnsi="Arial"/>
          <w:sz w:val="17"/>
          <w:szCs w:val="17"/>
          <w:color w:val="0067B3"/>
        </w:rPr>
      </w:pPr>
      <w:r>
        <w:rPr>
          <w:rFonts w:ascii="Arial" w:cs="Arial" w:eastAsia="Arial" w:hAnsi="Arial"/>
          <w:sz w:val="17"/>
          <w:szCs w:val="17"/>
          <w:color w:val="auto"/>
        </w:rPr>
        <w:t>Evaluates capital allocation and structure, including potential issuance of debt and equity securities, credit agreements, other financial instruments, investment policy, dividends, stock splits and 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80645</wp:posOffset>
            </wp:positionV>
            <wp:extent cx="6292215" cy="651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651510"/>
                    </a:xfrm>
                    <a:prstGeom prst="rect">
                      <a:avLst/>
                    </a:prstGeom>
                    <a:noFill/>
                  </pic:spPr>
                </pic:pic>
              </a:graphicData>
            </a:graphic>
          </wp:anchor>
        </w:drawing>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67B3"/>
        </w:rPr>
        <w:t>COMPENSATION AND TALENT COMMITTEE</w:t>
      </w:r>
    </w:p>
    <w:p>
      <w:pPr>
        <w:spacing w:after="0" w:line="87" w:lineRule="exact"/>
        <w:rPr>
          <w:sz w:val="20"/>
          <w:szCs w:val="20"/>
          <w:color w:val="auto"/>
        </w:rPr>
      </w:pPr>
    </w:p>
    <w:p>
      <w:pPr>
        <w:ind w:left="520" w:hanging="169"/>
        <w:spacing w:after="0"/>
        <w:tabs>
          <w:tab w:leader="none" w:pos="520" w:val="left"/>
        </w:tabs>
        <w:numPr>
          <w:ilvl w:val="0"/>
          <w:numId w:val="42"/>
        </w:numPr>
        <w:rPr>
          <w:rFonts w:ascii="Arial" w:cs="Arial" w:eastAsia="Arial" w:hAnsi="Arial"/>
          <w:sz w:val="17"/>
          <w:szCs w:val="17"/>
          <w:color w:val="0067B3"/>
        </w:rPr>
      </w:pPr>
      <w:r>
        <w:rPr>
          <w:rFonts w:ascii="Arial" w:cs="Arial" w:eastAsia="Arial" w:hAnsi="Arial"/>
          <w:sz w:val="17"/>
          <w:szCs w:val="17"/>
          <w:color w:val="auto"/>
        </w:rPr>
        <w:t>Oversees ADI’s executive compensation program and non-executive director compensation practices.</w:t>
      </w:r>
    </w:p>
    <w:p>
      <w:pPr>
        <w:spacing w:after="0" w:line="34" w:lineRule="exact"/>
        <w:rPr>
          <w:rFonts w:ascii="Arial" w:cs="Arial" w:eastAsia="Arial" w:hAnsi="Arial"/>
          <w:sz w:val="17"/>
          <w:szCs w:val="17"/>
          <w:color w:val="0067B3"/>
        </w:rPr>
      </w:pPr>
    </w:p>
    <w:p>
      <w:pPr>
        <w:ind w:left="520" w:hanging="169"/>
        <w:spacing w:after="0"/>
        <w:tabs>
          <w:tab w:leader="none" w:pos="520" w:val="left"/>
        </w:tabs>
        <w:numPr>
          <w:ilvl w:val="0"/>
          <w:numId w:val="42"/>
        </w:numPr>
        <w:rPr>
          <w:rFonts w:ascii="Arial" w:cs="Arial" w:eastAsia="Arial" w:hAnsi="Arial"/>
          <w:sz w:val="17"/>
          <w:szCs w:val="17"/>
          <w:color w:val="0067B3"/>
        </w:rPr>
      </w:pPr>
      <w:r>
        <w:rPr>
          <w:rFonts w:ascii="Arial" w:cs="Arial" w:eastAsia="Arial" w:hAnsi="Arial"/>
          <w:sz w:val="17"/>
          <w:szCs w:val="17"/>
          <w:color w:val="auto"/>
        </w:rPr>
        <w:t>Oversees ADI’s policies, strategies and programs relating to human capital management.</w:t>
      </w:r>
    </w:p>
    <w:p>
      <w:pPr>
        <w:spacing w:after="0" w:line="34" w:lineRule="exact"/>
        <w:rPr>
          <w:rFonts w:ascii="Arial" w:cs="Arial" w:eastAsia="Arial" w:hAnsi="Arial"/>
          <w:sz w:val="17"/>
          <w:szCs w:val="17"/>
          <w:color w:val="0067B3"/>
        </w:rPr>
      </w:pPr>
    </w:p>
    <w:p>
      <w:pPr>
        <w:ind w:left="520" w:hanging="169"/>
        <w:spacing w:after="0"/>
        <w:tabs>
          <w:tab w:leader="none" w:pos="520" w:val="left"/>
        </w:tabs>
        <w:numPr>
          <w:ilvl w:val="0"/>
          <w:numId w:val="42"/>
        </w:numPr>
        <w:rPr>
          <w:rFonts w:ascii="Arial" w:cs="Arial" w:eastAsia="Arial" w:hAnsi="Arial"/>
          <w:sz w:val="17"/>
          <w:szCs w:val="17"/>
          <w:color w:val="0067B3"/>
        </w:rPr>
      </w:pPr>
      <w:r>
        <w:rPr>
          <w:rFonts w:ascii="Arial" w:cs="Arial" w:eastAsia="Arial" w:hAnsi="Arial"/>
          <w:sz w:val="17"/>
          <w:szCs w:val="17"/>
          <w:color w:val="auto"/>
        </w:rPr>
        <w:t>Oversees the evaluation and succession planning and development programs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95885</wp:posOffset>
            </wp:positionV>
            <wp:extent cx="6292215" cy="7543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75438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-349250</wp:posOffset>
            </wp:positionV>
            <wp:extent cx="6858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-349250</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-349250</wp:posOffset>
            </wp:positionV>
            <wp:extent cx="68580"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-349250</wp:posOffset>
            </wp:positionV>
            <wp:extent cx="68580" cy="1111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67B3"/>
        </w:rPr>
        <w:t>NOMINATING AND CORPORATE GOVERNANCE COMMITTEE</w:t>
      </w:r>
    </w:p>
    <w:p>
      <w:pPr>
        <w:spacing w:after="0" w:line="87" w:lineRule="exact"/>
        <w:rPr>
          <w:sz w:val="20"/>
          <w:szCs w:val="20"/>
          <w:color w:val="auto"/>
        </w:rPr>
      </w:pPr>
    </w:p>
    <w:p>
      <w:pPr>
        <w:ind w:left="520" w:hanging="169"/>
        <w:spacing w:after="0"/>
        <w:tabs>
          <w:tab w:leader="none" w:pos="520" w:val="left"/>
        </w:tabs>
        <w:numPr>
          <w:ilvl w:val="0"/>
          <w:numId w:val="43"/>
        </w:numPr>
        <w:rPr>
          <w:rFonts w:ascii="Arial" w:cs="Arial" w:eastAsia="Arial" w:hAnsi="Arial"/>
          <w:sz w:val="17"/>
          <w:szCs w:val="17"/>
          <w:color w:val="0067B3"/>
        </w:rPr>
      </w:pPr>
      <w:r>
        <w:rPr>
          <w:rFonts w:ascii="Arial" w:cs="Arial" w:eastAsia="Arial" w:hAnsi="Arial"/>
          <w:sz w:val="17"/>
          <w:szCs w:val="17"/>
          <w:color w:val="auto"/>
        </w:rPr>
        <w:t>Leads the Board of Directors with respect to the adequacy of ADI’s governance structure and process of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-6350</wp:posOffset>
            </wp:positionV>
            <wp:extent cx="6858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-6350</wp:posOffset>
            </wp:positionV>
            <wp:extent cx="6858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-6350</wp:posOffset>
            </wp:positionV>
            <wp:extent cx="68580"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-6350</wp:posOffset>
            </wp:positionV>
            <wp:extent cx="68580"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for our Board of Directors.</w:t>
      </w:r>
    </w:p>
    <w:p>
      <w:pPr>
        <w:spacing w:after="0" w:line="18" w:lineRule="exact"/>
        <w:rPr>
          <w:sz w:val="20"/>
          <w:szCs w:val="20"/>
          <w:color w:val="auto"/>
        </w:rPr>
      </w:pPr>
    </w:p>
    <w:p>
      <w:pPr>
        <w:ind w:left="540" w:right="940" w:hanging="189"/>
        <w:spacing w:after="0" w:line="267" w:lineRule="auto"/>
        <w:tabs>
          <w:tab w:leader="none" w:pos="509" w:val="left"/>
        </w:tabs>
        <w:numPr>
          <w:ilvl w:val="0"/>
          <w:numId w:val="44"/>
        </w:numPr>
        <w:rPr>
          <w:rFonts w:ascii="Arial" w:cs="Arial" w:eastAsia="Arial" w:hAnsi="Arial"/>
          <w:sz w:val="17"/>
          <w:szCs w:val="17"/>
          <w:color w:val="0067B3"/>
        </w:rPr>
      </w:pPr>
      <w:r>
        <w:rPr>
          <w:rFonts w:ascii="Arial" w:cs="Arial" w:eastAsia="Arial" w:hAnsi="Arial"/>
          <w:sz w:val="17"/>
          <w:szCs w:val="17"/>
          <w:color w:val="auto"/>
        </w:rPr>
        <w:t>Oversees ADI’s ESG programs, including reviewing ADI’s sustainability initiatives and goals as well as our progress toward achieving those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72390</wp:posOffset>
            </wp:positionV>
            <wp:extent cx="6292215" cy="377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377190"/>
                    </a:xfrm>
                    <a:prstGeom prst="rect">
                      <a:avLst/>
                    </a:prstGeom>
                    <a:noFill/>
                  </pic:spPr>
                </pic:pic>
              </a:graphicData>
            </a:graphic>
          </wp:anchor>
        </w:drawing>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67B3"/>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-41910</wp:posOffset>
            </wp:positionV>
            <wp:extent cx="6858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-41910</wp:posOffset>
            </wp:positionV>
            <wp:extent cx="6858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-41910</wp:posOffset>
            </wp:positionV>
            <wp:extent cx="68580"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-41910</wp:posOffset>
            </wp:positionV>
            <wp:extent cx="68580" cy="1111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67" w:lineRule="exact"/>
        <w:rPr>
          <w:sz w:val="20"/>
          <w:szCs w:val="20"/>
          <w:color w:val="auto"/>
        </w:rPr>
      </w:pPr>
    </w:p>
    <w:p>
      <w:pPr>
        <w:ind w:left="520" w:hanging="169"/>
        <w:spacing w:after="0"/>
        <w:tabs>
          <w:tab w:leader="none" w:pos="520" w:val="left"/>
        </w:tabs>
        <w:numPr>
          <w:ilvl w:val="0"/>
          <w:numId w:val="45"/>
        </w:numPr>
        <w:rPr>
          <w:rFonts w:ascii="Arial" w:cs="Arial" w:eastAsia="Arial" w:hAnsi="Arial"/>
          <w:sz w:val="17"/>
          <w:szCs w:val="17"/>
          <w:color w:val="0067B3"/>
        </w:rPr>
      </w:pPr>
      <w:r>
        <w:rPr>
          <w:rFonts w:ascii="Arial" w:cs="Arial" w:eastAsia="Arial" w:hAnsi="Arial"/>
          <w:sz w:val="17"/>
          <w:szCs w:val="17"/>
          <w:color w:val="auto"/>
        </w:rPr>
        <w:t>Evaluates strategic plans, transactions, and investments, including mergers, acquisitions and divestitures.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67B3"/>
        </w:rPr>
        <w:t>LEADERSHIP TEAM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-127635</wp:posOffset>
            </wp:positionV>
            <wp:extent cx="6283325" cy="11144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83325" cy="1114425"/>
                    </a:xfrm>
                    <a:prstGeom prst="rect">
                      <a:avLst/>
                    </a:prstGeom>
                    <a:noFill/>
                  </pic:spPr>
                </pic:pic>
              </a:graphicData>
            </a:graphic>
          </wp:anchor>
        </w:drawing>
      </w:r>
    </w:p>
    <w:p>
      <w:pPr>
        <w:spacing w:after="0" w:line="67" w:lineRule="exact"/>
        <w:rPr>
          <w:sz w:val="20"/>
          <w:szCs w:val="20"/>
          <w:color w:val="auto"/>
        </w:rPr>
      </w:pPr>
    </w:p>
    <w:p>
      <w:pPr>
        <w:ind w:left="540" w:right="880" w:hanging="203"/>
        <w:spacing w:after="0" w:line="241" w:lineRule="auto"/>
        <w:tabs>
          <w:tab w:leader="none" w:pos="509" w:val="left"/>
        </w:tabs>
        <w:numPr>
          <w:ilvl w:val="0"/>
          <w:numId w:val="46"/>
        </w:numPr>
        <w:rPr>
          <w:rFonts w:ascii="Arial" w:cs="Arial" w:eastAsia="Arial" w:hAnsi="Arial"/>
          <w:sz w:val="17"/>
          <w:szCs w:val="17"/>
          <w:color w:val="0067B3"/>
        </w:rPr>
      </w:pPr>
      <w:r>
        <w:rPr>
          <w:rFonts w:ascii="Arial" w:cs="Arial" w:eastAsia="Arial" w:hAnsi="Arial"/>
          <w:sz w:val="17"/>
          <w:szCs w:val="17"/>
          <w:color w:val="auto"/>
        </w:rPr>
        <w:t>Our Leadership Team and our CEO and Chair have ownership for risk management and risk governance is managed by our Enterprise Risk Management Committee, a management-led, cross-functional committee, which is chaired by our Chief</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-93980</wp:posOffset>
            </wp:positionV>
            <wp:extent cx="6858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000000"/>
                        </a:clrFrom>
                        <a:clrTo>
                          <a:srgbClr val="000000">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-93980</wp:posOffset>
            </wp:positionV>
            <wp:extent cx="6858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-85090</wp:posOffset>
            </wp:positionV>
            <wp:extent cx="6858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000000"/>
                        </a:clrFrom>
                        <a:clrTo>
                          <a:srgbClr val="000000">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-85090</wp:posOffset>
            </wp:positionV>
            <wp:extent cx="68580" cy="111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ind w:left="540" w:right="1260" w:hanging="203"/>
        <w:spacing w:after="0" w:line="253" w:lineRule="auto"/>
        <w:tabs>
          <w:tab w:leader="none" w:pos="509" w:val="left"/>
        </w:tabs>
        <w:numPr>
          <w:ilvl w:val="0"/>
          <w:numId w:val="47"/>
        </w:numPr>
        <w:rPr>
          <w:rFonts w:ascii="Arial" w:cs="Arial" w:eastAsia="Arial" w:hAnsi="Arial"/>
          <w:sz w:val="17"/>
          <w:szCs w:val="17"/>
          <w:color w:val="0067B3"/>
        </w:rPr>
      </w:pPr>
      <w:r>
        <w:rPr>
          <w:rFonts w:ascii="Arial" w:cs="Arial" w:eastAsia="Arial" w:hAnsi="Arial"/>
          <w:sz w:val="17"/>
          <w:szCs w:val="17"/>
          <w:color w:val="auto"/>
        </w:rPr>
        <w:t>Our Enterprise Risk Management Committee works closely with our Leadership Team, including our CEO and Chair, to identify and mitigate identified risks.</w:t>
      </w:r>
    </w:p>
    <w:p>
      <w:pPr>
        <w:spacing w:after="0" w:line="1" w:lineRule="exact"/>
        <w:rPr>
          <w:rFonts w:ascii="Arial" w:cs="Arial" w:eastAsia="Arial" w:hAnsi="Arial"/>
          <w:sz w:val="17"/>
          <w:szCs w:val="17"/>
          <w:color w:val="0067B3"/>
        </w:rPr>
      </w:pPr>
    </w:p>
    <w:p>
      <w:pPr>
        <w:ind w:left="540" w:right="820" w:hanging="203"/>
        <w:spacing w:after="0" w:line="257" w:lineRule="auto"/>
        <w:tabs>
          <w:tab w:leader="none" w:pos="509" w:val="left"/>
        </w:tabs>
        <w:numPr>
          <w:ilvl w:val="0"/>
          <w:numId w:val="47"/>
        </w:numPr>
        <w:rPr>
          <w:rFonts w:ascii="Arial" w:cs="Arial" w:eastAsia="Arial" w:hAnsi="Arial"/>
          <w:sz w:val="17"/>
          <w:szCs w:val="17"/>
          <w:color w:val="0067B3"/>
        </w:rPr>
      </w:pPr>
      <w:r>
        <w:rPr>
          <w:rFonts w:ascii="Arial" w:cs="Arial" w:eastAsia="Arial" w:hAnsi="Arial"/>
          <w:sz w:val="17"/>
          <w:szCs w:val="17"/>
          <w:color w:val="auto"/>
        </w:rPr>
        <w:t>Our Chief Risk Officer, and other members of management, report to the Board of Directors (or the appropriate committee as appropriate) regarding risk identification, management and mitigation strategies.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2">
            <w:col w:w="240" w:space="240"/>
            <w:col w:w="10740"/>
          </w:cols>
          <w:pgMar w:left="320" w:top="1356"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Enterprise Risk Management Process</w:t>
      </w:r>
    </w:p>
    <w:p>
      <w:pPr>
        <w:spacing w:after="0" w:line="1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Enterprise Risk Management Program defines how we identify, manage and govern risk throughout our organization to promote the achievement of our financial and operational goals in a compliant manner. It assigns accountability for risk management to every business unit, based on the risks they encounter as part of their day-to-day operations. Our CEO and Chair and Leadership Team has ultimate responsibility for our Enterprise Risk Management Process and output.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72390</wp:posOffset>
            </wp:positionV>
            <wp:extent cx="609473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9473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329565</wp:posOffset>
            </wp:positionV>
            <wp:extent cx="111125"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329565</wp:posOffset>
            </wp:positionV>
            <wp:extent cx="11176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329565</wp:posOffset>
            </wp:positionV>
            <wp:extent cx="11176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329565</wp:posOffset>
            </wp:positionV>
            <wp:extent cx="111125"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329565</wp:posOffset>
            </wp:positionV>
            <wp:extent cx="11176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329565</wp:posOffset>
            </wp:positionV>
            <wp:extent cx="111125"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520" w:type="dxa"/>
            <w:vAlign w:val="bottom"/>
            <w:tcBorders>
              <w:top w:val="single" w:sz="8" w:color="CAD3EC"/>
            </w:tcBorders>
            <w:shd w:val="clear" w:color="auto" w:fill="CAD3EC"/>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16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820" w:type="dxa"/>
            <w:vAlign w:val="bottom"/>
            <w:tcBorders>
              <w:top w:val="single" w:sz="8" w:color="0067B3"/>
              <w:right w:val="single" w:sz="8" w:color="0067B3"/>
            </w:tcBorders>
          </w:tcPr>
          <w:p>
            <w:pPr>
              <w:spacing w:after="0"/>
              <w:rPr>
                <w:sz w:val="24"/>
                <w:szCs w:val="24"/>
                <w:color w:val="auto"/>
              </w:rPr>
            </w:pPr>
          </w:p>
        </w:tc>
        <w:tc>
          <w:tcPr>
            <w:tcW w:w="220" w:type="dxa"/>
            <w:vAlign w:val="bottom"/>
            <w:tcBorders>
              <w:right w:val="single" w:sz="8" w:color="0067B3"/>
            </w:tcBorders>
          </w:tcPr>
          <w:p>
            <w:pPr>
              <w:spacing w:after="0"/>
              <w:rPr>
                <w:sz w:val="24"/>
                <w:szCs w:val="24"/>
                <w:color w:val="auto"/>
              </w:rPr>
            </w:pPr>
          </w:p>
        </w:tc>
        <w:tc>
          <w:tcPr>
            <w:tcW w:w="1700" w:type="dxa"/>
            <w:vAlign w:val="bottom"/>
            <w:tcBorders>
              <w:top w:val="single" w:sz="8" w:color="0067B3"/>
              <w:right w:val="single" w:sz="8" w:color="0067B3"/>
            </w:tcBorders>
          </w:tcPr>
          <w:p>
            <w:pPr>
              <w:spacing w:after="0"/>
              <w:rPr>
                <w:sz w:val="24"/>
                <w:szCs w:val="24"/>
                <w:color w:val="auto"/>
              </w:rPr>
            </w:pPr>
          </w:p>
        </w:tc>
        <w:tc>
          <w:tcPr>
            <w:tcW w:w="240" w:type="dxa"/>
            <w:vAlign w:val="bottom"/>
            <w:tcBorders>
              <w:right w:val="single" w:sz="8" w:color="0067B3"/>
            </w:tcBorders>
          </w:tcPr>
          <w:p>
            <w:pPr>
              <w:spacing w:after="0"/>
              <w:rPr>
                <w:sz w:val="24"/>
                <w:szCs w:val="24"/>
                <w:color w:val="auto"/>
              </w:rPr>
            </w:pPr>
          </w:p>
        </w:tc>
        <w:tc>
          <w:tcPr>
            <w:tcW w:w="1660" w:type="dxa"/>
            <w:vAlign w:val="bottom"/>
            <w:tcBorders>
              <w:top w:val="single" w:sz="8" w:color="0067B3"/>
              <w:right w:val="single" w:sz="8" w:color="0067B3"/>
            </w:tcBorders>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top w:val="single" w:sz="8" w:color="E6E7E8"/>
            </w:tcBorders>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ENTERPRISE</w:t>
            </w:r>
          </w:p>
        </w:tc>
        <w:tc>
          <w:tcPr>
            <w:tcW w:w="0" w:type="dxa"/>
            <w:vAlign w:val="bottom"/>
          </w:tcPr>
          <w:p>
            <w:pPr>
              <w:spacing w:after="0"/>
              <w:rPr>
                <w:sz w:val="1"/>
                <w:szCs w:val="1"/>
                <w:color w:val="auto"/>
              </w:rPr>
            </w:pPr>
          </w:p>
        </w:tc>
      </w:tr>
      <w:tr>
        <w:trPr>
          <w:trHeight w:val="235"/>
        </w:trPr>
        <w:tc>
          <w:tcPr>
            <w:tcW w:w="1520" w:type="dxa"/>
            <w:vAlign w:val="bottom"/>
            <w:shd w:val="clear" w:color="auto" w:fill="CAD3EC"/>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COMPENSATION</w:t>
            </w: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NOMINATING</w:t>
            </w:r>
          </w:p>
        </w:tc>
        <w:tc>
          <w:tcPr>
            <w:tcW w:w="24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CORPORATE</w:t>
            </w:r>
          </w:p>
        </w:tc>
        <w:tc>
          <w:tcPr>
            <w:tcW w:w="22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7"/>
              </w:rPr>
              <w:t>RISK</w:t>
            </w:r>
          </w:p>
        </w:tc>
        <w:tc>
          <w:tcPr>
            <w:tcW w:w="0" w:type="dxa"/>
            <w:vAlign w:val="bottom"/>
          </w:tcPr>
          <w:p>
            <w:pPr>
              <w:spacing w:after="0"/>
              <w:rPr>
                <w:sz w:val="1"/>
                <w:szCs w:val="1"/>
                <w:color w:val="auto"/>
              </w:rPr>
            </w:pPr>
          </w:p>
        </w:tc>
      </w:tr>
      <w:tr>
        <w:trPr>
          <w:trHeight w:val="216"/>
        </w:trPr>
        <w:tc>
          <w:tcPr>
            <w:tcW w:w="152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BOARD OF</w:t>
            </w:r>
          </w:p>
        </w:tc>
        <w:tc>
          <w:tcPr>
            <w:tcW w:w="240" w:type="dxa"/>
            <w:vAlign w:val="bottom"/>
            <w:tcBorders>
              <w:right w:val="single" w:sz="8" w:color="0067B3"/>
            </w:tcBorders>
          </w:tcPr>
          <w:p>
            <w:pPr>
              <w:spacing w:after="0"/>
              <w:rPr>
                <w:sz w:val="18"/>
                <w:szCs w:val="18"/>
                <w:color w:val="auto"/>
              </w:rPr>
            </w:pPr>
          </w:p>
        </w:tc>
        <w:tc>
          <w:tcPr>
            <w:tcW w:w="16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rPr>
              <w:t>AUDIT</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vMerge w:val="continue"/>
          </w:tcPr>
          <w:p>
            <w:pPr>
              <w:spacing w:after="0"/>
              <w:rPr>
                <w:sz w:val="18"/>
                <w:szCs w:val="18"/>
                <w:color w:val="auto"/>
              </w:rPr>
            </w:pP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8"/>
              </w:rPr>
              <w:t>AND CORPORATE</w:t>
            </w:r>
          </w:p>
        </w:tc>
        <w:tc>
          <w:tcPr>
            <w:tcW w:w="24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rPr>
              <w:t>MANAGEMENT</w:t>
            </w:r>
          </w:p>
        </w:tc>
        <w:tc>
          <w:tcPr>
            <w:tcW w:w="0" w:type="dxa"/>
            <w:vAlign w:val="bottom"/>
          </w:tcPr>
          <w:p>
            <w:pPr>
              <w:spacing w:after="0"/>
              <w:rPr>
                <w:sz w:val="1"/>
                <w:szCs w:val="1"/>
                <w:color w:val="auto"/>
              </w:rPr>
            </w:pPr>
          </w:p>
        </w:tc>
      </w:tr>
      <w:tr>
        <w:trPr>
          <w:trHeight w:val="216"/>
        </w:trPr>
        <w:tc>
          <w:tcPr>
            <w:tcW w:w="1520" w:type="dxa"/>
            <w:vAlign w:val="bottom"/>
            <w:shd w:val="clear" w:color="auto" w:fill="CAD3EC"/>
          </w:tcPr>
          <w:p>
            <w:pPr>
              <w:jc w:val="center"/>
              <w:spacing w:after="0"/>
              <w:rPr>
                <w:sz w:val="20"/>
                <w:szCs w:val="20"/>
                <w:color w:val="auto"/>
              </w:rPr>
            </w:pPr>
            <w:r>
              <w:rPr>
                <w:rFonts w:ascii="Arial" w:cs="Arial" w:eastAsia="Arial" w:hAnsi="Arial"/>
                <w:sz w:val="18"/>
                <w:szCs w:val="18"/>
                <w:b w:val="1"/>
                <w:bCs w:val="1"/>
                <w:color w:val="0067B3"/>
                <w:w w:val="99"/>
              </w:rPr>
              <w:t>DIRECTORS</w:t>
            </w:r>
          </w:p>
        </w:tc>
        <w:tc>
          <w:tcPr>
            <w:tcW w:w="240" w:type="dxa"/>
            <w:vAlign w:val="bottom"/>
            <w:tcBorders>
              <w:right w:val="single" w:sz="8" w:color="0067B3"/>
            </w:tcBorders>
          </w:tcPr>
          <w:p>
            <w:pPr>
              <w:spacing w:after="0"/>
              <w:rPr>
                <w:sz w:val="18"/>
                <w:szCs w:val="18"/>
                <w:color w:val="auto"/>
              </w:rPr>
            </w:pPr>
          </w:p>
        </w:tc>
        <w:tc>
          <w:tcPr>
            <w:tcW w:w="16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18"/>
                <w:szCs w:val="18"/>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AND TALENT</w:t>
            </w:r>
          </w:p>
        </w:tc>
        <w:tc>
          <w:tcPr>
            <w:tcW w:w="220" w:type="dxa"/>
            <w:vAlign w:val="bottom"/>
            <w:tcBorders>
              <w:right w:val="single" w:sz="8" w:color="0067B3"/>
            </w:tcBorders>
          </w:tcPr>
          <w:p>
            <w:pPr>
              <w:spacing w:after="0"/>
              <w:rPr>
                <w:sz w:val="18"/>
                <w:szCs w:val="18"/>
                <w:color w:val="auto"/>
              </w:rPr>
            </w:pPr>
          </w:p>
        </w:tc>
        <w:tc>
          <w:tcPr>
            <w:tcW w:w="170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GOVERNANCE</w:t>
            </w:r>
          </w:p>
        </w:tc>
        <w:tc>
          <w:tcPr>
            <w:tcW w:w="240" w:type="dxa"/>
            <w:vAlign w:val="bottom"/>
            <w:tcBorders>
              <w:right w:val="single" w:sz="8" w:color="0067B3"/>
            </w:tcBorders>
          </w:tcPr>
          <w:p>
            <w:pPr>
              <w:spacing w:after="0"/>
              <w:rPr>
                <w:sz w:val="18"/>
                <w:szCs w:val="18"/>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DEVELOPMENT</w:t>
            </w:r>
          </w:p>
        </w:tc>
        <w:tc>
          <w:tcPr>
            <w:tcW w:w="220" w:type="dxa"/>
            <w:vAlign w:val="bottom"/>
          </w:tcPr>
          <w:p>
            <w:pPr>
              <w:spacing w:after="0"/>
              <w:rPr>
                <w:sz w:val="18"/>
                <w:szCs w:val="18"/>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0" w:type="dxa"/>
            <w:vAlign w:val="bottom"/>
          </w:tcPr>
          <w:p>
            <w:pPr>
              <w:spacing w:after="0"/>
              <w:rPr>
                <w:sz w:val="1"/>
                <w:szCs w:val="1"/>
                <w:color w:val="auto"/>
              </w:rPr>
            </w:pPr>
          </w:p>
        </w:tc>
      </w:tr>
      <w:tr>
        <w:trPr>
          <w:trHeight w:val="247"/>
        </w:trPr>
        <w:tc>
          <w:tcPr>
            <w:tcW w:w="1520" w:type="dxa"/>
            <w:vAlign w:val="bottom"/>
            <w:shd w:val="clear" w:color="auto" w:fill="CAD3EC"/>
          </w:tcPr>
          <w:p>
            <w:pPr>
              <w:spacing w:after="0"/>
              <w:rPr>
                <w:sz w:val="21"/>
                <w:szCs w:val="21"/>
                <w:color w:val="auto"/>
              </w:rPr>
            </w:pPr>
          </w:p>
        </w:tc>
        <w:tc>
          <w:tcPr>
            <w:tcW w:w="240" w:type="dxa"/>
            <w:vAlign w:val="bottom"/>
            <w:tcBorders>
              <w:right w:val="single" w:sz="8" w:color="0067B3"/>
            </w:tcBorders>
          </w:tcPr>
          <w:p>
            <w:pPr>
              <w:spacing w:after="0"/>
              <w:rPr>
                <w:sz w:val="21"/>
                <w:szCs w:val="21"/>
                <w:color w:val="auto"/>
              </w:rPr>
            </w:pPr>
          </w:p>
        </w:tc>
        <w:tc>
          <w:tcPr>
            <w:tcW w:w="1620" w:type="dxa"/>
            <w:vAlign w:val="bottom"/>
            <w:tcBorders>
              <w:right w:val="single" w:sz="8" w:color="0067B3"/>
            </w:tcBorders>
          </w:tcPr>
          <w:p>
            <w:pPr>
              <w:spacing w:after="0"/>
              <w:rPr>
                <w:sz w:val="21"/>
                <w:szCs w:val="21"/>
                <w:color w:val="auto"/>
              </w:rPr>
            </w:pPr>
          </w:p>
        </w:tc>
        <w:tc>
          <w:tcPr>
            <w:tcW w:w="220" w:type="dxa"/>
            <w:vAlign w:val="bottom"/>
            <w:tcBorders>
              <w:right w:val="single" w:sz="8" w:color="0067B3"/>
            </w:tcBorders>
          </w:tcPr>
          <w:p>
            <w:pPr>
              <w:spacing w:after="0"/>
              <w:rPr>
                <w:sz w:val="21"/>
                <w:szCs w:val="21"/>
                <w:color w:val="auto"/>
              </w:rPr>
            </w:pPr>
          </w:p>
        </w:tc>
        <w:tc>
          <w:tcPr>
            <w:tcW w:w="182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Borders>
              <w:right w:val="single" w:sz="8" w:color="0067B3"/>
            </w:tcBorders>
          </w:tcPr>
          <w:p>
            <w:pPr>
              <w:spacing w:after="0"/>
              <w:rPr>
                <w:sz w:val="21"/>
                <w:szCs w:val="21"/>
                <w:color w:val="auto"/>
              </w:rPr>
            </w:pPr>
          </w:p>
        </w:tc>
        <w:tc>
          <w:tcPr>
            <w:tcW w:w="170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40" w:type="dxa"/>
            <w:vAlign w:val="bottom"/>
            <w:tcBorders>
              <w:right w:val="single" w:sz="8" w:color="0067B3"/>
            </w:tcBorders>
          </w:tcPr>
          <w:p>
            <w:pPr>
              <w:spacing w:after="0"/>
              <w:rPr>
                <w:sz w:val="21"/>
                <w:szCs w:val="21"/>
                <w:color w:val="auto"/>
              </w:rPr>
            </w:pPr>
          </w:p>
        </w:tc>
        <w:tc>
          <w:tcPr>
            <w:tcW w:w="1660" w:type="dxa"/>
            <w:vAlign w:val="bottom"/>
            <w:tcBorders>
              <w:right w:val="single" w:sz="8" w:color="0067B3"/>
            </w:tcBorders>
          </w:tcPr>
          <w:p>
            <w:pPr>
              <w:jc w:val="center"/>
              <w:spacing w:after="0"/>
              <w:rPr>
                <w:sz w:val="20"/>
                <w:szCs w:val="20"/>
                <w:color w:val="auto"/>
              </w:rPr>
            </w:pPr>
            <w:r>
              <w:rPr>
                <w:rFonts w:ascii="Arial" w:cs="Arial" w:eastAsia="Arial" w:hAnsi="Arial"/>
                <w:sz w:val="18"/>
                <w:szCs w:val="18"/>
                <w:b w:val="1"/>
                <w:bCs w:val="1"/>
                <w:color w:val="0067B3"/>
                <w:w w:val="99"/>
              </w:rPr>
              <w:t>COMMITTEE</w:t>
            </w:r>
          </w:p>
        </w:tc>
        <w:tc>
          <w:tcPr>
            <w:tcW w:w="220" w:type="dxa"/>
            <w:vAlign w:val="bottom"/>
          </w:tcPr>
          <w:p>
            <w:pPr>
              <w:spacing w:after="0"/>
              <w:rPr>
                <w:sz w:val="21"/>
                <w:szCs w:val="21"/>
                <w:color w:val="auto"/>
              </w:rPr>
            </w:pPr>
          </w:p>
        </w:tc>
        <w:tc>
          <w:tcPr>
            <w:tcW w:w="1760" w:type="dxa"/>
            <w:vAlign w:val="bottom"/>
            <w:vMerge w:val="restart"/>
            <w:shd w:val="clear" w:color="auto" w:fill="E6E7E8"/>
          </w:tcPr>
          <w:p>
            <w:pPr>
              <w:jc w:val="center"/>
              <w:spacing w:after="0"/>
              <w:rPr>
                <w:sz w:val="20"/>
                <w:szCs w:val="20"/>
                <w:color w:val="auto"/>
              </w:rPr>
            </w:pPr>
            <w:r>
              <w:rPr>
                <w:rFonts w:ascii="Arial" w:cs="Arial" w:eastAsia="Arial" w:hAnsi="Arial"/>
                <w:sz w:val="18"/>
                <w:szCs w:val="18"/>
                <w:color w:val="auto"/>
                <w:w w:val="99"/>
              </w:rPr>
              <w:t>Chaired by our</w:t>
            </w:r>
          </w:p>
        </w:tc>
        <w:tc>
          <w:tcPr>
            <w:tcW w:w="0" w:type="dxa"/>
            <w:vAlign w:val="bottom"/>
          </w:tcPr>
          <w:p>
            <w:pPr>
              <w:spacing w:after="0"/>
              <w:rPr>
                <w:sz w:val="1"/>
                <w:szCs w:val="1"/>
                <w:color w:val="auto"/>
              </w:rPr>
            </w:pPr>
          </w:p>
        </w:tc>
      </w:tr>
      <w:tr>
        <w:trPr>
          <w:trHeight w:val="58"/>
        </w:trPr>
        <w:tc>
          <w:tcPr>
            <w:tcW w:w="1520" w:type="dxa"/>
            <w:vAlign w:val="bottom"/>
            <w:shd w:val="clear" w:color="auto" w:fill="CAD3EC"/>
          </w:tcPr>
          <w:p>
            <w:pPr>
              <w:spacing w:after="0"/>
              <w:rPr>
                <w:sz w:val="5"/>
                <w:szCs w:val="5"/>
                <w:color w:val="auto"/>
              </w:rPr>
            </w:pPr>
          </w:p>
        </w:tc>
        <w:tc>
          <w:tcPr>
            <w:tcW w:w="240" w:type="dxa"/>
            <w:vAlign w:val="bottom"/>
            <w:tcBorders>
              <w:right w:val="single" w:sz="8" w:color="0067B3"/>
            </w:tcBorders>
          </w:tcPr>
          <w:p>
            <w:pPr>
              <w:spacing w:after="0"/>
              <w:rPr>
                <w:sz w:val="5"/>
                <w:szCs w:val="5"/>
                <w:color w:val="auto"/>
              </w:rPr>
            </w:pPr>
          </w:p>
        </w:tc>
        <w:tc>
          <w:tcPr>
            <w:tcW w:w="16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820" w:type="dxa"/>
            <w:vAlign w:val="bottom"/>
            <w:tcBorders>
              <w:right w:val="single" w:sz="8" w:color="0067B3"/>
            </w:tcBorders>
          </w:tcPr>
          <w:p>
            <w:pPr>
              <w:spacing w:after="0"/>
              <w:rPr>
                <w:sz w:val="5"/>
                <w:szCs w:val="5"/>
                <w:color w:val="auto"/>
              </w:rPr>
            </w:pPr>
          </w:p>
        </w:tc>
        <w:tc>
          <w:tcPr>
            <w:tcW w:w="220" w:type="dxa"/>
            <w:vAlign w:val="bottom"/>
            <w:tcBorders>
              <w:right w:val="single" w:sz="8" w:color="0067B3"/>
            </w:tcBorders>
          </w:tcPr>
          <w:p>
            <w:pPr>
              <w:spacing w:after="0"/>
              <w:rPr>
                <w:sz w:val="5"/>
                <w:szCs w:val="5"/>
                <w:color w:val="auto"/>
              </w:rPr>
            </w:pPr>
          </w:p>
        </w:tc>
        <w:tc>
          <w:tcPr>
            <w:tcW w:w="1700" w:type="dxa"/>
            <w:vAlign w:val="bottom"/>
            <w:tcBorders>
              <w:right w:val="single" w:sz="8" w:color="0067B3"/>
            </w:tcBorders>
            <w:vMerge w:val="continue"/>
          </w:tcPr>
          <w:p>
            <w:pPr>
              <w:spacing w:after="0"/>
              <w:rPr>
                <w:sz w:val="5"/>
                <w:szCs w:val="5"/>
                <w:color w:val="auto"/>
              </w:rPr>
            </w:pPr>
          </w:p>
        </w:tc>
        <w:tc>
          <w:tcPr>
            <w:tcW w:w="240" w:type="dxa"/>
            <w:vAlign w:val="bottom"/>
            <w:tcBorders>
              <w:right w:val="single" w:sz="8" w:color="0067B3"/>
            </w:tcBorders>
          </w:tcPr>
          <w:p>
            <w:pPr>
              <w:spacing w:after="0"/>
              <w:rPr>
                <w:sz w:val="5"/>
                <w:szCs w:val="5"/>
                <w:color w:val="auto"/>
              </w:rPr>
            </w:pPr>
          </w:p>
        </w:tc>
        <w:tc>
          <w:tcPr>
            <w:tcW w:w="1660" w:type="dxa"/>
            <w:vAlign w:val="bottom"/>
            <w:tcBorders>
              <w:right w:val="single" w:sz="8" w:color="0067B3"/>
            </w:tcBorders>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520" w:type="dxa"/>
            <w:vAlign w:val="bottom"/>
            <w:shd w:val="clear" w:color="auto" w:fill="CAD3EC"/>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820" w:type="dxa"/>
            <w:vAlign w:val="bottom"/>
            <w:tcBorders>
              <w:right w:val="single" w:sz="8" w:color="0067B3"/>
            </w:tcBorders>
          </w:tcPr>
          <w:p>
            <w:pPr>
              <w:spacing w:after="0"/>
              <w:rPr>
                <w:sz w:val="20"/>
                <w:szCs w:val="20"/>
                <w:color w:val="auto"/>
              </w:rPr>
            </w:pPr>
          </w:p>
        </w:tc>
        <w:tc>
          <w:tcPr>
            <w:tcW w:w="220" w:type="dxa"/>
            <w:vAlign w:val="bottom"/>
            <w:tcBorders>
              <w:right w:val="single" w:sz="8" w:color="0067B3"/>
            </w:tcBorders>
          </w:tcPr>
          <w:p>
            <w:pPr>
              <w:spacing w:after="0"/>
              <w:rPr>
                <w:sz w:val="20"/>
                <w:szCs w:val="20"/>
                <w:color w:val="auto"/>
              </w:rPr>
            </w:pPr>
          </w:p>
        </w:tc>
        <w:tc>
          <w:tcPr>
            <w:tcW w:w="1700" w:type="dxa"/>
            <w:vAlign w:val="bottom"/>
            <w:tcBorders>
              <w:right w:val="single" w:sz="8" w:color="0067B3"/>
            </w:tcBorders>
          </w:tcPr>
          <w:p>
            <w:pPr>
              <w:spacing w:after="0"/>
              <w:rPr>
                <w:sz w:val="20"/>
                <w:szCs w:val="20"/>
                <w:color w:val="auto"/>
              </w:rPr>
            </w:pPr>
          </w:p>
        </w:tc>
        <w:tc>
          <w:tcPr>
            <w:tcW w:w="240" w:type="dxa"/>
            <w:vAlign w:val="bottom"/>
            <w:tcBorders>
              <w:right w:val="single" w:sz="8" w:color="0067B3"/>
            </w:tcBorders>
          </w:tcPr>
          <w:p>
            <w:pPr>
              <w:spacing w:after="0"/>
              <w:rPr>
                <w:sz w:val="20"/>
                <w:szCs w:val="20"/>
                <w:color w:val="auto"/>
              </w:rPr>
            </w:pPr>
          </w:p>
        </w:tc>
        <w:tc>
          <w:tcPr>
            <w:tcW w:w="1660" w:type="dxa"/>
            <w:vAlign w:val="bottom"/>
            <w:tcBorders>
              <w:right w:val="single" w:sz="8" w:color="0067B3"/>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shd w:val="clear" w:color="auto" w:fill="E6E7E8"/>
          </w:tcPr>
          <w:p>
            <w:pPr>
              <w:jc w:val="center"/>
              <w:spacing w:after="0"/>
              <w:rPr>
                <w:sz w:val="20"/>
                <w:szCs w:val="20"/>
                <w:color w:val="auto"/>
              </w:rPr>
            </w:pPr>
            <w:r>
              <w:rPr>
                <w:rFonts w:ascii="Arial" w:cs="Arial" w:eastAsia="Arial" w:hAnsi="Arial"/>
                <w:sz w:val="18"/>
                <w:szCs w:val="18"/>
                <w:color w:val="auto"/>
                <w:w w:val="99"/>
              </w:rPr>
              <w:t>Chief Risk Officer</w:t>
            </w:r>
          </w:p>
        </w:tc>
        <w:tc>
          <w:tcPr>
            <w:tcW w:w="0" w:type="dxa"/>
            <w:vAlign w:val="bottom"/>
          </w:tcPr>
          <w:p>
            <w:pPr>
              <w:spacing w:after="0"/>
              <w:rPr>
                <w:sz w:val="1"/>
                <w:szCs w:val="1"/>
                <w:color w:val="auto"/>
              </w:rPr>
            </w:pPr>
          </w:p>
        </w:tc>
      </w:tr>
      <w:tr>
        <w:trPr>
          <w:trHeight w:val="131"/>
        </w:trPr>
        <w:tc>
          <w:tcPr>
            <w:tcW w:w="1520" w:type="dxa"/>
            <w:vAlign w:val="bottom"/>
            <w:shd w:val="clear" w:color="auto" w:fill="CAD3EC"/>
          </w:tcPr>
          <w:p>
            <w:pPr>
              <w:spacing w:after="0"/>
              <w:rPr>
                <w:sz w:val="11"/>
                <w:szCs w:val="11"/>
                <w:color w:val="auto"/>
              </w:rPr>
            </w:pPr>
          </w:p>
        </w:tc>
        <w:tc>
          <w:tcPr>
            <w:tcW w:w="240" w:type="dxa"/>
            <w:vAlign w:val="bottom"/>
            <w:tcBorders>
              <w:right w:val="single" w:sz="8" w:color="0067B3"/>
            </w:tcBorders>
          </w:tcPr>
          <w:p>
            <w:pPr>
              <w:spacing w:after="0"/>
              <w:rPr>
                <w:sz w:val="11"/>
                <w:szCs w:val="11"/>
                <w:color w:val="auto"/>
              </w:rPr>
            </w:pPr>
          </w:p>
        </w:tc>
        <w:tc>
          <w:tcPr>
            <w:tcW w:w="16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820" w:type="dxa"/>
            <w:vAlign w:val="bottom"/>
            <w:tcBorders>
              <w:bottom w:val="single" w:sz="8" w:color="0067B3"/>
              <w:right w:val="single" w:sz="8" w:color="0067B3"/>
            </w:tcBorders>
          </w:tcPr>
          <w:p>
            <w:pPr>
              <w:spacing w:after="0"/>
              <w:rPr>
                <w:sz w:val="11"/>
                <w:szCs w:val="11"/>
                <w:color w:val="auto"/>
              </w:rPr>
            </w:pPr>
          </w:p>
        </w:tc>
        <w:tc>
          <w:tcPr>
            <w:tcW w:w="220" w:type="dxa"/>
            <w:vAlign w:val="bottom"/>
            <w:tcBorders>
              <w:right w:val="single" w:sz="8" w:color="0067B3"/>
            </w:tcBorders>
          </w:tcPr>
          <w:p>
            <w:pPr>
              <w:spacing w:after="0"/>
              <w:rPr>
                <w:sz w:val="11"/>
                <w:szCs w:val="11"/>
                <w:color w:val="auto"/>
              </w:rPr>
            </w:pPr>
          </w:p>
        </w:tc>
        <w:tc>
          <w:tcPr>
            <w:tcW w:w="1700" w:type="dxa"/>
            <w:vAlign w:val="bottom"/>
            <w:tcBorders>
              <w:bottom w:val="single" w:sz="8" w:color="0067B3"/>
              <w:right w:val="single" w:sz="8" w:color="0067B3"/>
            </w:tcBorders>
          </w:tcPr>
          <w:p>
            <w:pPr>
              <w:spacing w:after="0"/>
              <w:rPr>
                <w:sz w:val="11"/>
                <w:szCs w:val="11"/>
                <w:color w:val="auto"/>
              </w:rPr>
            </w:pPr>
          </w:p>
        </w:tc>
        <w:tc>
          <w:tcPr>
            <w:tcW w:w="240" w:type="dxa"/>
            <w:vAlign w:val="bottom"/>
            <w:tcBorders>
              <w:right w:val="single" w:sz="8" w:color="0067B3"/>
            </w:tcBorders>
          </w:tcPr>
          <w:p>
            <w:pPr>
              <w:spacing w:after="0"/>
              <w:rPr>
                <w:sz w:val="11"/>
                <w:szCs w:val="11"/>
                <w:color w:val="auto"/>
              </w:rPr>
            </w:pPr>
          </w:p>
        </w:tc>
        <w:tc>
          <w:tcPr>
            <w:tcW w:w="1660" w:type="dxa"/>
            <w:vAlign w:val="bottom"/>
            <w:tcBorders>
              <w:bottom w:val="single" w:sz="8" w:color="0067B3"/>
              <w:right w:val="single" w:sz="8" w:color="0067B3"/>
            </w:tcBorders>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shd w:val="clear" w:color="auto" w:fill="E6E7E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351155</wp:posOffset>
            </wp:positionV>
            <wp:extent cx="609473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94730"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137160</wp:posOffset>
            </wp:positionV>
            <wp:extent cx="11176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137160</wp:posOffset>
            </wp:positionV>
            <wp:extent cx="11176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137160</wp:posOffset>
            </wp:positionV>
            <wp:extent cx="11176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6858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137160</wp:posOffset>
            </wp:positionV>
            <wp:extent cx="111125"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137160</wp:posOffset>
            </wp:positionV>
            <wp:extent cx="111125"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6858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137160</wp:posOffset>
            </wp:positionV>
            <wp:extent cx="111125"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Enterprise Risk Management is a company-wide initiative that involves ADI management, including our Chief Legal Officer and Chief Risk Officer and our internal audit function, including our Senior Director, Internal Audit, working together to (1) identify, assess, prioritize and monitor a broad range of risks and (2) formulate and execute plans to monitor and, to the extent possible, mitigate the effect of those risks.</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Cybersecurity Oversight</w:t>
      </w:r>
    </w:p>
    <w:p>
      <w:pPr>
        <w:spacing w:after="0" w:line="146" w:lineRule="exact"/>
        <w:rPr>
          <w:sz w:val="20"/>
          <w:szCs w:val="20"/>
          <w:color w:val="auto"/>
        </w:rPr>
      </w:pPr>
    </w:p>
    <w:p>
      <w:pPr>
        <w:jc w:val="both"/>
        <w:ind w:right="600"/>
        <w:spacing w:after="0" w:line="318" w:lineRule="auto"/>
        <w:rPr>
          <w:sz w:val="20"/>
          <w:szCs w:val="20"/>
          <w:color w:val="auto"/>
        </w:rPr>
      </w:pPr>
      <w:r>
        <w:rPr>
          <w:rFonts w:ascii="Arial" w:cs="Arial" w:eastAsia="Arial" w:hAnsi="Arial"/>
          <w:sz w:val="17"/>
          <w:szCs w:val="17"/>
          <w:color w:val="auto"/>
        </w:rPr>
        <w:t>In order to minimize the likelihood and impact of a cybersecurity incident, we have deployed cybersecurity protections to protect ADI’s networks, devices and data from external and internal threats. These protections are consistent with global data privacy requirements.</w:t>
      </w:r>
    </w:p>
    <w:p>
      <w:pPr>
        <w:spacing w:after="0" w:line="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Four of our director nominees have cybersecurity expertise to assist the Board of Directors in its oversight of ADI’s information security program. ADI leadership and Internal Audit regularly provide the Audit Committee with updates on the performance of our cyber and information security program. Our Chief Information Officer provides quarterly updates to the Audit Committee covering key information technology (IT) projects, enterprise cybersecurity programs and data protection risks and mitigation related to such risks. At least annually, our Chief Information Officer updates the full Board of Directors on information security matters and risk, including cybersecurity.</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fiscal year 2022, we created a management-led cross-functional steering committee, led by our Chief Information Security Officer, that is charged with security governance and key mitigation initiatives. Any relevant findings of this committee are shared in quarterly reports to the Audit Committee and annual reports to the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ESG Oversight</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Nominating and Corporate Governance Committee oversees ADI’s ESG policies, goals and programs, including reviewing our sustainability initiatives and goals, as well as our progress towards achieving those goals. Management regularly reports to the full Board of Directors on ESG topics, providing an update on key metrics and progress. Our Board of Directors provides direct feedback on strategic approach and initiatives once a year. Our Leadership Team is engaged collectively on a semi-annual basis and individual leaders provide ongoing sponsorship of core initiatives, such as our partnership with an HBCU and secondary school outreach program.</w:t>
      </w:r>
    </w:p>
    <w:p>
      <w:pPr>
        <w:spacing w:after="0" w:line="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CEO, our Leadership Team and appointed roles dedicated to ESG lead our ESG agenda. Our Nominating and Corporate Governance Committee has specific oversight responsibility for ADI’s ESG programs, initiatives, policies and goals, including reviewing our sustainability initiatives and goals as well as our progress toward achieving those goals.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Board of Directors is fully engaged and receives regular updates from senior management about our ESG programs, including updates on our sustainability as a business initiative, and on emerging issues. These ESG topics also include educational components to keep our Board of Directors abreast of the quickly changing ESG regulatory environment, as well as other evolving practices, risk oversight, mitigation strategies and other relevant ESG topics.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Created in 2021, our ESG Executive Council comprised of in-house subject matter experts, such as Human Resources, Environment, Health and Safety, and Compliance and Ethics, meets regularly and provides updates to the ESG Oversight Committee. The Nominating and Corporate Governance Committee receives quarterly reports on our progress against stated targets, as well as updates on topics such as stakeholder value, risks and opportunities, regulatory preparedness, ESG ratings and key ESG focus areas.</w:t>
      </w:r>
    </w:p>
    <w:p>
      <w:pPr>
        <w:sectPr>
          <w:pgSz w:w="11900" w:h="16838" w:orient="portrait"/>
          <w:cols w:equalWidth="0" w:num="1">
            <w:col w:w="11240"/>
          </w:cols>
          <w:pgMar w:left="320" w:top="1214" w:right="339" w:bottom="1440" w:gutter="0" w:footer="0" w:header="0"/>
        </w:sectPr>
      </w:pPr>
    </w:p>
    <w:p>
      <w:pPr>
        <w:spacing w:after="0" w:line="32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37</w:t>
      </w:r>
    </w:p>
    <w:p>
      <w:pPr>
        <w:sectPr>
          <w:pgSz w:w="11900" w:h="16838" w:orient="portrait"/>
          <w:cols w:equalWidth="0" w:num="1">
            <w:col w:w="11240"/>
          </w:cols>
          <w:pgMar w:left="320" w:top="121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7"/>
          <w:szCs w:val="27"/>
          <w:b w:val="1"/>
          <w:bCs w:val="1"/>
          <w:color w:val="0067B3"/>
        </w:rPr>
        <w:t>Human Capital Management Oversight</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2022, our Compensation and Talent Committee expanded its responsibilities to include oversight for ADI’s enterprise-level strategies and programs relating to human capital management and diversity. ADI’s approach to human capital management is wide-reaching and encompasses many facets of our business, including those with respect to diversity, equity and inclusion, talent recruitment and development, retention, employee engagement, pay equity practices, workplace health and safety and cultural initiatives. Our Chief People Officer provides regular updates to our Compensation and Talent Committee and the Board of Directors regarding human capital initiatives, risks and mitigation efforts related to identified risks.</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Succession Planning</w:t>
      </w:r>
    </w:p>
    <w:p>
      <w:pPr>
        <w:spacing w:after="0" w:line="14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reflected in our Corporate Governance Guidelines, one of our Board of Directors’ primary responsibilities includes reviewing Leadership Team succession plans. The Board of Directors is responsible for evaluating potential successors to the CEO and, based on recommendations from the CEO, other members of the Leadership Team.</w:t>
      </w:r>
    </w:p>
    <w:p>
      <w:pPr>
        <w:spacing w:after="0" w:line="63" w:lineRule="exact"/>
        <w:rPr>
          <w:sz w:val="20"/>
          <w:szCs w:val="20"/>
          <w:color w:val="auto"/>
        </w:rPr>
      </w:pPr>
    </w:p>
    <w:p>
      <w:pPr>
        <w:ind w:right="700"/>
        <w:spacing w:after="0" w:line="318" w:lineRule="auto"/>
        <w:rPr>
          <w:sz w:val="20"/>
          <w:szCs w:val="20"/>
          <w:color w:val="auto"/>
        </w:rPr>
      </w:pPr>
      <w:r>
        <w:rPr>
          <w:rFonts w:ascii="Arial" w:cs="Arial" w:eastAsia="Arial" w:hAnsi="Arial"/>
          <w:sz w:val="17"/>
          <w:szCs w:val="17"/>
          <w:color w:val="auto"/>
        </w:rPr>
        <w:t>The Compensation and Talent Committee periodically reviews our strategies and programs related to succession planning and talent development, which includes transitional leadership planning in the event of an unplanned vacancy for any Leadership Team role.</w:t>
      </w:r>
    </w:p>
    <w:p>
      <w:pPr>
        <w:spacing w:after="0" w:line="22" w:lineRule="exact"/>
        <w:rPr>
          <w:sz w:val="20"/>
          <w:szCs w:val="20"/>
          <w:color w:val="auto"/>
        </w:rPr>
      </w:pPr>
    </w:p>
    <w:p>
      <w:pPr>
        <w:ind w:right="580"/>
        <w:spacing w:after="0" w:line="318" w:lineRule="auto"/>
        <w:rPr>
          <w:sz w:val="20"/>
          <w:szCs w:val="20"/>
          <w:color w:val="auto"/>
        </w:rPr>
      </w:pPr>
      <w:r>
        <w:rPr>
          <w:rFonts w:ascii="Arial" w:cs="Arial" w:eastAsia="Arial" w:hAnsi="Arial"/>
          <w:sz w:val="17"/>
          <w:szCs w:val="17"/>
          <w:color w:val="auto"/>
        </w:rPr>
        <w:t>Succession planning is discussed regularly in Board of Directors and/or Compensation and Talent Committee executive sessions. The Compensation and Talent Committee is also updated regularly throughout the year on key talent indicators for the overall workforce.</w:t>
      </w:r>
    </w:p>
    <w:p>
      <w:pPr>
        <w:spacing w:after="0" w:line="12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Shareholder Engagement</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extensive investor outreach throughout the year involving our senior management, investor relations, legal and human resources departments. This helps management and our Board of Directors understand and focus on the issues that matter most to our shareholders, so ADI can address them effectively.</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299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299720"/>
                    </a:xfrm>
                    <a:prstGeom prst="rect">
                      <a:avLst/>
                    </a:prstGeom>
                    <a:noFill/>
                  </pic:spPr>
                </pic:pic>
              </a:graphicData>
            </a:graphic>
          </wp:anchor>
        </w:drawing>
      </w:r>
    </w:p>
    <w:p>
      <w:pPr>
        <w:spacing w:after="0" w:line="321" w:lineRule="exact"/>
        <w:rPr>
          <w:sz w:val="20"/>
          <w:szCs w:val="20"/>
          <w:color w:val="auto"/>
        </w:rPr>
      </w:pPr>
    </w:p>
    <w:p>
      <w:pPr>
        <w:ind w:left="960"/>
        <w:spacing w:after="0"/>
        <w:tabs>
          <w:tab w:leader="none" w:pos="2687" w:val="left"/>
        </w:tabs>
        <w:rPr>
          <w:sz w:val="20"/>
          <w:szCs w:val="20"/>
          <w:color w:val="auto"/>
        </w:rPr>
      </w:pPr>
      <w:r>
        <w:rPr>
          <w:rFonts w:ascii="Arial" w:cs="Arial" w:eastAsia="Arial" w:hAnsi="Arial"/>
          <w:sz w:val="18"/>
          <w:szCs w:val="18"/>
          <w:b w:val="1"/>
          <w:bCs w:val="1"/>
          <w:color w:val="auto"/>
        </w:rPr>
        <w:t>Winter</w:t>
      </w:r>
      <w:r>
        <w:rPr>
          <w:sz w:val="20"/>
          <w:szCs w:val="20"/>
          <w:color w:val="auto"/>
        </w:rPr>
        <w:tab/>
      </w:r>
      <w:r>
        <w:rPr>
          <w:sz w:val="1"/>
          <w:szCs w:val="1"/>
          <w:color w:val="auto"/>
        </w:rPr>
        <w:drawing>
          <wp:inline distT="0" distB="0" distL="0" distR="0">
            <wp:extent cx="205740" cy="20574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b w:val="1"/>
          <w:bCs w:val="1"/>
          <w:color w:val="auto"/>
        </w:rPr>
        <w:t xml:space="preserve">  Spring           </w:t>
      </w:r>
      <w:r>
        <w:rPr>
          <w:sz w:val="1"/>
          <w:szCs w:val="1"/>
          <w:color w:val="auto"/>
        </w:rPr>
        <w:drawing>
          <wp:inline distT="0" distB="0" distL="0" distR="0">
            <wp:extent cx="196850" cy="1968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850" cy="196850"/>
                    </a:xfrm>
                    <a:prstGeom prst="rect">
                      <a:avLst/>
                    </a:prstGeom>
                    <a:noFill/>
                    <a:ln>
                      <a:noFill/>
                    </a:ln>
                  </pic:spPr>
                </pic:pic>
              </a:graphicData>
            </a:graphic>
          </wp:inline>
        </w:drawing>
      </w:r>
      <w:r>
        <w:rPr>
          <w:rFonts w:ascii="Arial" w:cs="Arial" w:eastAsia="Arial" w:hAnsi="Arial"/>
          <w:sz w:val="18"/>
          <w:szCs w:val="18"/>
          <w:b w:val="1"/>
          <w:bCs w:val="1"/>
          <w:color w:val="auto"/>
        </w:rPr>
        <w:t xml:space="preserve">    Summer                  </w:t>
      </w:r>
      <w:r>
        <w:rPr>
          <w:sz w:val="1"/>
          <w:szCs w:val="1"/>
          <w:color w:val="auto"/>
        </w:rPr>
        <w:drawing>
          <wp:inline distT="0" distB="0" distL="0" distR="0">
            <wp:extent cx="19685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6850" cy="171450"/>
                    </a:xfrm>
                    <a:prstGeom prst="rect">
                      <a:avLst/>
                    </a:prstGeom>
                    <a:noFill/>
                    <a:ln>
                      <a:noFill/>
                    </a:ln>
                  </pic:spPr>
                </pic:pic>
              </a:graphicData>
            </a:graphic>
          </wp:inline>
        </w:drawing>
      </w:r>
      <w:r>
        <w:rPr>
          <w:rFonts w:ascii="Arial" w:cs="Arial" w:eastAsia="Arial" w:hAnsi="Arial"/>
          <w:sz w:val="18"/>
          <w:szCs w:val="18"/>
          <w:b w:val="1"/>
          <w:bCs w:val="1"/>
          <w:color w:val="auto"/>
        </w:rPr>
        <w:t xml:space="preserve">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-7620</wp:posOffset>
            </wp:positionV>
            <wp:extent cx="689229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92290" cy="17970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p>
      <w:pPr>
        <w:spacing w:after="0" w:line="386" w:lineRule="exact"/>
        <w:rPr>
          <w:sz w:val="20"/>
          <w:szCs w:val="20"/>
          <w:color w:val="auto"/>
        </w:rPr>
      </w:pPr>
    </w:p>
    <w:p>
      <w:pPr>
        <w:ind w:left="560" w:hanging="156"/>
        <w:spacing w:after="0"/>
        <w:tabs>
          <w:tab w:leader="none" w:pos="560" w:val="left"/>
        </w:tabs>
        <w:numPr>
          <w:ilvl w:val="0"/>
          <w:numId w:val="48"/>
        </w:numPr>
        <w:rPr>
          <w:rFonts w:ascii="Arial" w:cs="Arial" w:eastAsia="Arial" w:hAnsi="Arial"/>
          <w:sz w:val="18"/>
          <w:szCs w:val="18"/>
          <w:color w:val="0067B3"/>
        </w:rPr>
      </w:pPr>
      <w:r>
        <w:rPr>
          <w:rFonts w:ascii="Arial" w:cs="Arial" w:eastAsia="Arial" w:hAnsi="Arial"/>
          <w:sz w:val="18"/>
          <w:szCs w:val="18"/>
          <w:color w:val="auto"/>
        </w:rPr>
        <w:t>Publish Annual Report and Proxy Statement</w:t>
      </w:r>
    </w:p>
    <w:p>
      <w:pPr>
        <w:spacing w:after="0" w:line="76" w:lineRule="exact"/>
        <w:rPr>
          <w:rFonts w:ascii="Arial" w:cs="Arial" w:eastAsia="Arial" w:hAnsi="Arial"/>
          <w:sz w:val="18"/>
          <w:szCs w:val="18"/>
          <w:color w:val="0067B3"/>
        </w:rPr>
      </w:pPr>
    </w:p>
    <w:p>
      <w:pPr>
        <w:ind w:left="600" w:hanging="196"/>
        <w:spacing w:after="0" w:line="268" w:lineRule="auto"/>
        <w:tabs>
          <w:tab w:leader="none" w:pos="563" w:val="left"/>
        </w:tabs>
        <w:numPr>
          <w:ilvl w:val="0"/>
          <w:numId w:val="48"/>
        </w:numPr>
        <w:rPr>
          <w:rFonts w:ascii="Arial" w:cs="Arial" w:eastAsia="Arial" w:hAnsi="Arial"/>
          <w:sz w:val="18"/>
          <w:szCs w:val="18"/>
          <w:color w:val="0067B3"/>
        </w:rPr>
      </w:pPr>
      <w:r>
        <w:rPr>
          <w:rFonts w:ascii="Arial" w:cs="Arial" w:eastAsia="Arial" w:hAnsi="Arial"/>
          <w:sz w:val="18"/>
          <w:szCs w:val="18"/>
          <w:color w:val="auto"/>
        </w:rPr>
        <w:t>Conduct active outreach with top investors to discuss items to be considered at the annual meeting, if needed, given matters to be considered</w:t>
      </w:r>
    </w:p>
    <w:p>
      <w:pPr>
        <w:spacing w:after="0" w:line="35" w:lineRule="exact"/>
        <w:rPr>
          <w:rFonts w:ascii="Arial" w:cs="Arial" w:eastAsia="Arial" w:hAnsi="Arial"/>
          <w:sz w:val="18"/>
          <w:szCs w:val="18"/>
          <w:color w:val="0067B3"/>
        </w:rPr>
      </w:pPr>
    </w:p>
    <w:p>
      <w:pPr>
        <w:ind w:left="560" w:hanging="156"/>
        <w:spacing w:after="0"/>
        <w:tabs>
          <w:tab w:leader="none" w:pos="560" w:val="left"/>
        </w:tabs>
        <w:numPr>
          <w:ilvl w:val="0"/>
          <w:numId w:val="48"/>
        </w:numPr>
        <w:rPr>
          <w:rFonts w:ascii="Arial" w:cs="Arial" w:eastAsia="Arial" w:hAnsi="Arial"/>
          <w:sz w:val="18"/>
          <w:szCs w:val="18"/>
          <w:color w:val="0067B3"/>
        </w:rPr>
      </w:pPr>
      <w:r>
        <w:rPr>
          <w:rFonts w:ascii="Arial" w:cs="Arial" w:eastAsia="Arial" w:hAnsi="Arial"/>
          <w:sz w:val="18"/>
          <w:szCs w:val="18"/>
          <w:color w:val="auto"/>
        </w:rPr>
        <w:t>Annual Meeting</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201" w:hanging="201"/>
        <w:spacing w:after="0" w:line="257" w:lineRule="auto"/>
        <w:tabs>
          <w:tab w:leader="none" w:pos="164" w:val="left"/>
        </w:tabs>
        <w:numPr>
          <w:ilvl w:val="0"/>
          <w:numId w:val="49"/>
        </w:numPr>
        <w:rPr>
          <w:rFonts w:ascii="Arial" w:cs="Arial" w:eastAsia="Arial" w:hAnsi="Arial"/>
          <w:sz w:val="18"/>
          <w:szCs w:val="18"/>
          <w:color w:val="0067B3"/>
        </w:rPr>
      </w:pPr>
      <w:r>
        <w:rPr>
          <w:rFonts w:ascii="Arial" w:cs="Arial" w:eastAsia="Arial" w:hAnsi="Arial"/>
          <w:sz w:val="18"/>
          <w:szCs w:val="18"/>
          <w:color w:val="auto"/>
        </w:rPr>
        <w:t>Evaluate proxy season outcome and trends, corporate governance best practices and</w:t>
      </w:r>
    </w:p>
    <w:p>
      <w:pPr>
        <w:spacing w:after="0" w:line="1" w:lineRule="exact"/>
        <w:rPr>
          <w:rFonts w:ascii="Arial" w:cs="Arial" w:eastAsia="Arial" w:hAnsi="Arial"/>
          <w:sz w:val="18"/>
          <w:szCs w:val="18"/>
          <w:color w:val="0067B3"/>
        </w:rPr>
      </w:pPr>
    </w:p>
    <w:p>
      <w:pPr>
        <w:ind w:left="201"/>
        <w:spacing w:after="0"/>
        <w:rPr>
          <w:rFonts w:ascii="Arial" w:cs="Arial" w:eastAsia="Arial" w:hAnsi="Arial"/>
          <w:sz w:val="18"/>
          <w:szCs w:val="18"/>
          <w:color w:val="0067B3"/>
        </w:rPr>
      </w:pPr>
      <w:r>
        <w:rPr>
          <w:rFonts w:ascii="Arial" w:cs="Arial" w:eastAsia="Arial" w:hAnsi="Arial"/>
          <w:sz w:val="18"/>
          <w:szCs w:val="18"/>
          <w:color w:val="auto"/>
        </w:rPr>
        <w:t>regulatory developments</w:t>
      </w:r>
    </w:p>
    <w:p>
      <w:pPr>
        <w:spacing w:after="0" w:line="58" w:lineRule="exact"/>
        <w:rPr>
          <w:rFonts w:ascii="Arial" w:cs="Arial" w:eastAsia="Arial" w:hAnsi="Arial"/>
          <w:sz w:val="18"/>
          <w:szCs w:val="18"/>
          <w:color w:val="0067B3"/>
        </w:rPr>
      </w:pPr>
    </w:p>
    <w:p>
      <w:pPr>
        <w:ind w:left="201" w:right="320" w:hanging="201"/>
        <w:spacing w:after="0" w:line="259" w:lineRule="auto"/>
        <w:tabs>
          <w:tab w:leader="none" w:pos="164" w:val="left"/>
        </w:tabs>
        <w:numPr>
          <w:ilvl w:val="0"/>
          <w:numId w:val="49"/>
        </w:numPr>
        <w:rPr>
          <w:rFonts w:ascii="Arial" w:cs="Arial" w:eastAsia="Arial" w:hAnsi="Arial"/>
          <w:sz w:val="18"/>
          <w:szCs w:val="18"/>
          <w:color w:val="0067B3"/>
        </w:rPr>
      </w:pPr>
      <w:r>
        <w:rPr>
          <w:rFonts w:ascii="Arial" w:cs="Arial" w:eastAsia="Arial" w:hAnsi="Arial"/>
          <w:sz w:val="18"/>
          <w:szCs w:val="18"/>
          <w:color w:val="auto"/>
        </w:rPr>
        <w:t>Publish annual ESG report to inform stakeholders, including investors, about recent developments relating to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125730</wp:posOffset>
            </wp:positionV>
            <wp:extent cx="7132320" cy="2065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065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189" w:right="480" w:hanging="189"/>
        <w:spacing w:after="0" w:line="259" w:lineRule="auto"/>
        <w:tabs>
          <w:tab w:leader="none" w:pos="152" w:val="left"/>
        </w:tabs>
        <w:numPr>
          <w:ilvl w:val="0"/>
          <w:numId w:val="50"/>
        </w:numPr>
        <w:rPr>
          <w:rFonts w:ascii="Arial" w:cs="Arial" w:eastAsia="Arial" w:hAnsi="Arial"/>
          <w:sz w:val="18"/>
          <w:szCs w:val="18"/>
          <w:color w:val="0067B3"/>
        </w:rPr>
      </w:pPr>
      <w:r>
        <w:rPr>
          <w:rFonts w:ascii="Arial" w:cs="Arial" w:eastAsia="Arial" w:hAnsi="Arial"/>
          <w:sz w:val="18"/>
          <w:szCs w:val="18"/>
          <w:color w:val="auto"/>
        </w:rPr>
        <w:t>Conduct active outreach with top investors to understand their top priorities and solicit feedback on governance topics, including ESG and compensation</w:t>
      </w:r>
    </w:p>
    <w:p>
      <w:pPr>
        <w:spacing w:after="0" w:line="30" w:lineRule="exact"/>
        <w:rPr>
          <w:rFonts w:ascii="Arial" w:cs="Arial" w:eastAsia="Arial" w:hAnsi="Arial"/>
          <w:sz w:val="18"/>
          <w:szCs w:val="18"/>
          <w:color w:val="0067B3"/>
        </w:rPr>
      </w:pPr>
    </w:p>
    <w:p>
      <w:pPr>
        <w:ind w:left="189" w:right="780" w:hanging="189"/>
        <w:spacing w:after="0" w:line="287" w:lineRule="auto"/>
        <w:tabs>
          <w:tab w:leader="none" w:pos="152" w:val="left"/>
        </w:tabs>
        <w:numPr>
          <w:ilvl w:val="0"/>
          <w:numId w:val="50"/>
        </w:numPr>
        <w:rPr>
          <w:rFonts w:ascii="Arial" w:cs="Arial" w:eastAsia="Arial" w:hAnsi="Arial"/>
          <w:sz w:val="18"/>
          <w:szCs w:val="18"/>
          <w:color w:val="0067B3"/>
        </w:rPr>
      </w:pPr>
      <w:r>
        <w:rPr>
          <w:rFonts w:ascii="Arial" w:cs="Arial" w:eastAsia="Arial" w:hAnsi="Arial"/>
          <w:sz w:val="18"/>
          <w:szCs w:val="18"/>
          <w:color w:val="auto"/>
        </w:rPr>
        <w:t>Share investor feedback with our Board of Directors</w:t>
      </w:r>
    </w:p>
    <w:p>
      <w:pPr>
        <w:spacing w:after="0" w:line="605" w:lineRule="exact"/>
        <w:rPr>
          <w:sz w:val="20"/>
          <w:szCs w:val="20"/>
          <w:color w:val="auto"/>
        </w:rPr>
      </w:pPr>
    </w:p>
    <w:p>
      <w:pPr>
        <w:sectPr>
          <w:pgSz w:w="11900" w:h="16838" w:orient="portrait"/>
          <w:cols w:equalWidth="0" w:num="3">
            <w:col w:w="4800" w:space="59"/>
            <w:col w:w="2901" w:space="231"/>
            <w:col w:w="3249"/>
          </w:cols>
          <w:pgMar w:left="320" w:top="1271"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67B3"/>
        </w:rPr>
        <w:t>WHO WE CONTACTED</w:t>
      </w:r>
    </w:p>
    <w:p>
      <w:pPr>
        <w:spacing w:after="0" w:line="225" w:lineRule="exact"/>
        <w:rPr>
          <w:sz w:val="20"/>
          <w:szCs w:val="20"/>
          <w:color w:val="auto"/>
        </w:rPr>
      </w:pPr>
    </w:p>
    <w:p>
      <w:pPr>
        <w:ind w:left="2320"/>
        <w:spacing w:after="0" w:line="253" w:lineRule="auto"/>
        <w:rPr>
          <w:sz w:val="20"/>
          <w:szCs w:val="20"/>
          <w:color w:val="auto"/>
        </w:rPr>
      </w:pPr>
      <w:r>
        <w:rPr>
          <w:rFonts w:ascii="Arial" w:cs="Arial" w:eastAsia="Arial" w:hAnsi="Arial"/>
          <w:sz w:val="18"/>
          <w:szCs w:val="18"/>
          <w:color w:val="auto"/>
        </w:rPr>
        <w:t>During fiscal year 2022, as part of our annual outreach program, we reached out to our top 20 shareholders and additional shareholders that voted against say-on-pay in 2022, collectively representing nearly 50% of our total shares outstanding, with an invitation to have discussions with their corporate governance teams. Shareholders representing approximately 30% of our outstanding shares accepted our engagement invitation.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67B3"/>
        </w:rPr>
        <w:t>WHAT WE DISCUSSED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Topics covered in these meetings included:</w:t>
      </w:r>
    </w:p>
    <w:p>
      <w:pPr>
        <w:spacing w:after="0" w:line="117" w:lineRule="exact"/>
        <w:rPr>
          <w:sz w:val="20"/>
          <w:szCs w:val="20"/>
          <w:color w:val="auto"/>
        </w:rPr>
      </w:pPr>
    </w:p>
    <w:p>
      <w:pPr>
        <w:ind w:left="160" w:hanging="155"/>
        <w:spacing w:after="0"/>
        <w:tabs>
          <w:tab w:leader="none" w:pos="160" w:val="left"/>
        </w:tabs>
        <w:numPr>
          <w:ilvl w:val="0"/>
          <w:numId w:val="51"/>
        </w:numPr>
        <w:rPr>
          <w:rFonts w:ascii="Arial" w:cs="Arial" w:eastAsia="Arial" w:hAnsi="Arial"/>
          <w:sz w:val="18"/>
          <w:szCs w:val="18"/>
          <w:color w:val="0067B3"/>
        </w:rPr>
      </w:pPr>
      <w:r>
        <w:rPr>
          <w:rFonts w:ascii="Arial" w:cs="Arial" w:eastAsia="Arial" w:hAnsi="Arial"/>
          <w:sz w:val="18"/>
          <w:szCs w:val="18"/>
          <w:color w:val="auto"/>
        </w:rPr>
        <w:t>Executive compensation, including one-time awards</w:t>
      </w:r>
    </w:p>
    <w:p>
      <w:pPr>
        <w:spacing w:after="0" w:line="90" w:lineRule="exact"/>
        <w:rPr>
          <w:rFonts w:ascii="Arial" w:cs="Arial" w:eastAsia="Arial" w:hAnsi="Arial"/>
          <w:sz w:val="18"/>
          <w:szCs w:val="18"/>
          <w:color w:val="0067B3"/>
        </w:rPr>
      </w:pPr>
    </w:p>
    <w:p>
      <w:pPr>
        <w:ind w:left="200" w:right="760" w:hanging="195"/>
        <w:spacing w:after="0" w:line="287" w:lineRule="auto"/>
        <w:tabs>
          <w:tab w:leader="none" w:pos="163" w:val="left"/>
        </w:tabs>
        <w:numPr>
          <w:ilvl w:val="0"/>
          <w:numId w:val="51"/>
        </w:numPr>
        <w:rPr>
          <w:rFonts w:ascii="Arial" w:cs="Arial" w:eastAsia="Arial" w:hAnsi="Arial"/>
          <w:sz w:val="18"/>
          <w:szCs w:val="18"/>
          <w:color w:val="0067B3"/>
        </w:rPr>
      </w:pPr>
      <w:r>
        <w:rPr>
          <w:rFonts w:ascii="Arial" w:cs="Arial" w:eastAsia="Arial" w:hAnsi="Arial"/>
          <w:sz w:val="18"/>
          <w:szCs w:val="18"/>
          <w:color w:val="auto"/>
        </w:rPr>
        <w:t>Corporate governance matters, including Board structure and refreshment</w:t>
      </w:r>
    </w:p>
    <w:p>
      <w:pPr>
        <w:spacing w:after="0" w:line="4" w:lineRule="exact"/>
        <w:rPr>
          <w:rFonts w:ascii="Arial" w:cs="Arial" w:eastAsia="Arial" w:hAnsi="Arial"/>
          <w:sz w:val="18"/>
          <w:szCs w:val="18"/>
          <w:color w:val="0067B3"/>
        </w:rPr>
      </w:pPr>
    </w:p>
    <w:p>
      <w:pPr>
        <w:ind w:left="200" w:right="520" w:hanging="195"/>
        <w:spacing w:after="0" w:line="268" w:lineRule="auto"/>
        <w:tabs>
          <w:tab w:leader="none" w:pos="163" w:val="left"/>
        </w:tabs>
        <w:numPr>
          <w:ilvl w:val="0"/>
          <w:numId w:val="51"/>
        </w:numPr>
        <w:rPr>
          <w:rFonts w:ascii="Arial" w:cs="Arial" w:eastAsia="Arial" w:hAnsi="Arial"/>
          <w:sz w:val="18"/>
          <w:szCs w:val="18"/>
          <w:color w:val="0067B3"/>
        </w:rPr>
      </w:pPr>
      <w:r>
        <w:rPr>
          <w:rFonts w:ascii="Arial" w:cs="Arial" w:eastAsia="Arial" w:hAnsi="Arial"/>
          <w:sz w:val="18"/>
          <w:szCs w:val="18"/>
          <w:color w:val="auto"/>
        </w:rPr>
        <w:t>Other ESG topics, including supply chain, human rights, risk management, sustainability programs, DE&amp;I and human capital management</w:t>
      </w:r>
    </w:p>
    <w:p>
      <w:pPr>
        <w:spacing w:after="0" w:line="1004" w:lineRule="exact"/>
        <w:rPr>
          <w:sz w:val="20"/>
          <w:szCs w:val="20"/>
          <w:color w:val="auto"/>
        </w:rPr>
      </w:pPr>
    </w:p>
    <w:p>
      <w:pPr>
        <w:sectPr>
          <w:pgSz w:w="11900" w:h="16838" w:orient="portrait"/>
          <w:cols w:equalWidth="0" w:num="2">
            <w:col w:w="5480" w:space="300"/>
            <w:col w:w="5460"/>
          </w:cols>
          <w:pgMar w:left="320" w:top="1271" w:right="339" w:bottom="1440" w:gutter="0" w:footer="0" w:header="0"/>
          <w:type w:val="continuous"/>
        </w:sect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38</w:t>
      </w:r>
    </w:p>
    <w:p>
      <w:pPr>
        <w:jc w:val="right"/>
        <w:ind w:right="9120"/>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1">
            <w:col w:w="11240"/>
          </w:cols>
          <w:pgMar w:left="320" w:top="1271" w:right="339" w:bottom="1440" w:gutter="0" w:footer="0" w:header="0"/>
          <w:type w:val="continuous"/>
        </w:sectPr>
      </w:pPr>
    </w:p>
    <w:bookmarkStart w:id="46" w:name="page47"/>
    <w:bookmarkEnd w:id="46"/>
    <w:p>
      <w:pPr>
        <w:ind w:right="80"/>
        <w:spacing w:after="0" w:line="262" w:lineRule="auto"/>
        <w:rPr>
          <w:sz w:val="20"/>
          <w:szCs w:val="20"/>
          <w:color w:val="auto"/>
        </w:rPr>
      </w:pPr>
      <w:r>
        <w:rPr>
          <w:rFonts w:ascii="Arial" w:cs="Arial" w:eastAsia="Arial" w:hAnsi="Arial"/>
          <w:sz w:val="18"/>
          <w:szCs w:val="18"/>
          <w:color w:val="auto"/>
        </w:rPr>
        <w:t>We reviewed the key takeaways from these meetings with our shareholders with our Board of Directors, with the goal of continuing to evolve our corporate governance practices to best meet the needs of ADI and our shareholders. While some of the feedback received has led to enhancements to our practices and disclosure, we also received positive feedback regarding certain practices that reconfirmed that our programs continue to be effective from our shareholders’ perspective. For example: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74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WHAT WE HEARD</w:t>
            </w:r>
          </w:p>
        </w:tc>
        <w:tc>
          <w:tcPr>
            <w:tcW w:w="2620" w:type="dxa"/>
            <w:vAlign w:val="bottom"/>
            <w:tcBorders>
              <w:bottom w:val="single" w:sz="8" w:color="0067B3"/>
            </w:tcBorders>
          </w:tcPr>
          <w:p>
            <w:pPr>
              <w:spacing w:after="0"/>
              <w:rPr>
                <w:sz w:val="23"/>
                <w:szCs w:val="23"/>
                <w:color w:val="auto"/>
              </w:rPr>
            </w:pPr>
          </w:p>
        </w:tc>
        <w:tc>
          <w:tcPr>
            <w:tcW w:w="5880" w:type="dxa"/>
            <w:vAlign w:val="bottom"/>
            <w:tcBorders>
              <w:bottom w:val="single" w:sz="8" w:color="0067B3"/>
            </w:tcBorders>
          </w:tcPr>
          <w:p>
            <w:pPr>
              <w:ind w:left="1700"/>
              <w:spacing w:after="0"/>
              <w:rPr>
                <w:sz w:val="20"/>
                <w:szCs w:val="20"/>
                <w:color w:val="auto"/>
              </w:rPr>
            </w:pPr>
            <w:r>
              <w:rPr>
                <w:rFonts w:ascii="Arial" w:cs="Arial" w:eastAsia="Arial" w:hAnsi="Arial"/>
                <w:sz w:val="18"/>
                <w:szCs w:val="18"/>
                <w:b w:val="1"/>
                <w:bCs w:val="1"/>
                <w:color w:val="0067B3"/>
              </w:rPr>
              <w:t>WHAT WE DID</w:t>
            </w:r>
          </w:p>
        </w:tc>
      </w:tr>
      <w:tr>
        <w:trPr>
          <w:trHeight w:val="23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Topic</w:t>
            </w:r>
          </w:p>
        </w:tc>
        <w:tc>
          <w:tcPr>
            <w:tcW w:w="2620" w:type="dxa"/>
            <w:vAlign w:val="bottom"/>
          </w:tcPr>
          <w:p>
            <w:pPr>
              <w:ind w:left="180"/>
              <w:spacing w:after="0"/>
              <w:rPr>
                <w:sz w:val="20"/>
                <w:szCs w:val="20"/>
                <w:color w:val="auto"/>
              </w:rPr>
            </w:pPr>
            <w:r>
              <w:rPr>
                <w:rFonts w:ascii="Arial" w:cs="Arial" w:eastAsia="Arial" w:hAnsi="Arial"/>
                <w:sz w:val="16"/>
                <w:szCs w:val="16"/>
                <w:b w:val="1"/>
                <w:bCs w:val="1"/>
                <w:color w:val="auto"/>
              </w:rPr>
              <w:t>Feedback</w:t>
            </w:r>
          </w:p>
        </w:tc>
        <w:tc>
          <w:tcPr>
            <w:tcW w:w="5880" w:type="dxa"/>
            <w:vAlign w:val="bottom"/>
          </w:tcPr>
          <w:p>
            <w:pPr>
              <w:ind w:left="1740"/>
              <w:spacing w:after="0"/>
              <w:rPr>
                <w:sz w:val="20"/>
                <w:szCs w:val="20"/>
                <w:color w:val="auto"/>
              </w:rPr>
            </w:pPr>
            <w:r>
              <w:rPr>
                <w:rFonts w:ascii="Arial" w:cs="Arial" w:eastAsia="Arial" w:hAnsi="Arial"/>
                <w:sz w:val="16"/>
                <w:szCs w:val="16"/>
                <w:b w:val="1"/>
                <w:bCs w:val="1"/>
                <w:color w:val="auto"/>
              </w:rPr>
              <w:t>Changes for Fiscal Year 2022 and Beyond</w:t>
            </w:r>
          </w:p>
        </w:tc>
      </w:tr>
      <w:tr>
        <w:trPr>
          <w:trHeight w:val="34"/>
        </w:trPr>
        <w:tc>
          <w:tcPr>
            <w:tcW w:w="2740" w:type="dxa"/>
            <w:vAlign w:val="bottom"/>
            <w:tcBorders>
              <w:bottom w:val="single" w:sz="8" w:color="0067B3"/>
            </w:tcBorders>
          </w:tcPr>
          <w:p>
            <w:pPr>
              <w:spacing w:after="0"/>
              <w:rPr>
                <w:sz w:val="3"/>
                <w:szCs w:val="3"/>
                <w:color w:val="auto"/>
              </w:rPr>
            </w:pPr>
          </w:p>
        </w:tc>
        <w:tc>
          <w:tcPr>
            <w:tcW w:w="2620" w:type="dxa"/>
            <w:vAlign w:val="bottom"/>
            <w:tcBorders>
              <w:bottom w:val="single" w:sz="8" w:color="0067B3"/>
            </w:tcBorders>
          </w:tcPr>
          <w:p>
            <w:pPr>
              <w:spacing w:after="0"/>
              <w:rPr>
                <w:sz w:val="3"/>
                <w:szCs w:val="3"/>
                <w:color w:val="auto"/>
              </w:rPr>
            </w:pPr>
          </w:p>
        </w:tc>
        <w:tc>
          <w:tcPr>
            <w:tcW w:w="5880" w:type="dxa"/>
            <w:vAlign w:val="bottom"/>
            <w:tcBorders>
              <w:bottom w:val="single" w:sz="8" w:color="0067B3"/>
            </w:tcBorders>
          </w:tcPr>
          <w:p>
            <w:pPr>
              <w:spacing w:after="0"/>
              <w:rPr>
                <w:sz w:val="3"/>
                <w:szCs w:val="3"/>
                <w:color w:val="auto"/>
              </w:rPr>
            </w:pPr>
          </w:p>
        </w:tc>
      </w:tr>
      <w:tr>
        <w:trPr>
          <w:trHeight w:val="262"/>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2620" w:type="dxa"/>
            <w:vAlign w:val="bottom"/>
          </w:tcPr>
          <w:p>
            <w:pPr>
              <w:spacing w:after="0"/>
              <w:rPr>
                <w:sz w:val="22"/>
                <w:szCs w:val="22"/>
                <w:color w:val="auto"/>
              </w:rPr>
            </w:pPr>
          </w:p>
        </w:tc>
        <w:tc>
          <w:tcPr>
            <w:tcW w:w="58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-358140</wp:posOffset>
            </wp:positionV>
            <wp:extent cx="2760345" cy="58889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60345" cy="58889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p>
      <w:pPr>
        <w:spacing w:after="0" w:line="185" w:lineRule="exact"/>
        <w:rPr>
          <w:sz w:val="20"/>
          <w:szCs w:val="20"/>
          <w:color w:val="auto"/>
        </w:rPr>
      </w:pPr>
    </w:p>
    <w:p>
      <w:pPr>
        <w:jc w:val="both"/>
        <w:ind w:left="2920" w:hanging="2888"/>
        <w:spacing w:after="0" w:line="268" w:lineRule="auto"/>
        <w:tabs>
          <w:tab w:leader="none" w:pos="2900" w:val="left"/>
        </w:tabs>
        <w:rPr>
          <w:sz w:val="20"/>
          <w:szCs w:val="20"/>
          <w:color w:val="auto"/>
        </w:rPr>
      </w:pPr>
      <w:r>
        <w:rPr>
          <w:rFonts w:ascii="Arial" w:cs="Arial" w:eastAsia="Arial" w:hAnsi="Arial"/>
          <w:sz w:val="18"/>
          <w:szCs w:val="18"/>
          <w:i w:val="1"/>
          <w:iCs w:val="1"/>
          <w:color w:val="auto"/>
        </w:rPr>
        <w:t>Design of Program Generally</w:t>
      </w:r>
      <w:r>
        <w:rPr>
          <w:sz w:val="20"/>
          <w:szCs w:val="20"/>
          <w:color w:val="auto"/>
        </w:rPr>
        <w:tab/>
      </w:r>
      <w:r>
        <w:rPr>
          <w:rFonts w:ascii="Arial" w:cs="Arial" w:eastAsia="Arial" w:hAnsi="Arial"/>
          <w:sz w:val="18"/>
          <w:szCs w:val="18"/>
          <w:color w:val="auto"/>
        </w:rPr>
        <w:t>Shareholders were generally pleased with the overall design and framework of our executive compensation program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99" w:right="40" w:hanging="199"/>
        <w:spacing w:after="0" w:line="256" w:lineRule="auto"/>
        <w:tabs>
          <w:tab w:leader="none" w:pos="162" w:val="left"/>
        </w:tabs>
        <w:numPr>
          <w:ilvl w:val="0"/>
          <w:numId w:val="52"/>
        </w:numPr>
        <w:rPr>
          <w:rFonts w:ascii="Arial" w:cs="Arial" w:eastAsia="Arial" w:hAnsi="Arial"/>
          <w:sz w:val="18"/>
          <w:szCs w:val="18"/>
          <w:color w:val="0067B3"/>
        </w:rPr>
      </w:pPr>
      <w:r>
        <w:rPr>
          <w:rFonts w:ascii="Arial" w:cs="Arial" w:eastAsia="Arial" w:hAnsi="Arial"/>
          <w:sz w:val="18"/>
          <w:szCs w:val="18"/>
          <w:color w:val="auto"/>
        </w:rPr>
        <w:t xml:space="preserve">The Compensation and Talent Committee did not significantly revise the design of our executive compensation program for fiscal year 2022, other than as noted under </w:t>
      </w:r>
      <w:r>
        <w:rPr>
          <w:rFonts w:ascii="Arial" w:cs="Arial" w:eastAsia="Arial" w:hAnsi="Arial"/>
          <w:sz w:val="18"/>
          <w:szCs w:val="18"/>
          <w:i w:val="1"/>
          <w:iCs w:val="1"/>
          <w:color w:val="auto"/>
        </w:rPr>
        <w:t>Notable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Decisions for Fiscal Year 2022</w:t>
      </w:r>
      <w:r>
        <w:rPr>
          <w:rFonts w:ascii="Arial" w:cs="Arial" w:eastAsia="Arial" w:hAnsi="Arial"/>
          <w:sz w:val="18"/>
          <w:szCs w:val="18"/>
          <w:color w:val="auto"/>
        </w:rPr>
        <w:t>, and does not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significantly revise the program in fiscal year 2023 based on the feedback received</w:t>
      </w:r>
    </w:p>
    <w:p>
      <w:pPr>
        <w:spacing w:after="0" w:line="183" w:lineRule="exact"/>
        <w:rPr>
          <w:sz w:val="20"/>
          <w:szCs w:val="20"/>
          <w:color w:val="auto"/>
        </w:rPr>
      </w:pPr>
    </w:p>
    <w:p>
      <w:pPr>
        <w:sectPr>
          <w:pgSz w:w="11900" w:h="16838" w:orient="portrait"/>
          <w:cols w:equalWidth="0" w:num="2">
            <w:col w:w="6580" w:space="461"/>
            <w:col w:w="4199"/>
          </w:cols>
          <w:pgMar w:left="320" w:top="1174" w:right="339" w:bottom="1440" w:gutter="0" w:footer="0" w:header="0"/>
          <w:type w:val="continuous"/>
        </w:sectPr>
      </w:pPr>
    </w:p>
    <w:p>
      <w:pPr>
        <w:ind w:left="20"/>
        <w:spacing w:after="0"/>
        <w:tabs>
          <w:tab w:leader="none" w:pos="2900" w:val="left"/>
        </w:tabs>
        <w:rPr>
          <w:sz w:val="20"/>
          <w:szCs w:val="20"/>
          <w:color w:val="auto"/>
        </w:rPr>
      </w:pPr>
      <w:r>
        <w:rPr>
          <w:rFonts w:ascii="Arial" w:cs="Arial" w:eastAsia="Arial" w:hAnsi="Arial"/>
          <w:sz w:val="18"/>
          <w:szCs w:val="18"/>
          <w:i w:val="1"/>
          <w:iCs w:val="1"/>
          <w:color w:val="auto"/>
        </w:rPr>
        <w:t>Special One-Time Award to CEO</w:t>
      </w:r>
      <w:r>
        <w:rPr>
          <w:sz w:val="20"/>
          <w:szCs w:val="20"/>
          <w:color w:val="auto"/>
        </w:rPr>
        <w:tab/>
      </w:r>
      <w:r>
        <w:rPr>
          <w:rFonts w:ascii="Arial" w:cs="Arial" w:eastAsia="Arial" w:hAnsi="Arial"/>
          <w:sz w:val="17"/>
          <w:szCs w:val="17"/>
          <w:color w:val="auto"/>
        </w:rPr>
        <w:t>While some shareholders expressed a concern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with the granting of a one-time special award</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during fiscal year 2021 to our CEO, most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shareholders understood the rationale behind</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the special one-time award and appreciated the</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disclosure in our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43719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i w:val="1"/>
          <w:iCs w:val="1"/>
          <w:color w:val="auto"/>
        </w:rPr>
        <w:t>Combined CEO and Chair Role</w:t>
      </w:r>
      <w:r>
        <w:rPr>
          <w:sz w:val="20"/>
          <w:szCs w:val="20"/>
          <w:color w:val="auto"/>
        </w:rPr>
        <w:tab/>
      </w:r>
      <w:r>
        <w:rPr>
          <w:rFonts w:ascii="Arial" w:cs="Arial" w:eastAsia="Arial" w:hAnsi="Arial"/>
          <w:sz w:val="17"/>
          <w:szCs w:val="17"/>
          <w:color w:val="auto"/>
        </w:rPr>
        <w:t>Shareholders appreciated that our Board of</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Directors enhanced the responsibilities of the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Presiding Director under our Corporate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Governance Guidelines</w:t>
      </w:r>
    </w:p>
    <w:p>
      <w:pPr>
        <w:spacing w:after="0" w:line="99" w:lineRule="exact"/>
        <w:rPr>
          <w:sz w:val="20"/>
          <w:szCs w:val="20"/>
          <w:color w:val="auto"/>
        </w:rPr>
      </w:pPr>
    </w:p>
    <w:p>
      <w:pPr>
        <w:ind w:left="2920" w:right="200" w:hanging="2888"/>
        <w:spacing w:after="0" w:line="287" w:lineRule="auto"/>
        <w:tabs>
          <w:tab w:leader="none" w:pos="2900" w:val="left"/>
        </w:tabs>
        <w:rPr>
          <w:sz w:val="20"/>
          <w:szCs w:val="20"/>
          <w:color w:val="auto"/>
        </w:rPr>
      </w:pPr>
      <w:r>
        <w:rPr>
          <w:rFonts w:ascii="Arial" w:cs="Arial" w:eastAsia="Arial" w:hAnsi="Arial"/>
          <w:sz w:val="18"/>
          <w:szCs w:val="18"/>
          <w:i w:val="1"/>
          <w:iCs w:val="1"/>
          <w:color w:val="auto"/>
        </w:rPr>
        <w:t>Board Refreshment and Tenure</w:t>
      </w:r>
      <w:r>
        <w:rPr>
          <w:sz w:val="20"/>
          <w:szCs w:val="20"/>
          <w:color w:val="auto"/>
        </w:rPr>
        <w:tab/>
      </w:r>
      <w:r>
        <w:rPr>
          <w:rFonts w:ascii="Arial" w:cs="Arial" w:eastAsia="Arial" w:hAnsi="Arial"/>
          <w:sz w:val="18"/>
          <w:szCs w:val="18"/>
          <w:color w:val="auto"/>
        </w:rPr>
        <w:t>Shareholders were interested in our Board of Directors’ refreshment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43719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ESG MATTERS</w:t>
      </w:r>
    </w:p>
    <w:p>
      <w:pPr>
        <w:spacing w:after="0" w:line="293"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i w:val="1"/>
          <w:iCs w:val="1"/>
          <w:color w:val="auto"/>
        </w:rPr>
        <w:t>ESG Report and Targets</w:t>
      </w:r>
      <w:r>
        <w:rPr>
          <w:sz w:val="20"/>
          <w:szCs w:val="20"/>
          <w:color w:val="auto"/>
        </w:rPr>
        <w:tab/>
      </w:r>
      <w:r>
        <w:rPr>
          <w:rFonts w:ascii="Arial" w:cs="Arial" w:eastAsia="Arial" w:hAnsi="Arial"/>
          <w:sz w:val="17"/>
          <w:szCs w:val="17"/>
          <w:color w:val="auto"/>
        </w:rPr>
        <w:t>Shareholders commended our ESG practices</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and reporting, including enhanced governance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structure and ambitious environmental targets</w:t>
      </w:r>
    </w:p>
    <w:p>
      <w:pPr>
        <w:spacing w:after="0" w:line="315"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i w:val="1"/>
          <w:iCs w:val="1"/>
          <w:color w:val="auto"/>
        </w:rPr>
        <w:t>Human Capital Matters</w:t>
      </w:r>
      <w:r>
        <w:rPr>
          <w:sz w:val="20"/>
          <w:szCs w:val="20"/>
          <w:color w:val="auto"/>
        </w:rPr>
        <w:tab/>
      </w:r>
      <w:r>
        <w:rPr>
          <w:rFonts w:ascii="Arial" w:cs="Arial" w:eastAsia="Arial" w:hAnsi="Arial"/>
          <w:sz w:val="17"/>
          <w:szCs w:val="17"/>
          <w:color w:val="auto"/>
        </w:rPr>
        <w:t>Shareholders inquired about attrition, DE&amp;I</w:t>
      </w:r>
    </w:p>
    <w:p>
      <w:pPr>
        <w:spacing w:after="0" w:line="27" w:lineRule="exact"/>
        <w:rPr>
          <w:sz w:val="20"/>
          <w:szCs w:val="20"/>
          <w:color w:val="auto"/>
        </w:rPr>
      </w:pPr>
    </w:p>
    <w:p>
      <w:pPr>
        <w:ind w:left="2920" w:right="40"/>
        <w:spacing w:after="0" w:line="266" w:lineRule="auto"/>
        <w:rPr>
          <w:sz w:val="20"/>
          <w:szCs w:val="20"/>
          <w:color w:val="auto"/>
        </w:rPr>
      </w:pPr>
      <w:r>
        <w:rPr>
          <w:rFonts w:ascii="Arial" w:cs="Arial" w:eastAsia="Arial" w:hAnsi="Arial"/>
          <w:sz w:val="18"/>
          <w:szCs w:val="18"/>
          <w:color w:val="auto"/>
        </w:rPr>
        <w:t>objectives and human capital topics, and noted that we have robust DE&amp;I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9" w:right="200" w:hanging="199"/>
        <w:spacing w:after="0" w:line="259" w:lineRule="auto"/>
        <w:tabs>
          <w:tab w:leader="none" w:pos="162" w:val="left"/>
        </w:tabs>
        <w:numPr>
          <w:ilvl w:val="0"/>
          <w:numId w:val="53"/>
        </w:numPr>
        <w:rPr>
          <w:rFonts w:ascii="Arial" w:cs="Arial" w:eastAsia="Arial" w:hAnsi="Arial"/>
          <w:sz w:val="18"/>
          <w:szCs w:val="18"/>
          <w:color w:val="0067B3"/>
        </w:rPr>
      </w:pPr>
      <w:r>
        <w:rPr>
          <w:rFonts w:ascii="Arial" w:cs="Arial" w:eastAsia="Arial" w:hAnsi="Arial"/>
          <w:sz w:val="18"/>
          <w:szCs w:val="18"/>
          <w:color w:val="auto"/>
        </w:rPr>
        <w:t>The Compensation and Talent Committee confirms that it does not intend to make future special awards to our CEO and Chair outside of our ongoing annual incentive program while the current grant remains outstanding</w:t>
      </w:r>
    </w:p>
    <w:p>
      <w:pPr>
        <w:spacing w:after="0" w:line="200" w:lineRule="exact"/>
        <w:rPr>
          <w:rFonts w:ascii="Arial" w:cs="Arial" w:eastAsia="Arial" w:hAnsi="Arial"/>
          <w:sz w:val="18"/>
          <w:szCs w:val="18"/>
          <w:color w:val="0067B3"/>
        </w:rPr>
      </w:pPr>
    </w:p>
    <w:p>
      <w:pPr>
        <w:spacing w:after="0" w:line="200" w:lineRule="exact"/>
        <w:rPr>
          <w:rFonts w:ascii="Arial" w:cs="Arial" w:eastAsia="Arial" w:hAnsi="Arial"/>
          <w:sz w:val="18"/>
          <w:szCs w:val="18"/>
          <w:color w:val="0067B3"/>
        </w:rPr>
      </w:pPr>
    </w:p>
    <w:p>
      <w:pPr>
        <w:spacing w:after="0" w:line="238" w:lineRule="exact"/>
        <w:rPr>
          <w:rFonts w:ascii="Arial" w:cs="Arial" w:eastAsia="Arial" w:hAnsi="Arial"/>
          <w:sz w:val="18"/>
          <w:szCs w:val="18"/>
          <w:color w:val="0067B3"/>
        </w:rPr>
      </w:pPr>
    </w:p>
    <w:p>
      <w:pPr>
        <w:ind w:left="199" w:right="240" w:hanging="199"/>
        <w:spacing w:after="0" w:line="268" w:lineRule="auto"/>
        <w:tabs>
          <w:tab w:leader="none" w:pos="162" w:val="left"/>
        </w:tabs>
        <w:numPr>
          <w:ilvl w:val="0"/>
          <w:numId w:val="53"/>
        </w:numPr>
        <w:rPr>
          <w:rFonts w:ascii="Arial" w:cs="Arial" w:eastAsia="Arial" w:hAnsi="Arial"/>
          <w:sz w:val="18"/>
          <w:szCs w:val="18"/>
          <w:color w:val="0067B3"/>
        </w:rPr>
      </w:pPr>
      <w:r>
        <w:rPr>
          <w:rFonts w:ascii="Arial" w:cs="Arial" w:eastAsia="Arial" w:hAnsi="Arial"/>
          <w:sz w:val="18"/>
          <w:szCs w:val="18"/>
          <w:color w:val="auto"/>
        </w:rPr>
        <w:t>Our Board of Directors believes the combined CEO and Chair role is the appropriate structure given our strategic objectives</w:t>
      </w:r>
    </w:p>
    <w:p>
      <w:pPr>
        <w:spacing w:after="0" w:line="278" w:lineRule="exact"/>
        <w:rPr>
          <w:rFonts w:ascii="Arial" w:cs="Arial" w:eastAsia="Arial" w:hAnsi="Arial"/>
          <w:sz w:val="18"/>
          <w:szCs w:val="18"/>
          <w:color w:val="0067B3"/>
        </w:rPr>
      </w:pPr>
    </w:p>
    <w:p>
      <w:pPr>
        <w:ind w:left="199" w:right="80" w:hanging="199"/>
        <w:spacing w:after="0" w:line="256" w:lineRule="auto"/>
        <w:tabs>
          <w:tab w:leader="none" w:pos="162" w:val="left"/>
        </w:tabs>
        <w:numPr>
          <w:ilvl w:val="0"/>
          <w:numId w:val="53"/>
        </w:numPr>
        <w:rPr>
          <w:rFonts w:ascii="Arial" w:cs="Arial" w:eastAsia="Arial" w:hAnsi="Arial"/>
          <w:sz w:val="18"/>
          <w:szCs w:val="18"/>
          <w:color w:val="0067B3"/>
        </w:rPr>
      </w:pPr>
      <w:r>
        <w:rPr>
          <w:rFonts w:ascii="Arial" w:cs="Arial" w:eastAsia="Arial" w:hAnsi="Arial"/>
          <w:sz w:val="18"/>
          <w:szCs w:val="18"/>
          <w:color w:val="auto"/>
        </w:rPr>
        <w:t>Our Board of Directors continues its focus on refreshment practices to align with our strategic visions and objectives, including welcoming André Andonian to the Board of Directors in June 2022. Mr. Andonian brings significant industry, strategic and leadership experience to our Board of Directors</w:t>
      </w:r>
    </w:p>
    <w:p>
      <w:pPr>
        <w:spacing w:after="0" w:line="200" w:lineRule="exact"/>
        <w:rPr>
          <w:rFonts w:ascii="Arial" w:cs="Arial" w:eastAsia="Arial" w:hAnsi="Arial"/>
          <w:sz w:val="18"/>
          <w:szCs w:val="18"/>
          <w:color w:val="0067B3"/>
        </w:rPr>
      </w:pPr>
    </w:p>
    <w:p>
      <w:pPr>
        <w:spacing w:after="0" w:line="347" w:lineRule="exact"/>
        <w:rPr>
          <w:rFonts w:ascii="Arial" w:cs="Arial" w:eastAsia="Arial" w:hAnsi="Arial"/>
          <w:sz w:val="18"/>
          <w:szCs w:val="18"/>
          <w:color w:val="0067B3"/>
        </w:rPr>
      </w:pPr>
    </w:p>
    <w:p>
      <w:pPr>
        <w:ind w:left="199" w:right="120" w:hanging="199"/>
        <w:spacing w:after="0" w:line="262" w:lineRule="auto"/>
        <w:tabs>
          <w:tab w:leader="none" w:pos="162" w:val="left"/>
        </w:tabs>
        <w:numPr>
          <w:ilvl w:val="0"/>
          <w:numId w:val="53"/>
        </w:numPr>
        <w:rPr>
          <w:rFonts w:ascii="Arial" w:cs="Arial" w:eastAsia="Arial" w:hAnsi="Arial"/>
          <w:sz w:val="18"/>
          <w:szCs w:val="18"/>
          <w:color w:val="0067B3"/>
        </w:rPr>
      </w:pPr>
      <w:r>
        <w:rPr>
          <w:rFonts w:ascii="Arial" w:cs="Arial" w:eastAsia="Arial" w:hAnsi="Arial"/>
          <w:sz w:val="18"/>
          <w:szCs w:val="18"/>
          <w:color w:val="auto"/>
        </w:rPr>
        <w:t>Continued to enhance our disclosure in our 2021 ESG Report issued in June 2022 and plan to continue to provide robust disclosure in our 2022 ESG Report</w:t>
      </w:r>
    </w:p>
    <w:p>
      <w:pPr>
        <w:spacing w:after="0" w:line="68" w:lineRule="exact"/>
        <w:rPr>
          <w:rFonts w:ascii="Arial" w:cs="Arial" w:eastAsia="Arial" w:hAnsi="Arial"/>
          <w:sz w:val="18"/>
          <w:szCs w:val="18"/>
          <w:color w:val="0067B3"/>
        </w:rPr>
      </w:pPr>
    </w:p>
    <w:p>
      <w:pPr>
        <w:ind w:left="199" w:right="240" w:hanging="199"/>
        <w:spacing w:after="0" w:line="262" w:lineRule="auto"/>
        <w:tabs>
          <w:tab w:leader="none" w:pos="162" w:val="left"/>
        </w:tabs>
        <w:numPr>
          <w:ilvl w:val="0"/>
          <w:numId w:val="53"/>
        </w:numPr>
        <w:rPr>
          <w:rFonts w:ascii="Arial" w:cs="Arial" w:eastAsia="Arial" w:hAnsi="Arial"/>
          <w:sz w:val="18"/>
          <w:szCs w:val="18"/>
          <w:color w:val="0067B3"/>
        </w:rPr>
      </w:pPr>
      <w:r>
        <w:rPr>
          <w:rFonts w:ascii="Arial" w:cs="Arial" w:eastAsia="Arial" w:hAnsi="Arial"/>
          <w:sz w:val="18"/>
          <w:szCs w:val="18"/>
          <w:color w:val="auto"/>
        </w:rPr>
        <w:t>Our Board of Directors enhanced the purview of the Compensation and Talent Committee to specifically include oversight of human capital management and diversity</w:t>
      </w:r>
    </w:p>
    <w:p>
      <w:pPr>
        <w:spacing w:after="0" w:line="200" w:lineRule="exact"/>
        <w:rPr>
          <w:sz w:val="20"/>
          <w:szCs w:val="20"/>
          <w:color w:val="auto"/>
        </w:rPr>
      </w:pPr>
    </w:p>
    <w:p>
      <w:pPr>
        <w:sectPr>
          <w:pgSz w:w="11900" w:h="16838" w:orient="portrait"/>
          <w:cols w:equalWidth="0" w:num="2">
            <w:col w:w="6700" w:space="341"/>
            <w:col w:w="4199"/>
          </w:cols>
          <w:pgMar w:left="320" w:top="1174" w:right="339" w:bottom="1440" w:gutter="0" w:footer="0" w:header="0"/>
          <w:type w:val="continuous"/>
        </w:sectPr>
      </w:pPr>
    </w:p>
    <w:p>
      <w:pPr>
        <w:spacing w:after="0" w:line="9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pacing w:after="0" w:line="310"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39</w:t>
      </w:r>
    </w:p>
    <w:p>
      <w:pPr>
        <w:sectPr>
          <w:pgSz w:w="11900" w:h="16838" w:orient="portrait"/>
          <w:cols w:equalWidth="0" w:num="1">
            <w:col w:w="11240"/>
          </w:cols>
          <w:pgMar w:left="320" w:top="117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32"/>
          <w:szCs w:val="32"/>
          <w:b w:val="1"/>
          <w:bCs w:val="1"/>
          <w:color w:val="auto"/>
        </w:rPr>
        <w:t>Communications from Shareholders and Other Interested Parties</w:t>
      </w:r>
    </w:p>
    <w:p>
      <w:pPr>
        <w:spacing w:after="0" w:line="15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 of the Nominating and Corporate Governance Committee will, with the assistance of ADI’s internal legal counsel, (1) be primarily responsible for monitoring communications from shareholders and other interested parties and (2) provide copies or summaries of such communications to the other directors as he or she considers appropriate.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ADI tends to receive repetitive or duplicative communications.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Shareholders and other interested parties who wish to send communications on any topic to our Board of Directors (including the Presiding Director or the independent directors as a group) should address such communications to James A. Champy, Presiding Director, c/o Secretary, Analog Devices, Inc., One Analog Way, Wilmington, Massachusetts 01887.</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Governance Matters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Documents</w:t>
      </w:r>
    </w:p>
    <w:p>
      <w:pPr>
        <w:spacing w:after="0" w:line="15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Visit our website at https://investor.analog.com/governance/governance-documents to view our corporate governance documents and policies, including:</w:t>
      </w:r>
    </w:p>
    <w:p>
      <w:pPr>
        <w:spacing w:after="0" w:line="4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0067B3"/>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0067B3"/>
        </w:rPr>
      </w:pPr>
    </w:p>
    <w:p>
      <w:pPr>
        <w:ind w:left="160" w:hanging="152"/>
        <w:spacing w:after="0"/>
        <w:tabs>
          <w:tab w:leader="none" w:pos="160" w:val="left"/>
        </w:tabs>
        <w:numPr>
          <w:ilvl w:val="0"/>
          <w:numId w:val="54"/>
        </w:numPr>
        <w:rPr>
          <w:rFonts w:ascii="Arial" w:cs="Arial" w:eastAsia="Arial" w:hAnsi="Arial"/>
          <w:sz w:val="18"/>
          <w:szCs w:val="18"/>
          <w:color w:val="0067B3"/>
        </w:rPr>
      </w:pPr>
      <w:r>
        <w:rPr>
          <w:rFonts w:ascii="Arial" w:cs="Arial" w:eastAsia="Arial" w:hAnsi="Arial"/>
          <w:sz w:val="18"/>
          <w:szCs w:val="18"/>
          <w:color w:val="auto"/>
        </w:rPr>
        <w:t>Committee Charters</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54"/>
        </w:numPr>
        <w:rPr>
          <w:rFonts w:ascii="Arial" w:cs="Arial" w:eastAsia="Arial" w:hAnsi="Arial"/>
          <w:sz w:val="18"/>
          <w:szCs w:val="18"/>
          <w:color w:val="0067B3"/>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54"/>
        </w:numPr>
        <w:rPr>
          <w:rFonts w:ascii="Arial" w:cs="Arial" w:eastAsia="Arial" w:hAnsi="Arial"/>
          <w:sz w:val="18"/>
          <w:szCs w:val="18"/>
          <w:color w:val="0067B3"/>
        </w:rPr>
      </w:pPr>
      <w:r>
        <w:rPr>
          <w:rFonts w:ascii="Arial" w:cs="Arial" w:eastAsia="Arial" w:hAnsi="Arial"/>
          <w:sz w:val="18"/>
          <w:szCs w:val="18"/>
          <w:color w:val="auto"/>
        </w:rPr>
        <w:t>Political Contributions and Expenditures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40</w:t>
      </w:r>
    </w:p>
    <w:p>
      <w:pPr>
        <w:ind w:left="480"/>
        <w:spacing w:after="0"/>
        <w:rPr>
          <w:sz w:val="20"/>
          <w:szCs w:val="20"/>
          <w:color w:val="auto"/>
        </w:rPr>
      </w:pPr>
      <w:r>
        <w:rPr>
          <w:rFonts w:ascii="Arial" w:cs="Arial" w:eastAsia="Arial" w:hAnsi="Arial"/>
          <w:sz w:val="16"/>
          <w:szCs w:val="16"/>
          <w:color w:val="6D6E71"/>
        </w:rPr>
        <w:t>Corporate Governance</w:t>
      </w:r>
    </w:p>
    <w:p>
      <w:pPr>
        <w:sectPr>
          <w:pgSz w:w="11900" w:h="16838" w:orient="portrait"/>
          <w:cols w:equalWidth="0" w:num="1">
            <w:col w:w="11160"/>
          </w:cols>
          <w:pgMar w:left="320" w:top="1311" w:right="419" w:bottom="1440" w:gutter="0" w:footer="0" w:header="0"/>
        </w:sectPr>
      </w:pPr>
    </w:p>
    <w:bookmarkStart w:id="48" w:name="page49"/>
    <w:bookmarkEnd w:id="48"/>
    <w:p>
      <w:pPr>
        <w:spacing w:after="0"/>
        <w:rPr>
          <w:sz w:val="20"/>
          <w:szCs w:val="20"/>
          <w:color w:val="auto"/>
        </w:rPr>
      </w:pPr>
      <w:r>
        <w:rPr>
          <w:rFonts w:ascii="Arial" w:cs="Arial" w:eastAsia="Arial" w:hAnsi="Arial"/>
          <w:sz w:val="32"/>
          <w:szCs w:val="32"/>
          <w:b w:val="1"/>
          <w:bCs w:val="1"/>
          <w:color w:val="auto"/>
        </w:rPr>
        <w:t>Certain Relationships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Transactions with Related Persons</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There were no related-person transactions that would require disclosure under Item 404 of Regulation S-K under the Exchange Act since the beginning of fiscal year 2022 through the date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Policies and Procedures for Related Person Transactions</w:t>
      </w:r>
    </w:p>
    <w:p>
      <w:pPr>
        <w:spacing w:after="0" w:line="1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ADI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6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Audit Committee. Whenever practicable, the reporting, review and approval will occur prior to entry into the transaction. If our Chief Legal Officer determines that advance review and approval is not practicable, the Audit Committee will review, and, in its discretion, may ratify the related person transaction at the next meeting of the Audit Committee. The policy also permits the Chair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63"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The related person’s interest in the related person transaction;</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0067B3"/>
        </w:rPr>
      </w:pPr>
    </w:p>
    <w:p>
      <w:pPr>
        <w:ind w:left="200" w:right="180" w:hanging="192"/>
        <w:spacing w:after="0" w:line="287" w:lineRule="auto"/>
        <w:tabs>
          <w:tab w:leader="none" w:pos="163"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 w:lineRule="exact"/>
        <w:rPr>
          <w:rFonts w:ascii="Arial" w:cs="Arial" w:eastAsia="Arial" w:hAnsi="Arial"/>
          <w:sz w:val="18"/>
          <w:szCs w:val="18"/>
          <w:color w:val="0067B3"/>
        </w:rPr>
      </w:pPr>
    </w:p>
    <w:p>
      <w:pPr>
        <w:ind w:left="160" w:hanging="152"/>
        <w:spacing w:after="0"/>
        <w:tabs>
          <w:tab w:leader="none" w:pos="160"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Whether the transaction was undertaken in the ordinary course of our business;</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90" w:lineRule="exact"/>
        <w:rPr>
          <w:rFonts w:ascii="Arial" w:cs="Arial" w:eastAsia="Arial" w:hAnsi="Arial"/>
          <w:sz w:val="18"/>
          <w:szCs w:val="18"/>
          <w:color w:val="0067B3"/>
        </w:rPr>
      </w:pPr>
    </w:p>
    <w:p>
      <w:pPr>
        <w:ind w:left="160" w:hanging="152"/>
        <w:spacing w:after="0"/>
        <w:tabs>
          <w:tab w:leader="none" w:pos="160"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The purpose of, and the potential benefits to us of, the transaction; and</w:t>
      </w:r>
    </w:p>
    <w:p>
      <w:pPr>
        <w:spacing w:after="0" w:line="76" w:lineRule="exact"/>
        <w:rPr>
          <w:rFonts w:ascii="Arial" w:cs="Arial" w:eastAsia="Arial" w:hAnsi="Arial"/>
          <w:sz w:val="18"/>
          <w:szCs w:val="18"/>
          <w:color w:val="0067B3"/>
        </w:rPr>
      </w:pPr>
    </w:p>
    <w:p>
      <w:pPr>
        <w:ind w:left="200" w:right="200" w:hanging="192"/>
        <w:spacing w:after="0" w:line="287" w:lineRule="auto"/>
        <w:tabs>
          <w:tab w:leader="none" w:pos="163" w:val="left"/>
        </w:tabs>
        <w:numPr>
          <w:ilvl w:val="0"/>
          <w:numId w:val="55"/>
        </w:numPr>
        <w:rPr>
          <w:rFonts w:ascii="Arial" w:cs="Arial" w:eastAsia="Arial" w:hAnsi="Arial"/>
          <w:sz w:val="18"/>
          <w:szCs w:val="18"/>
          <w:color w:val="0067B3"/>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may approve or ratify the related person transaction only if the Audit Committee determines that, under all of the circumstances, the transaction is in ADI’s best interests. The Audit Committee may, in its sole discretion, impose any conditions on ADI or the related person in connection with the approval of the related person transaction.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63" w:lineRule="exact"/>
        <w:rPr>
          <w:sz w:val="20"/>
          <w:szCs w:val="20"/>
          <w:color w:val="auto"/>
        </w:rPr>
      </w:pPr>
    </w:p>
    <w:p>
      <w:pPr>
        <w:ind w:left="200" w:hanging="192"/>
        <w:spacing w:after="0" w:line="257" w:lineRule="auto"/>
        <w:tabs>
          <w:tab w:leader="none" w:pos="163" w:val="left"/>
        </w:tabs>
        <w:numPr>
          <w:ilvl w:val="0"/>
          <w:numId w:val="56"/>
        </w:numPr>
        <w:rPr>
          <w:rFonts w:ascii="Arial" w:cs="Arial" w:eastAsia="Arial" w:hAnsi="Arial"/>
          <w:sz w:val="18"/>
          <w:szCs w:val="18"/>
          <w:color w:val="0067B3"/>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3" w:lineRule="exact"/>
        <w:rPr>
          <w:rFonts w:ascii="Arial" w:cs="Arial" w:eastAsia="Arial" w:hAnsi="Arial"/>
          <w:sz w:val="18"/>
          <w:szCs w:val="18"/>
          <w:color w:val="0067B3"/>
        </w:rPr>
      </w:pPr>
    </w:p>
    <w:p>
      <w:pPr>
        <w:ind w:left="160" w:hanging="152"/>
        <w:spacing w:after="0"/>
        <w:tabs>
          <w:tab w:leader="none" w:pos="160" w:val="left"/>
        </w:tabs>
        <w:numPr>
          <w:ilvl w:val="0"/>
          <w:numId w:val="56"/>
        </w:numPr>
        <w:rPr>
          <w:rFonts w:ascii="Arial" w:cs="Arial" w:eastAsia="Arial" w:hAnsi="Arial"/>
          <w:sz w:val="18"/>
          <w:szCs w:val="18"/>
          <w:color w:val="0067B3"/>
        </w:rPr>
      </w:pPr>
      <w:r>
        <w:rPr>
          <w:rFonts w:ascii="Arial" w:cs="Arial" w:eastAsia="Arial" w:hAnsi="Arial"/>
          <w:sz w:val="18"/>
          <w:szCs w:val="18"/>
          <w:color w:val="auto"/>
        </w:rPr>
        <w:t>The transactions that are specifically contemplated by provisions of ADI’s charter or bylaws.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policy provides that the related person transactions involving compensation of executive officers shall be reviewed and approved by the Compensation and Talent Committee in the manner specified in its charter.</w:t>
      </w:r>
    </w:p>
    <w:p>
      <w:pPr>
        <w:sectPr>
          <w:pgSz w:w="11900" w:h="16838" w:orient="portrait"/>
          <w:cols w:equalWidth="0" w:num="1">
            <w:col w:w="11240"/>
          </w:cols>
          <w:pgMar w:left="320" w:top="1311" w:right="339" w:bottom="1440" w:gutter="0" w:footer="0" w:header="0"/>
        </w:sectPr>
      </w:pPr>
    </w:p>
    <w:p>
      <w:pPr>
        <w:spacing w:after="0" w:line="31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41</w:t>
      </w:r>
    </w:p>
    <w:p>
      <w:pPr>
        <w:sectPr>
          <w:pgSz w:w="11900" w:h="16838" w:orient="portrait"/>
          <w:cols w:equalWidth="0" w:num="1">
            <w:col w:w="11240"/>
          </w:cols>
          <w:pgMar w:left="320" w:top="131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58"/>
          <w:szCs w:val="58"/>
          <w:color w:val="auto"/>
        </w:rPr>
        <w:t>Director Compensation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w:t>
      </w:r>
    </w:p>
    <w:p>
      <w:pPr>
        <w:spacing w:after="0" w:line="1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Presiding Director also receives an additional cash retainer. Mr. Roche, as an</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employee director, does not receive any additional compensation for his services as director, as Chair of the Board of Directors, or as Chair of the Corporate Development Committee.</w:t>
      </w:r>
    </w:p>
    <w:p>
      <w:pPr>
        <w:spacing w:after="0" w:line="7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Board of Directors has delegated to the Compensation and Talent Committee the responsibility to review and recommend to the Board of Directors any proposed changes to non-employee director compensation. Annually, the Compensation and Talent Committee reviews with Pearl Meyer, the Compensation and Talent Committee’s independent compensation consultant, non-employee director compensation</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information for our peer group to check the alignment of our non-employee director compensation package with market practice and current trends. The Compensation and Talent Committee then makes recommendations to the full Board of Directors with respect to compensation</w:t>
      </w:r>
    </w:p>
    <w:p>
      <w:pPr>
        <w:spacing w:after="0" w:line="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of our non-employee directors, and the full Board of Directors reviews these recommendations and makes a final determination. In fiscal year 2022, we (i) increased the annual retainer for each member of the Board of Directors from $80,000 to $90,000, (ii) increased the Presiding Director Retainer from $25,000 to $40,000, and (iii) increased the value of the annual equity award from an equivalent of $210,000 to an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equivalent of $225,000. In fiscal year 2022, we granted 100% of the value of the annual equity award to each of our non-employee directors in the form of time-based RSUs. These RSUs vest in full on the earlier of the first anniversary of the date of grant or the date of ADI’s next</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annual meeting of shareholders. On March 9, 2022, we granted each non-employee director 1,495 RSUs for services to be provided from that date until the earlier of the first anniversary of the date of the grant or ADI’s next annual meeting of shareholders. On July 15, 2022, Mr. Andonian, who joined our Board of Directors in June 2022, was granted 1,015 RSUs for services to be provided from the date of his initial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election as a director through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Annual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Board Retainers: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Compensation Element</w:t>
            </w:r>
          </w:p>
        </w:tc>
        <w:tc>
          <w:tcPr>
            <w:tcW w:w="144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Annual Cash</w:t>
            </w:r>
          </w:p>
        </w:tc>
        <w:tc>
          <w:tcPr>
            <w:tcW w:w="0" w:type="dxa"/>
            <w:vAlign w:val="bottom"/>
          </w:tcPr>
          <w:p>
            <w:pPr>
              <w:spacing w:after="0"/>
              <w:rPr>
                <w:sz w:val="1"/>
                <w:szCs w:val="1"/>
                <w:color w:val="auto"/>
              </w:rPr>
            </w:pPr>
          </w:p>
        </w:tc>
      </w:tr>
      <w:tr>
        <w:trPr>
          <w:trHeight w:val="115"/>
        </w:trPr>
        <w:tc>
          <w:tcPr>
            <w:tcW w:w="8680" w:type="dxa"/>
            <w:vAlign w:val="bottom"/>
            <w:vMerge w:val="continue"/>
          </w:tcPr>
          <w:p>
            <w:pPr>
              <w:spacing w:after="0"/>
              <w:rPr>
                <w:sz w:val="9"/>
                <w:szCs w:val="9"/>
                <w:color w:val="auto"/>
              </w:rPr>
            </w:pPr>
          </w:p>
        </w:tc>
        <w:tc>
          <w:tcPr>
            <w:tcW w:w="2560" w:type="dxa"/>
            <w:vAlign w:val="bottom"/>
            <w:gridSpan w:val="4"/>
            <w:vMerge w:val="restart"/>
          </w:tcPr>
          <w:p>
            <w:pPr>
              <w:jc w:val="right"/>
              <w:ind w:right="80"/>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112"/>
        </w:trPr>
        <w:tc>
          <w:tcPr>
            <w:tcW w:w="868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8680" w:type="dxa"/>
            <w:vAlign w:val="bottom"/>
            <w:tcBorders>
              <w:top w:val="single" w:sz="8" w:color="006098"/>
            </w:tcBorders>
          </w:tcPr>
          <w:p>
            <w:pPr>
              <w:ind w:left="20"/>
              <w:spacing w:after="0"/>
              <w:rPr>
                <w:sz w:val="20"/>
                <w:szCs w:val="20"/>
                <w:color w:val="auto"/>
              </w:rPr>
            </w:pPr>
            <w:r>
              <w:rPr>
                <w:rFonts w:ascii="Arial" w:cs="Arial" w:eastAsia="Arial" w:hAnsi="Arial"/>
                <w:sz w:val="18"/>
                <w:szCs w:val="18"/>
                <w:color w:val="auto"/>
              </w:rPr>
              <w:t>Board Chair Retainer</w:t>
            </w:r>
          </w:p>
        </w:tc>
        <w:tc>
          <w:tcPr>
            <w:tcW w:w="1440" w:type="dxa"/>
            <w:vAlign w:val="bottom"/>
            <w:tcBorders>
              <w:top w:val="single" w:sz="8" w:color="006098"/>
            </w:tcBorders>
          </w:tcPr>
          <w:p>
            <w:pPr>
              <w:spacing w:after="0"/>
              <w:rPr>
                <w:sz w:val="21"/>
                <w:szCs w:val="21"/>
                <w:color w:val="auto"/>
              </w:rPr>
            </w:pPr>
          </w:p>
        </w:tc>
        <w:tc>
          <w:tcPr>
            <w:tcW w:w="860" w:type="dxa"/>
            <w:vAlign w:val="bottom"/>
            <w:tcBorders>
              <w:top w:val="single" w:sz="8" w:color="006098"/>
            </w:tcBorders>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Borders>
              <w:top w:val="single" w:sz="8" w:color="006098"/>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939598"/>
            </w:tcBorders>
          </w:tcPr>
          <w:p>
            <w:pPr>
              <w:spacing w:after="0"/>
              <w:rPr>
                <w:sz w:val="2"/>
                <w:szCs w:val="2"/>
                <w:color w:val="auto"/>
              </w:rPr>
            </w:pPr>
          </w:p>
        </w:tc>
        <w:tc>
          <w:tcPr>
            <w:tcW w:w="14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680" w:type="dxa"/>
            <w:vAlign w:val="bottom"/>
          </w:tcPr>
          <w:p>
            <w:pPr>
              <w:ind w:left="20"/>
              <w:spacing w:after="0"/>
              <w:rPr>
                <w:sz w:val="20"/>
                <w:szCs w:val="20"/>
                <w:color w:val="auto"/>
              </w:rPr>
            </w:pPr>
            <w:r>
              <w:rPr>
                <w:rFonts w:ascii="Arial" w:cs="Arial" w:eastAsia="Arial" w:hAnsi="Arial"/>
                <w:sz w:val="18"/>
                <w:szCs w:val="18"/>
                <w:color w:val="auto"/>
              </w:rPr>
              <w:t>Board Member Retainer</w:t>
            </w:r>
          </w:p>
        </w:tc>
        <w:tc>
          <w:tcPr>
            <w:tcW w:w="1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939598"/>
            </w:tcBorders>
          </w:tcPr>
          <w:p>
            <w:pPr>
              <w:spacing w:after="0"/>
              <w:rPr>
                <w:sz w:val="2"/>
                <w:szCs w:val="2"/>
                <w:color w:val="auto"/>
              </w:rPr>
            </w:pPr>
          </w:p>
        </w:tc>
        <w:tc>
          <w:tcPr>
            <w:tcW w:w="14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680" w:type="dxa"/>
            <w:vAlign w:val="bottom"/>
          </w:tcPr>
          <w:p>
            <w:pPr>
              <w:ind w:left="20"/>
              <w:spacing w:after="0"/>
              <w:rPr>
                <w:sz w:val="20"/>
                <w:szCs w:val="20"/>
                <w:color w:val="auto"/>
              </w:rPr>
            </w:pPr>
            <w:r>
              <w:rPr>
                <w:rFonts w:ascii="Arial" w:cs="Arial" w:eastAsia="Arial" w:hAnsi="Arial"/>
                <w:sz w:val="18"/>
                <w:szCs w:val="18"/>
                <w:color w:val="auto"/>
              </w:rPr>
              <w:t>Presiding Director Retainer</w:t>
            </w:r>
          </w:p>
        </w:tc>
        <w:tc>
          <w:tcPr>
            <w:tcW w:w="1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0067B3"/>
            </w:tcBorders>
          </w:tcPr>
          <w:p>
            <w:pPr>
              <w:spacing w:after="0"/>
              <w:rPr>
                <w:sz w:val="2"/>
                <w:szCs w:val="2"/>
                <w:color w:val="auto"/>
              </w:rPr>
            </w:pPr>
          </w:p>
        </w:tc>
        <w:tc>
          <w:tcPr>
            <w:tcW w:w="1440" w:type="dxa"/>
            <w:vAlign w:val="bottom"/>
            <w:tcBorders>
              <w:bottom w:val="single" w:sz="8" w:color="0067B3"/>
            </w:tcBorders>
          </w:tcPr>
          <w:p>
            <w:pPr>
              <w:spacing w:after="0"/>
              <w:rPr>
                <w:sz w:val="2"/>
                <w:szCs w:val="2"/>
                <w:color w:val="auto"/>
              </w:rPr>
            </w:pPr>
          </w:p>
        </w:tc>
        <w:tc>
          <w:tcPr>
            <w:tcW w:w="860" w:type="dxa"/>
            <w:vAlign w:val="bottom"/>
            <w:tcBorders>
              <w:bottom w:val="single" w:sz="8" w:color="0067B3"/>
            </w:tcBorders>
          </w:tcPr>
          <w:p>
            <w:pPr>
              <w:spacing w:after="0"/>
              <w:rPr>
                <w:sz w:val="2"/>
                <w:szCs w:val="2"/>
                <w:color w:val="auto"/>
              </w:rPr>
            </w:pPr>
          </w:p>
        </w:tc>
        <w:tc>
          <w:tcPr>
            <w:tcW w:w="200" w:type="dxa"/>
            <w:vAlign w:val="bottom"/>
            <w:tcBorders>
              <w:bottom w:val="single" w:sz="8" w:color="0067B3"/>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2"/>
        </w:trPr>
        <w:tc>
          <w:tcPr>
            <w:tcW w:w="8680" w:type="dxa"/>
            <w:vAlign w:val="bottom"/>
          </w:tcPr>
          <w:p>
            <w:pPr>
              <w:spacing w:after="0"/>
              <w:rPr>
                <w:sz w:val="20"/>
                <w:szCs w:val="20"/>
                <w:color w:val="auto"/>
              </w:rPr>
            </w:pPr>
            <w:r>
              <w:rPr>
                <w:rFonts w:ascii="Arial" w:cs="Arial" w:eastAsia="Arial" w:hAnsi="Arial"/>
                <w:sz w:val="18"/>
                <w:szCs w:val="18"/>
                <w:b w:val="1"/>
                <w:bCs w:val="1"/>
                <w:color w:val="0067B3"/>
              </w:rPr>
              <w:t xml:space="preserve">Committee Retainers: </w:t>
            </w:r>
            <w:r>
              <w:rPr>
                <w:rFonts w:ascii="Arial" w:cs="Arial" w:eastAsia="Arial" w:hAnsi="Arial"/>
                <w:sz w:val="23"/>
                <w:szCs w:val="23"/>
                <w:b w:val="1"/>
                <w:bCs w:val="1"/>
                <w:color w:val="0067B3"/>
                <w:vertAlign w:val="superscript"/>
              </w:rPr>
              <w:t>(4)</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680" w:type="dxa"/>
            <w:vAlign w:val="bottom"/>
          </w:tcPr>
          <w:p>
            <w:pPr>
              <w:spacing w:after="0"/>
              <w:rPr>
                <w:sz w:val="24"/>
                <w:szCs w:val="24"/>
                <w:color w:val="auto"/>
              </w:rPr>
            </w:pPr>
          </w:p>
        </w:tc>
        <w:tc>
          <w:tcPr>
            <w:tcW w:w="2560" w:type="dxa"/>
            <w:vAlign w:val="bottom"/>
            <w:tcBorders>
              <w:bottom w:val="single" w:sz="8" w:color="0067B3"/>
            </w:tcBorders>
            <w:gridSpan w:val="4"/>
          </w:tcPr>
          <w:p>
            <w:pPr>
              <w:ind w:left="200"/>
              <w:spacing w:after="0"/>
              <w:rPr>
                <w:sz w:val="20"/>
                <w:szCs w:val="20"/>
                <w:color w:val="auto"/>
              </w:rPr>
            </w:pPr>
            <w:r>
              <w:rPr>
                <w:rFonts w:ascii="Arial" w:cs="Arial" w:eastAsia="Arial" w:hAnsi="Arial"/>
                <w:sz w:val="16"/>
                <w:szCs w:val="16"/>
                <w:b w:val="1"/>
                <w:bCs w:val="1"/>
                <w:color w:val="auto"/>
              </w:rPr>
              <w:t>Annual Cash Compensation</w:t>
            </w:r>
          </w:p>
        </w:tc>
        <w:tc>
          <w:tcPr>
            <w:tcW w:w="0" w:type="dxa"/>
            <w:vAlign w:val="bottom"/>
          </w:tcPr>
          <w:p>
            <w:pPr>
              <w:spacing w:after="0"/>
              <w:rPr>
                <w:sz w:val="1"/>
                <w:szCs w:val="1"/>
                <w:color w:val="auto"/>
              </w:rPr>
            </w:pPr>
          </w:p>
        </w:tc>
      </w:tr>
      <w:tr>
        <w:trPr>
          <w:trHeight w:val="239"/>
        </w:trPr>
        <w:tc>
          <w:tcPr>
            <w:tcW w:w="8680" w:type="dxa"/>
            <w:vAlign w:val="bottom"/>
            <w:tcBorders>
              <w:bottom w:val="single" w:sz="8" w:color="006098"/>
            </w:tcBorders>
          </w:tcPr>
          <w:p>
            <w:pPr>
              <w:ind w:left="20"/>
              <w:spacing w:after="0"/>
              <w:rPr>
                <w:sz w:val="20"/>
                <w:szCs w:val="20"/>
                <w:color w:val="auto"/>
              </w:rPr>
            </w:pPr>
            <w:r>
              <w:rPr>
                <w:rFonts w:ascii="Arial" w:cs="Arial" w:eastAsia="Arial" w:hAnsi="Arial"/>
                <w:sz w:val="16"/>
                <w:szCs w:val="16"/>
                <w:b w:val="1"/>
                <w:bCs w:val="1"/>
                <w:color w:val="auto"/>
              </w:rPr>
              <w:t>Committee</w:t>
            </w:r>
          </w:p>
        </w:tc>
        <w:tc>
          <w:tcPr>
            <w:tcW w:w="1440" w:type="dxa"/>
            <w:vAlign w:val="bottom"/>
            <w:tcBorders>
              <w:bottom w:val="single" w:sz="8" w:color="006098"/>
            </w:tcBorders>
          </w:tcPr>
          <w:p>
            <w:pPr>
              <w:ind w:left="1000"/>
              <w:spacing w:after="0"/>
              <w:rPr>
                <w:sz w:val="20"/>
                <w:szCs w:val="20"/>
                <w:color w:val="auto"/>
              </w:rPr>
            </w:pPr>
            <w:r>
              <w:rPr>
                <w:rFonts w:ascii="Arial" w:cs="Arial" w:eastAsia="Arial" w:hAnsi="Arial"/>
                <w:sz w:val="16"/>
                <w:szCs w:val="16"/>
                <w:b w:val="1"/>
                <w:bCs w:val="1"/>
                <w:color w:val="auto"/>
              </w:rPr>
              <w:t>Chair</w:t>
            </w:r>
          </w:p>
        </w:tc>
        <w:tc>
          <w:tcPr>
            <w:tcW w:w="1120" w:type="dxa"/>
            <w:vAlign w:val="bottom"/>
            <w:tcBorders>
              <w:bottom w:val="single" w:sz="8" w:color="006098"/>
            </w:tcBorders>
            <w:gridSpan w:val="3"/>
          </w:tcPr>
          <w:p>
            <w:pPr>
              <w:jc w:val="right"/>
              <w:ind w:right="20"/>
              <w:spacing w:after="0"/>
              <w:rPr>
                <w:sz w:val="20"/>
                <w:szCs w:val="20"/>
                <w:color w:val="auto"/>
              </w:rPr>
            </w:pPr>
            <w:r>
              <w:rPr>
                <w:rFonts w:ascii="Arial" w:cs="Arial" w:eastAsia="Arial" w:hAnsi="Arial"/>
                <w:sz w:val="16"/>
                <w:szCs w:val="16"/>
                <w:b w:val="1"/>
                <w:bCs w:val="1"/>
                <w:color w:val="auto"/>
              </w:rPr>
              <w:t>Member</w:t>
            </w:r>
          </w:p>
        </w:tc>
        <w:tc>
          <w:tcPr>
            <w:tcW w:w="0" w:type="dxa"/>
            <w:vAlign w:val="bottom"/>
          </w:tcPr>
          <w:p>
            <w:pPr>
              <w:spacing w:after="0"/>
              <w:rPr>
                <w:sz w:val="1"/>
                <w:szCs w:val="1"/>
                <w:color w:val="auto"/>
              </w:rPr>
            </w:pPr>
          </w:p>
        </w:tc>
      </w:tr>
      <w:tr>
        <w:trPr>
          <w:trHeight w:val="244"/>
        </w:trPr>
        <w:tc>
          <w:tcPr>
            <w:tcW w:w="868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1440" w:type="dxa"/>
            <w:vAlign w:val="bottom"/>
          </w:tcPr>
          <w:p>
            <w:pPr>
              <w:ind w:left="480"/>
              <w:spacing w:after="0"/>
              <w:rPr>
                <w:sz w:val="20"/>
                <w:szCs w:val="20"/>
                <w:color w:val="auto"/>
              </w:rPr>
            </w:pPr>
            <w:r>
              <w:rPr>
                <w:rFonts w:ascii="Arial" w:cs="Arial" w:eastAsia="Arial" w:hAnsi="Arial"/>
                <w:sz w:val="18"/>
                <w:szCs w:val="18"/>
                <w:color w:val="auto"/>
              </w:rPr>
              <w:t>$30,000</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939598"/>
            </w:tcBorders>
          </w:tcPr>
          <w:p>
            <w:pPr>
              <w:spacing w:after="0"/>
              <w:rPr>
                <w:sz w:val="2"/>
                <w:szCs w:val="2"/>
                <w:color w:val="auto"/>
              </w:rPr>
            </w:pPr>
          </w:p>
        </w:tc>
        <w:tc>
          <w:tcPr>
            <w:tcW w:w="14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680" w:type="dxa"/>
            <w:vAlign w:val="bottom"/>
          </w:tcPr>
          <w:p>
            <w:pPr>
              <w:ind w:left="20"/>
              <w:spacing w:after="0"/>
              <w:rPr>
                <w:sz w:val="20"/>
                <w:szCs w:val="20"/>
                <w:color w:val="auto"/>
              </w:rPr>
            </w:pPr>
            <w:r>
              <w:rPr>
                <w:rFonts w:ascii="Arial" w:cs="Arial" w:eastAsia="Arial" w:hAnsi="Arial"/>
                <w:sz w:val="18"/>
                <w:szCs w:val="18"/>
                <w:color w:val="auto"/>
              </w:rPr>
              <w:t>Compensation and Talent Committee</w:t>
            </w:r>
          </w:p>
        </w:tc>
        <w:tc>
          <w:tcPr>
            <w:tcW w:w="1440" w:type="dxa"/>
            <w:vAlign w:val="bottom"/>
          </w:tcPr>
          <w:p>
            <w:pPr>
              <w:ind w:left="480"/>
              <w:spacing w:after="0"/>
              <w:rPr>
                <w:sz w:val="20"/>
                <w:szCs w:val="20"/>
                <w:color w:val="auto"/>
              </w:rPr>
            </w:pPr>
            <w:r>
              <w:rPr>
                <w:rFonts w:ascii="Arial" w:cs="Arial" w:eastAsia="Arial" w:hAnsi="Arial"/>
                <w:sz w:val="18"/>
                <w:szCs w:val="18"/>
                <w:color w:val="auto"/>
              </w:rPr>
              <w:t>$20,000</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939598"/>
            </w:tcBorders>
          </w:tcPr>
          <w:p>
            <w:pPr>
              <w:spacing w:after="0"/>
              <w:rPr>
                <w:sz w:val="2"/>
                <w:szCs w:val="2"/>
                <w:color w:val="auto"/>
              </w:rPr>
            </w:pPr>
          </w:p>
        </w:tc>
        <w:tc>
          <w:tcPr>
            <w:tcW w:w="14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440" w:type="dxa"/>
            <w:vAlign w:val="bottom"/>
          </w:tcPr>
          <w:p>
            <w:pPr>
              <w:ind w:left="480"/>
              <w:spacing w:after="0"/>
              <w:rPr>
                <w:sz w:val="20"/>
                <w:szCs w:val="20"/>
                <w:color w:val="auto"/>
              </w:rPr>
            </w:pPr>
            <w:r>
              <w:rPr>
                <w:rFonts w:ascii="Arial" w:cs="Arial" w:eastAsia="Arial" w:hAnsi="Arial"/>
                <w:sz w:val="18"/>
                <w:szCs w:val="18"/>
                <w:color w:val="auto"/>
              </w:rPr>
              <w:t>$20,000</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680" w:type="dxa"/>
            <w:vAlign w:val="bottom"/>
          </w:tcPr>
          <w:p>
            <w:pPr>
              <w:ind w:left="20"/>
              <w:spacing w:after="0"/>
              <w:rPr>
                <w:sz w:val="20"/>
                <w:szCs w:val="20"/>
                <w:color w:val="auto"/>
              </w:rPr>
            </w:pPr>
            <w:r>
              <w:rPr>
                <w:rFonts w:ascii="Arial" w:cs="Arial" w:eastAsia="Arial" w:hAnsi="Arial"/>
                <w:sz w:val="18"/>
                <w:szCs w:val="18"/>
                <w:color w:val="auto"/>
              </w:rPr>
              <w:t>Corporate Development Committee</w:t>
            </w:r>
          </w:p>
        </w:tc>
        <w:tc>
          <w:tcPr>
            <w:tcW w:w="1440" w:type="dxa"/>
            <w:vAlign w:val="bottom"/>
          </w:tcPr>
          <w:p>
            <w:pPr>
              <w:ind w:left="480"/>
              <w:spacing w:after="0"/>
              <w:rPr>
                <w:sz w:val="20"/>
                <w:szCs w:val="20"/>
                <w:color w:val="auto"/>
              </w:rPr>
            </w:pPr>
            <w:r>
              <w:rPr>
                <w:rFonts w:ascii="Arial" w:cs="Arial" w:eastAsia="Arial" w:hAnsi="Arial"/>
                <w:sz w:val="18"/>
                <w:szCs w:val="18"/>
                <w:color w:val="auto"/>
              </w:rPr>
              <w:t xml:space="preserve">$15,000  </w:t>
            </w:r>
            <w:r>
              <w:rPr>
                <w:rFonts w:ascii="Arial" w:cs="Arial" w:eastAsia="Arial" w:hAnsi="Arial"/>
                <w:sz w:val="23"/>
                <w:szCs w:val="23"/>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tcBorders>
              <w:bottom w:val="single" w:sz="8" w:color="0067B3"/>
            </w:tcBorders>
          </w:tcPr>
          <w:p>
            <w:pPr>
              <w:spacing w:after="0" w:line="20" w:lineRule="exact"/>
              <w:rPr>
                <w:sz w:val="1"/>
                <w:szCs w:val="1"/>
                <w:color w:val="auto"/>
              </w:rPr>
            </w:pPr>
          </w:p>
        </w:tc>
        <w:tc>
          <w:tcPr>
            <w:tcW w:w="1440" w:type="dxa"/>
            <w:vAlign w:val="bottom"/>
            <w:tcBorders>
              <w:bottom w:val="single" w:sz="8" w:color="0067B3"/>
            </w:tcBorders>
          </w:tcPr>
          <w:p>
            <w:pPr>
              <w:spacing w:after="0" w:line="20" w:lineRule="exact"/>
              <w:rPr>
                <w:sz w:val="1"/>
                <w:szCs w:val="1"/>
                <w:color w:val="auto"/>
              </w:rPr>
            </w:pPr>
          </w:p>
        </w:tc>
        <w:tc>
          <w:tcPr>
            <w:tcW w:w="860" w:type="dxa"/>
            <w:vAlign w:val="bottom"/>
            <w:tcBorders>
              <w:bottom w:val="single" w:sz="8" w:color="0067B3"/>
            </w:tcBorders>
          </w:tcPr>
          <w:p>
            <w:pPr>
              <w:spacing w:after="0" w:line="20" w:lineRule="exact"/>
              <w:rPr>
                <w:sz w:val="1"/>
                <w:szCs w:val="1"/>
                <w:color w:val="auto"/>
              </w:rPr>
            </w:pPr>
          </w:p>
        </w:tc>
        <w:tc>
          <w:tcPr>
            <w:tcW w:w="200" w:type="dxa"/>
            <w:vAlign w:val="bottom"/>
            <w:tcBorders>
              <w:bottom w:val="single" w:sz="8" w:color="0067B3"/>
            </w:tcBorders>
          </w:tcPr>
          <w:p>
            <w:pPr>
              <w:spacing w:after="0" w:line="20" w:lineRule="exact"/>
              <w:rPr>
                <w:sz w:val="1"/>
                <w:szCs w:val="1"/>
                <w:color w:val="auto"/>
              </w:rPr>
            </w:pPr>
          </w:p>
        </w:tc>
        <w:tc>
          <w:tcPr>
            <w:tcW w:w="60" w:type="dxa"/>
            <w:vAlign w:val="bottom"/>
            <w:tcBorders>
              <w:bottom w:val="single" w:sz="8" w:color="0067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8680" w:type="dxa"/>
            <w:vAlign w:val="bottom"/>
          </w:tcPr>
          <w:p>
            <w:pPr>
              <w:spacing w:after="0"/>
              <w:rPr>
                <w:sz w:val="20"/>
                <w:szCs w:val="20"/>
                <w:color w:val="auto"/>
              </w:rPr>
            </w:pPr>
            <w:r>
              <w:rPr>
                <w:rFonts w:ascii="Arial" w:cs="Arial" w:eastAsia="Arial" w:hAnsi="Arial"/>
                <w:sz w:val="18"/>
                <w:szCs w:val="18"/>
                <w:b w:val="1"/>
                <w:bCs w:val="1"/>
                <w:color w:val="0067B3"/>
              </w:rPr>
              <w:t>Equity Compensation:</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Annual Equity Grant</w:t>
            </w:r>
          </w:p>
        </w:tc>
        <w:tc>
          <w:tcPr>
            <w:tcW w:w="256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 Value of Annual Equity Grant</w:t>
            </w:r>
          </w:p>
        </w:tc>
        <w:tc>
          <w:tcPr>
            <w:tcW w:w="0" w:type="dxa"/>
            <w:vAlign w:val="bottom"/>
          </w:tcPr>
          <w:p>
            <w:pPr>
              <w:spacing w:after="0"/>
              <w:rPr>
                <w:sz w:val="1"/>
                <w:szCs w:val="1"/>
                <w:color w:val="auto"/>
              </w:rPr>
            </w:pPr>
          </w:p>
        </w:tc>
      </w:tr>
      <w:tr>
        <w:trPr>
          <w:trHeight w:val="295"/>
        </w:trPr>
        <w:tc>
          <w:tcPr>
            <w:tcW w:w="8680" w:type="dxa"/>
            <w:vAlign w:val="bottom"/>
          </w:tcPr>
          <w:p>
            <w:pPr>
              <w:ind w:left="20"/>
              <w:spacing w:after="0"/>
              <w:rPr>
                <w:sz w:val="20"/>
                <w:szCs w:val="20"/>
                <w:color w:val="auto"/>
              </w:rPr>
            </w:pPr>
            <w:r>
              <w:rPr>
                <w:rFonts w:ascii="Arial" w:cs="Arial" w:eastAsia="Arial" w:hAnsi="Arial"/>
                <w:sz w:val="18"/>
                <w:szCs w:val="18"/>
                <w:color w:val="auto"/>
              </w:rPr>
              <w:t>Restricted Stock Unit Grant</w:t>
            </w:r>
          </w:p>
        </w:tc>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3"/>
        </w:trPr>
        <w:tc>
          <w:tcPr>
            <w:tcW w:w="8680" w:type="dxa"/>
            <w:vAlign w:val="bottom"/>
            <w:tcBorders>
              <w:bottom w:val="single" w:sz="8" w:color="0067B3"/>
            </w:tcBorders>
          </w:tcPr>
          <w:p>
            <w:pPr>
              <w:spacing w:after="0"/>
              <w:rPr>
                <w:sz w:val="2"/>
                <w:szCs w:val="2"/>
                <w:color w:val="auto"/>
              </w:rPr>
            </w:pPr>
          </w:p>
        </w:tc>
        <w:tc>
          <w:tcPr>
            <w:tcW w:w="1440" w:type="dxa"/>
            <w:vAlign w:val="bottom"/>
            <w:tcBorders>
              <w:bottom w:val="single" w:sz="8" w:color="0067B3"/>
            </w:tcBorders>
          </w:tcPr>
          <w:p>
            <w:pPr>
              <w:spacing w:after="0"/>
              <w:rPr>
                <w:sz w:val="2"/>
                <w:szCs w:val="2"/>
                <w:color w:val="auto"/>
              </w:rPr>
            </w:pPr>
          </w:p>
        </w:tc>
        <w:tc>
          <w:tcPr>
            <w:tcW w:w="860" w:type="dxa"/>
            <w:vAlign w:val="bottom"/>
            <w:tcBorders>
              <w:bottom w:val="single" w:sz="8" w:color="0067B3"/>
            </w:tcBorders>
          </w:tcPr>
          <w:p>
            <w:pPr>
              <w:spacing w:after="0"/>
              <w:rPr>
                <w:sz w:val="2"/>
                <w:szCs w:val="2"/>
                <w:color w:val="auto"/>
              </w:rPr>
            </w:pPr>
          </w:p>
        </w:tc>
        <w:tc>
          <w:tcPr>
            <w:tcW w:w="200" w:type="dxa"/>
            <w:vAlign w:val="bottom"/>
            <w:tcBorders>
              <w:bottom w:val="single" w:sz="8" w:color="0067B3"/>
            </w:tcBorders>
          </w:tcPr>
          <w:p>
            <w:pPr>
              <w:spacing w:after="0"/>
              <w:rPr>
                <w:sz w:val="2"/>
                <w:szCs w:val="2"/>
                <w:color w:val="auto"/>
              </w:rPr>
            </w:pPr>
          </w:p>
        </w:tc>
        <w:tc>
          <w:tcPr>
            <w:tcW w:w="60" w:type="dxa"/>
            <w:vAlign w:val="bottom"/>
            <w:tcBorders>
              <w:bottom w:val="single" w:sz="8" w:color="0067B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ind w:left="200" w:right="260" w:hanging="192"/>
        <w:spacing w:after="0" w:line="217" w:lineRule="auto"/>
        <w:tabs>
          <w:tab w:leader="none" w:pos="216"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Mr. Roche, as an employee director, does not receive any additional compensation for his service as a director, as Chair of the Board of Directors or as Chair of the Corporate Development Committee.</w:t>
      </w:r>
    </w:p>
    <w:p>
      <w:pPr>
        <w:spacing w:after="0" w:line="7" w:lineRule="exact"/>
        <w:rPr>
          <w:rFonts w:ascii="Arial" w:cs="Arial" w:eastAsia="Arial" w:hAnsi="Arial"/>
          <w:sz w:val="23"/>
          <w:szCs w:val="23"/>
          <w:color w:val="auto"/>
          <w:vertAlign w:val="superscript"/>
        </w:rPr>
      </w:pPr>
    </w:p>
    <w:p>
      <w:pPr>
        <w:ind w:left="220" w:hanging="212"/>
        <w:spacing w:after="0"/>
        <w:tabs>
          <w:tab w:leader="none" w:pos="22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 annual retainer for each Board Member increased from $80,000 to $90,000 effective January 30, 2022.</w:t>
      </w:r>
    </w:p>
    <w:p>
      <w:pPr>
        <w:spacing w:after="0" w:line="49" w:lineRule="exact"/>
        <w:rPr>
          <w:rFonts w:ascii="Arial" w:cs="Arial" w:eastAsia="Arial" w:hAnsi="Arial"/>
          <w:sz w:val="23"/>
          <w:szCs w:val="23"/>
          <w:color w:val="auto"/>
          <w:vertAlign w:val="superscript"/>
        </w:rPr>
      </w:pPr>
    </w:p>
    <w:p>
      <w:pPr>
        <w:ind w:left="200" w:right="380" w:hanging="192"/>
        <w:spacing w:after="0" w:line="208" w:lineRule="auto"/>
        <w:tabs>
          <w:tab w:leader="none" w:pos="216"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 annual retainer for the Presiding Director is in addition to the annual board member retainer. The annual retainer for the Presiding Director increased from $25,000 to $40,000 effective January 30, 2022.</w:t>
      </w:r>
    </w:p>
    <w:p>
      <w:pPr>
        <w:spacing w:after="0" w:line="6" w:lineRule="exact"/>
        <w:rPr>
          <w:rFonts w:ascii="Arial" w:cs="Arial" w:eastAsia="Arial" w:hAnsi="Arial"/>
          <w:sz w:val="23"/>
          <w:szCs w:val="23"/>
          <w:color w:val="auto"/>
          <w:vertAlign w:val="superscript"/>
        </w:rPr>
      </w:pPr>
    </w:p>
    <w:p>
      <w:pPr>
        <w:ind w:left="220" w:hanging="212"/>
        <w:spacing w:after="0"/>
        <w:tabs>
          <w:tab w:leader="none" w:pos="22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Committee retainers are cash compensation paid in addition to Board retainer cash compensation.</w:t>
      </w:r>
    </w:p>
    <w:p>
      <w:pPr>
        <w:spacing w:after="0" w:line="49" w:lineRule="exact"/>
        <w:rPr>
          <w:rFonts w:ascii="Arial" w:cs="Arial" w:eastAsia="Arial" w:hAnsi="Arial"/>
          <w:sz w:val="23"/>
          <w:szCs w:val="23"/>
          <w:color w:val="auto"/>
          <w:vertAlign w:val="superscript"/>
        </w:rPr>
      </w:pPr>
    </w:p>
    <w:p>
      <w:pPr>
        <w:ind w:left="200" w:right="120" w:hanging="192"/>
        <w:spacing w:after="0" w:line="208" w:lineRule="auto"/>
        <w:tabs>
          <w:tab w:leader="none" w:pos="216"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 value of the annual equity grant increased from the equivalent of $210,000 to the equivalent of $225,000 for grants made to directors after January 30, 2022.</w:t>
      </w:r>
    </w:p>
    <w:p>
      <w:pPr>
        <w:sectPr>
          <w:pgSz w:w="11900" w:h="16838" w:orient="portrait"/>
          <w:cols w:equalWidth="0" w:num="1">
            <w:col w:w="11240"/>
          </w:cols>
          <w:pgMar w:left="320" w:top="1126" w:right="339" w:bottom="1440" w:gutter="0" w:footer="0" w:header="0"/>
        </w:sect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42</w:t>
      </w:r>
    </w:p>
    <w:p>
      <w:pPr>
        <w:jc w:val="right"/>
        <w:ind w:right="9120"/>
        <w:spacing w:after="0"/>
        <w:rPr>
          <w:sz w:val="20"/>
          <w:szCs w:val="20"/>
          <w:color w:val="auto"/>
        </w:rPr>
      </w:pPr>
      <w:r>
        <w:rPr>
          <w:rFonts w:ascii="Arial" w:cs="Arial" w:eastAsia="Arial" w:hAnsi="Arial"/>
          <w:sz w:val="16"/>
          <w:szCs w:val="16"/>
          <w:color w:val="6D6E71"/>
        </w:rPr>
        <w:t>Director Compensation</w:t>
      </w:r>
    </w:p>
    <w:p>
      <w:pPr>
        <w:sectPr>
          <w:pgSz w:w="11900" w:h="16838" w:orient="portrait"/>
          <w:cols w:equalWidth="0" w:num="1">
            <w:col w:w="11240"/>
          </w:cols>
          <w:pgMar w:left="320" w:top="112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41"/>
          <w:szCs w:val="41"/>
          <w:b w:val="1"/>
          <w:bCs w:val="1"/>
          <w:color w:val="0067B3"/>
        </w:rPr>
        <w:t>Fiscal Year 2022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year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20" w:type="dxa"/>
            <w:vAlign w:val="bottom"/>
            <w:shd w:val="clear" w:color="auto" w:fill="0067B3"/>
          </w:tcPr>
          <w:p>
            <w:pPr>
              <w:spacing w:after="0"/>
              <w:rPr>
                <w:sz w:val="17"/>
                <w:szCs w:val="17"/>
                <w:color w:val="auto"/>
              </w:rPr>
            </w:pPr>
          </w:p>
        </w:tc>
        <w:tc>
          <w:tcPr>
            <w:tcW w:w="3720" w:type="dxa"/>
            <w:vAlign w:val="bottom"/>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Fees Earned or</w:t>
            </w:r>
          </w:p>
        </w:tc>
        <w:tc>
          <w:tcPr>
            <w:tcW w:w="1260" w:type="dxa"/>
            <w:vAlign w:val="bottom"/>
            <w:shd w:val="clear" w:color="auto" w:fill="0067B3"/>
          </w:tcPr>
          <w:p>
            <w:pPr>
              <w:spacing w:after="0"/>
              <w:rPr>
                <w:sz w:val="17"/>
                <w:szCs w:val="17"/>
                <w:color w:val="auto"/>
              </w:rPr>
            </w:pPr>
          </w:p>
        </w:tc>
        <w:tc>
          <w:tcPr>
            <w:tcW w:w="1400" w:type="dxa"/>
            <w:vAlign w:val="bottom"/>
            <w:shd w:val="clear" w:color="auto" w:fill="0067B3"/>
          </w:tcPr>
          <w:p>
            <w:pPr>
              <w:jc w:val="right"/>
              <w:ind w:right="37"/>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0067B3"/>
          </w:tcPr>
          <w:p>
            <w:pPr>
              <w:spacing w:after="0"/>
              <w:rPr>
                <w:sz w:val="17"/>
                <w:szCs w:val="17"/>
                <w:color w:val="auto"/>
              </w:rPr>
            </w:pPr>
          </w:p>
        </w:tc>
      </w:tr>
      <w:tr>
        <w:trPr>
          <w:trHeight w:val="189"/>
        </w:trPr>
        <w:tc>
          <w:tcPr>
            <w:tcW w:w="4020" w:type="dxa"/>
            <w:vAlign w:val="bottom"/>
            <w:shd w:val="clear" w:color="auto" w:fill="0067B3"/>
          </w:tcPr>
          <w:p>
            <w:pPr>
              <w:spacing w:after="0"/>
              <w:rPr>
                <w:sz w:val="16"/>
                <w:szCs w:val="16"/>
                <w:color w:val="auto"/>
              </w:rPr>
            </w:pPr>
          </w:p>
        </w:tc>
        <w:tc>
          <w:tcPr>
            <w:tcW w:w="3720" w:type="dxa"/>
            <w:vAlign w:val="bottom"/>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Paid in Cash</w:t>
            </w:r>
          </w:p>
        </w:tc>
        <w:tc>
          <w:tcPr>
            <w:tcW w:w="1260" w:type="dxa"/>
            <w:vAlign w:val="bottom"/>
            <w:shd w:val="clear" w:color="auto" w:fill="0067B3"/>
          </w:tcPr>
          <w:p>
            <w:pPr>
              <w:jc w:val="right"/>
              <w:ind w:right="27"/>
              <w:spacing w:after="0"/>
              <w:rPr>
                <w:sz w:val="20"/>
                <w:szCs w:val="20"/>
                <w:color w:val="auto"/>
              </w:rPr>
            </w:pPr>
            <w:r>
              <w:rPr>
                <w:rFonts w:ascii="Arial" w:cs="Arial" w:eastAsia="Arial" w:hAnsi="Arial"/>
                <w:sz w:val="16"/>
                <w:szCs w:val="16"/>
                <w:b w:val="1"/>
                <w:bCs w:val="1"/>
                <w:color w:val="FFFFFF"/>
              </w:rPr>
              <w:t>Stock Awards</w:t>
            </w:r>
          </w:p>
        </w:tc>
        <w:tc>
          <w:tcPr>
            <w:tcW w:w="1400" w:type="dxa"/>
            <w:vAlign w:val="bottom"/>
            <w:shd w:val="clear" w:color="auto" w:fill="0067B3"/>
          </w:tcPr>
          <w:p>
            <w:pPr>
              <w:jc w:val="right"/>
              <w:ind w:right="77"/>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44"/>
        </w:trPr>
        <w:tc>
          <w:tcPr>
            <w:tcW w:w="402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720" w:type="dxa"/>
            <w:vAlign w:val="bottom"/>
            <w:tcBorders>
              <w:bottom w:val="single" w:sz="8" w:color="auto"/>
            </w:tcBorders>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260" w:type="dxa"/>
            <w:vAlign w:val="bottom"/>
            <w:tcBorders>
              <w:bottom w:val="single" w:sz="8" w:color="auto"/>
            </w:tcBorders>
            <w:shd w:val="clear" w:color="auto" w:fill="0067B3"/>
          </w:tcPr>
          <w:p>
            <w:pPr>
              <w:jc w:val="right"/>
              <w:ind w:right="27"/>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(2)(3)</w:t>
            </w:r>
          </w:p>
        </w:tc>
        <w:tc>
          <w:tcPr>
            <w:tcW w:w="1400" w:type="dxa"/>
            <w:vAlign w:val="bottom"/>
            <w:tcBorders>
              <w:bottom w:val="single" w:sz="8" w:color="auto"/>
            </w:tcBorders>
            <w:shd w:val="clear" w:color="auto" w:fill="0067B3"/>
          </w:tcPr>
          <w:p>
            <w:pPr>
              <w:jc w:val="right"/>
              <w:ind w:right="37"/>
              <w:spacing w:after="0"/>
              <w:rPr>
                <w:sz w:val="20"/>
                <w:szCs w:val="20"/>
                <w:color w:val="auto"/>
              </w:rPr>
            </w:pPr>
            <w:r>
              <w:rPr>
                <w:rFonts w:ascii="Arial" w:cs="Arial" w:eastAsia="Arial" w:hAnsi="Arial"/>
                <w:sz w:val="16"/>
                <w:szCs w:val="16"/>
                <w:b w:val="1"/>
                <w:bCs w:val="1"/>
                <w:color w:val="FFFFFF"/>
              </w:rPr>
              <w:t>($)</w:t>
            </w:r>
          </w:p>
        </w:tc>
        <w:tc>
          <w:tcPr>
            <w:tcW w:w="8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63"/>
        </w:trPr>
        <w:tc>
          <w:tcPr>
            <w:tcW w:w="40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p>
        </w:tc>
        <w:tc>
          <w:tcPr>
            <w:tcW w:w="3720" w:type="dxa"/>
            <w:vAlign w:val="bottom"/>
            <w:shd w:val="clear" w:color="auto" w:fill="E2E6F4"/>
          </w:tcPr>
          <w:p>
            <w:pPr>
              <w:jc w:val="right"/>
              <w:ind w:right="77"/>
              <w:spacing w:after="0"/>
              <w:rPr>
                <w:sz w:val="20"/>
                <w:szCs w:val="20"/>
                <w:color w:val="auto"/>
              </w:rPr>
            </w:pPr>
            <w:r>
              <w:rPr>
                <w:rFonts w:ascii="Arial" w:cs="Arial" w:eastAsia="Arial" w:hAnsi="Arial"/>
                <w:sz w:val="18"/>
                <w:szCs w:val="18"/>
                <w:color w:val="auto"/>
              </w:rPr>
              <w:t>143,750</w:t>
            </w:r>
          </w:p>
        </w:tc>
        <w:tc>
          <w:tcPr>
            <w:tcW w:w="1260" w:type="dxa"/>
            <w:vAlign w:val="bottom"/>
            <w:shd w:val="clear" w:color="auto" w:fill="E2E6F4"/>
          </w:tcPr>
          <w:p>
            <w:pPr>
              <w:jc w:val="right"/>
              <w:ind w:right="87"/>
              <w:spacing w:after="0"/>
              <w:rPr>
                <w:sz w:val="20"/>
                <w:szCs w:val="20"/>
                <w:color w:val="auto"/>
              </w:rPr>
            </w:pPr>
            <w:r>
              <w:rPr>
                <w:rFonts w:ascii="Arial" w:cs="Arial" w:eastAsia="Arial" w:hAnsi="Arial"/>
                <w:sz w:val="18"/>
                <w:szCs w:val="18"/>
                <w:color w:val="auto"/>
              </w:rPr>
              <w:t>221,111</w:t>
            </w:r>
          </w:p>
        </w:tc>
        <w:tc>
          <w:tcPr>
            <w:tcW w:w="1400" w:type="dxa"/>
            <w:vAlign w:val="bottom"/>
            <w:shd w:val="clear" w:color="auto" w:fill="E2E6F4"/>
          </w:tcPr>
          <w:p>
            <w:pPr>
              <w:jc w:val="right"/>
              <w:ind w:right="377"/>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364,861</w:t>
            </w:r>
          </w:p>
        </w:tc>
      </w:tr>
    </w:tbl>
    <w:p>
      <w:pPr>
        <w:spacing w:after="0" w:line="4" w:lineRule="exact"/>
        <w:rPr>
          <w:sz w:val="20"/>
          <w:szCs w:val="20"/>
          <w:color w:val="auto"/>
        </w:rPr>
      </w:pPr>
    </w:p>
    <w:p>
      <w:pPr>
        <w:sectPr>
          <w:pgSz w:w="11900" w:h="16838" w:orient="portrait"/>
          <w:cols w:equalWidth="0" w:num="1">
            <w:col w:w="11240"/>
          </w:cols>
          <w:pgMar w:left="320" w:top="1356" w:right="339" w:bottom="1440" w:gutter="0" w:footer="0" w:header="0"/>
        </w:sectPr>
      </w:pPr>
    </w:p>
    <w:tbl>
      <w:tblPr>
        <w:tblLayout w:type="fixed"/>
        <w:tblInd w:w="20" w:type="dxa"/>
        <w:tblCellMar>
          <w:top w:w="0" w:type="dxa"/>
          <w:left w:w="0" w:type="dxa"/>
          <w:bottom w:w="0" w:type="dxa"/>
          <w:right w:w="0" w:type="dxa"/>
        </w:tblCellMar>
      </w:tblPr>
      <w:tr>
        <w:trPr>
          <w:trHeight w:val="274"/>
        </w:trPr>
        <w:tc>
          <w:tcPr>
            <w:tcW w:w="4560" w:type="dxa"/>
            <w:vAlign w:val="bottom"/>
          </w:tcPr>
          <w:p>
            <w:pPr>
              <w:spacing w:after="0"/>
              <w:rPr>
                <w:sz w:val="20"/>
                <w:szCs w:val="20"/>
                <w:color w:val="auto"/>
              </w:rPr>
            </w:pPr>
            <w:r>
              <w:rPr>
                <w:rFonts w:ascii="Arial" w:cs="Arial" w:eastAsia="Arial" w:hAnsi="Arial"/>
                <w:sz w:val="18"/>
                <w:szCs w:val="18"/>
                <w:b w:val="1"/>
                <w:bCs w:val="1"/>
                <w:color w:val="0067B3"/>
              </w:rPr>
              <w:t>André Andonian</w:t>
            </w:r>
            <w:r>
              <w:rPr>
                <w:rFonts w:ascii="Arial" w:cs="Arial" w:eastAsia="Arial" w:hAnsi="Arial"/>
                <w:sz w:val="23"/>
                <w:szCs w:val="23"/>
                <w:b w:val="1"/>
                <w:bCs w:val="1"/>
                <w:color w:val="0067B3"/>
                <w:vertAlign w:val="superscript"/>
              </w:rPr>
              <w:t>(4)</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37,775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157,315</w:t>
            </w:r>
          </w:p>
        </w:tc>
        <w:tc>
          <w:tcPr>
            <w:tcW w:w="900" w:type="dxa"/>
            <w:vAlign w:val="bottom"/>
          </w:tcPr>
          <w:p>
            <w:pPr>
              <w:spacing w:after="0"/>
              <w:rPr>
                <w:sz w:val="23"/>
                <w:szCs w:val="23"/>
                <w:color w:val="auto"/>
              </w:rPr>
            </w:pPr>
          </w:p>
        </w:tc>
      </w:tr>
      <w:tr>
        <w:trPr>
          <w:trHeight w:val="247"/>
        </w:trPr>
        <w:tc>
          <w:tcPr>
            <w:tcW w:w="4560" w:type="dxa"/>
            <w:vAlign w:val="bottom"/>
          </w:tcPr>
          <w:p>
            <w:pPr>
              <w:spacing w:after="0"/>
              <w:rPr>
                <w:sz w:val="20"/>
                <w:szCs w:val="20"/>
                <w:color w:val="auto"/>
              </w:rPr>
            </w:pPr>
            <w:r>
              <w:rPr>
                <w:rFonts w:ascii="Arial" w:cs="Arial" w:eastAsia="Arial" w:hAnsi="Arial"/>
                <w:sz w:val="18"/>
                <w:szCs w:val="18"/>
                <w:b w:val="1"/>
                <w:bCs w:val="1"/>
                <w:color w:val="0067B3"/>
              </w:rPr>
              <w:t>Anantha P. Chandrakasan</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107,500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Tunç Doluca</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87,500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Bruce R. Evans</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112,500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Edward H. Frank</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117,500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$2,696</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Laurie H. Glimcher</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97,500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Karen M. Golz</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117,500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18"/>
                <w:szCs w:val="18"/>
                <w:b w:val="1"/>
                <w:bCs w:val="1"/>
                <w:color w:val="0067B3"/>
              </w:rPr>
              <w:t>Mercedes Johnson</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102,500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4560" w:type="dxa"/>
            <w:vAlign w:val="bottom"/>
          </w:tcPr>
          <w:p>
            <w:pPr>
              <w:spacing w:after="0"/>
              <w:rPr>
                <w:sz w:val="20"/>
                <w:szCs w:val="20"/>
                <w:color w:val="auto"/>
              </w:rPr>
            </w:pPr>
            <w:r>
              <w:rPr>
                <w:rFonts w:ascii="Arial" w:cs="Arial" w:eastAsia="Arial" w:hAnsi="Arial"/>
                <w:sz w:val="18"/>
                <w:szCs w:val="18"/>
                <w:b w:val="1"/>
                <w:bCs w:val="1"/>
                <w:color w:val="0067B3"/>
              </w:rPr>
              <w:t>Mark Little</w:t>
            </w:r>
            <w:r>
              <w:rPr>
                <w:rFonts w:ascii="Arial" w:cs="Arial" w:eastAsia="Arial" w:hAnsi="Arial"/>
                <w:sz w:val="23"/>
                <w:szCs w:val="23"/>
                <w:b w:val="1"/>
                <w:bCs w:val="1"/>
                <w:color w:val="0067B3"/>
                <w:vertAlign w:val="superscript"/>
              </w:rPr>
              <w:t>(6)</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33,489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560" w:type="dxa"/>
            <w:vAlign w:val="bottom"/>
          </w:tcPr>
          <w:p>
            <w:pPr>
              <w:spacing w:after="0"/>
              <w:rPr>
                <w:sz w:val="20"/>
                <w:szCs w:val="20"/>
                <w:color w:val="auto"/>
              </w:rPr>
            </w:pPr>
            <w:r>
              <w:rPr>
                <w:rFonts w:ascii="Arial" w:cs="Arial" w:eastAsia="Arial" w:hAnsi="Arial"/>
                <w:sz w:val="18"/>
                <w:szCs w:val="18"/>
                <w:b w:val="1"/>
                <w:bCs w:val="1"/>
                <w:color w:val="0067B3"/>
              </w:rPr>
              <w:t>Kenton J. Sicchitano</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97,500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4560" w:type="dxa"/>
            <w:vAlign w:val="bottom"/>
          </w:tcPr>
          <w:p>
            <w:pPr>
              <w:spacing w:after="0"/>
              <w:rPr>
                <w:sz w:val="20"/>
                <w:szCs w:val="20"/>
                <w:color w:val="auto"/>
              </w:rPr>
            </w:pPr>
            <w:r>
              <w:rPr>
                <w:rFonts w:ascii="Arial" w:cs="Arial" w:eastAsia="Arial" w:hAnsi="Arial"/>
                <w:sz w:val="18"/>
                <w:szCs w:val="18"/>
                <w:b w:val="1"/>
                <w:bCs w:val="1"/>
                <w:color w:val="0067B3"/>
              </w:rPr>
              <w:t>Ray Stata</w:t>
            </w:r>
            <w:r>
              <w:rPr>
                <w:rFonts w:ascii="Arial" w:cs="Arial" w:eastAsia="Arial" w:hAnsi="Arial"/>
                <w:sz w:val="23"/>
                <w:szCs w:val="23"/>
                <w:b w:val="1"/>
                <w:bCs w:val="1"/>
                <w:color w:val="0067B3"/>
                <w:vertAlign w:val="superscript"/>
              </w:rPr>
              <w:t>(7)</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142,489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$14,846</w:t>
            </w:r>
          </w:p>
        </w:tc>
      </w:tr>
      <w:tr>
        <w:trPr>
          <w:trHeight w:val="247"/>
        </w:trPr>
        <w:tc>
          <w:tcPr>
            <w:tcW w:w="4560" w:type="dxa"/>
            <w:vAlign w:val="bottom"/>
          </w:tcPr>
          <w:p>
            <w:pPr>
              <w:spacing w:after="0"/>
              <w:rPr>
                <w:sz w:val="20"/>
                <w:szCs w:val="20"/>
                <w:color w:val="auto"/>
              </w:rPr>
            </w:pPr>
            <w:r>
              <w:rPr>
                <w:rFonts w:ascii="Arial" w:cs="Arial" w:eastAsia="Arial" w:hAnsi="Arial"/>
                <w:sz w:val="18"/>
                <w:szCs w:val="18"/>
                <w:b w:val="1"/>
                <w:bCs w:val="1"/>
                <w:color w:val="0067B3"/>
              </w:rPr>
              <w:t>Susie Wee</w:t>
            </w:r>
          </w:p>
        </w:tc>
        <w:tc>
          <w:tcPr>
            <w:tcW w:w="3300" w:type="dxa"/>
            <w:vAlign w:val="bottom"/>
          </w:tcPr>
          <w:p>
            <w:pPr>
              <w:jc w:val="right"/>
              <w:ind w:right="210"/>
              <w:spacing w:after="0"/>
              <w:rPr>
                <w:sz w:val="20"/>
                <w:szCs w:val="20"/>
                <w:color w:val="auto"/>
              </w:rPr>
            </w:pPr>
            <w:r>
              <w:rPr>
                <w:rFonts w:ascii="Arial" w:cs="Arial" w:eastAsia="Arial" w:hAnsi="Arial"/>
                <w:sz w:val="18"/>
                <w:szCs w:val="18"/>
                <w:color w:val="auto"/>
              </w:rPr>
              <w:t>97,500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221,111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-1875790</wp:posOffset>
            </wp:positionV>
            <wp:extent cx="713232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-1532890</wp:posOffset>
            </wp:positionV>
            <wp:extent cx="713232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-1189990</wp:posOffset>
            </wp:positionV>
            <wp:extent cx="713232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13232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7"/>
          <w:szCs w:val="17"/>
          <w:color w:val="auto"/>
        </w:rPr>
        <w:t>195,090</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328,611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308,611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333,611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341,307</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318,611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338,611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323,611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33,489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318,611</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378,446</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318,611</w:t>
      </w:r>
    </w:p>
    <w:p>
      <w:pPr>
        <w:spacing w:after="0" w:line="251" w:lineRule="exact"/>
        <w:rPr>
          <w:sz w:val="20"/>
          <w:szCs w:val="20"/>
          <w:color w:val="auto"/>
        </w:rPr>
      </w:pPr>
    </w:p>
    <w:p>
      <w:pPr>
        <w:sectPr>
          <w:pgSz w:w="11900" w:h="16838" w:orient="portrait"/>
          <w:cols w:equalWidth="0" w:num="3">
            <w:col w:w="10000" w:space="140"/>
            <w:col w:w="140" w:space="240"/>
            <w:col w:w="720"/>
          </w:cols>
          <w:pgMar w:left="320" w:top="1356" w:right="339" w:bottom="1440" w:gutter="0" w:footer="0" w:header="0"/>
          <w:type w:val="continuous"/>
        </w:sectPr>
      </w:pPr>
    </w:p>
    <w:p>
      <w:pPr>
        <w:spacing w:after="0" w:line="3" w:lineRule="exact"/>
        <w:rPr>
          <w:sz w:val="20"/>
          <w:szCs w:val="20"/>
          <w:color w:val="auto"/>
        </w:rPr>
      </w:pPr>
    </w:p>
    <w:p>
      <w:pPr>
        <w:ind w:left="200" w:hanging="192"/>
        <w:spacing w:after="0" w:line="245" w:lineRule="auto"/>
        <w:tabs>
          <w:tab w:leader="none" w:pos="215"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 xml:space="preserve">All cash retainers are paid in quarterly installments on the 15th day of December, March, June and September of each fiscal year and are pro-rated for a partial year of service. Each director can elect to defer receipt of his or her fees under our Deferred Compensation Plan, or DCP. For more information relating to our DCP, see </w:t>
      </w:r>
      <w:r>
        <w:rPr>
          <w:rFonts w:ascii="Arial" w:cs="Arial" w:eastAsia="Arial" w:hAnsi="Arial"/>
          <w:sz w:val="16"/>
          <w:szCs w:val="16"/>
          <w:i w:val="1"/>
          <w:iCs w:val="1"/>
          <w:color w:val="auto"/>
        </w:rPr>
        <w:t>Information About Executive Compensation—Non-Qualified Deferred Compensation Plan</w:t>
      </w:r>
      <w:r>
        <w:rPr>
          <w:rFonts w:ascii="Arial" w:cs="Arial" w:eastAsia="Arial" w:hAnsi="Arial"/>
          <w:sz w:val="16"/>
          <w:szCs w:val="16"/>
          <w:color w:val="auto"/>
        </w:rPr>
        <w:t xml:space="preserve"> below. Drs. Frank and Glimcher elected to defer receipt of their fees under the DCP in fiscal year 2022.</w:t>
      </w:r>
    </w:p>
    <w:p>
      <w:pPr>
        <w:spacing w:after="0" w:line="40" w:lineRule="exact"/>
        <w:rPr>
          <w:rFonts w:ascii="Arial" w:cs="Arial" w:eastAsia="Arial" w:hAnsi="Arial"/>
          <w:sz w:val="21"/>
          <w:szCs w:val="21"/>
          <w:color w:val="auto"/>
          <w:vertAlign w:val="superscript"/>
        </w:rPr>
      </w:pPr>
    </w:p>
    <w:p>
      <w:pPr>
        <w:ind w:left="200" w:right="160" w:hanging="192"/>
        <w:spacing w:after="0" w:line="235" w:lineRule="auto"/>
        <w:tabs>
          <w:tab w:leader="none" w:pos="215"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These amounts represent the aggregate grant date fair value of awards for grants of RSUs to each listed director in fiscal year 2022. These amounts do not represent the actual amounts paid to or realized by the directors during fiscal year 2022.</w:t>
      </w:r>
    </w:p>
    <w:p>
      <w:pPr>
        <w:spacing w:after="0" w:line="42" w:lineRule="exact"/>
        <w:rPr>
          <w:rFonts w:ascii="Arial" w:cs="Arial" w:eastAsia="Arial" w:hAnsi="Arial"/>
          <w:sz w:val="21"/>
          <w:szCs w:val="21"/>
          <w:color w:val="auto"/>
          <w:vertAlign w:val="superscript"/>
        </w:rPr>
      </w:pPr>
    </w:p>
    <w:p>
      <w:pPr>
        <w:ind w:left="200" w:right="700" w:hanging="192"/>
        <w:spacing w:after="0" w:line="235" w:lineRule="auto"/>
        <w:tabs>
          <w:tab w:leader="none" w:pos="215"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The aggregate number of stock options and RSUs outstanding held by each non-employee director (representing unexercised stock options and unvested RSUs) at October 29, 2022 is as follows:</w:t>
      </w:r>
    </w:p>
    <w:p>
      <w:pPr>
        <w:spacing w:after="0" w:line="97"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4660" w:type="dxa"/>
            <w:vAlign w:val="bottom"/>
            <w:shd w:val="clear" w:color="auto" w:fill="0067B3"/>
          </w:tcPr>
          <w:p>
            <w:pPr>
              <w:spacing w:after="0"/>
              <w:rPr>
                <w:sz w:val="15"/>
                <w:szCs w:val="15"/>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Number of Shares Subject</w:t>
            </w:r>
          </w:p>
        </w:tc>
        <w:tc>
          <w:tcPr>
            <w:tcW w:w="1640" w:type="dxa"/>
            <w:vAlign w:val="bottom"/>
            <w:shd w:val="clear" w:color="auto" w:fill="0067B3"/>
          </w:tcPr>
          <w:p>
            <w:pPr>
              <w:spacing w:after="0"/>
              <w:rPr>
                <w:sz w:val="15"/>
                <w:szCs w:val="15"/>
                <w:color w:val="auto"/>
              </w:rPr>
            </w:pPr>
          </w:p>
        </w:tc>
      </w:tr>
      <w:tr>
        <w:trPr>
          <w:trHeight w:val="175"/>
        </w:trPr>
        <w:tc>
          <w:tcPr>
            <w:tcW w:w="4660" w:type="dxa"/>
            <w:vAlign w:val="bottom"/>
            <w:shd w:val="clear" w:color="auto" w:fill="0067B3"/>
          </w:tcPr>
          <w:p>
            <w:pPr>
              <w:spacing w:after="0"/>
              <w:rPr>
                <w:sz w:val="15"/>
                <w:szCs w:val="15"/>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to Option Awards Held as</w:t>
            </w:r>
          </w:p>
        </w:tc>
        <w:tc>
          <w:tcPr>
            <w:tcW w:w="16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Number of RSUs that</w:t>
            </w:r>
          </w:p>
        </w:tc>
      </w:tr>
      <w:tr>
        <w:trPr>
          <w:trHeight w:val="175"/>
        </w:trPr>
        <w:tc>
          <w:tcPr>
            <w:tcW w:w="4660" w:type="dxa"/>
            <w:vAlign w:val="bottom"/>
            <w:shd w:val="clear" w:color="auto" w:fill="0067B3"/>
          </w:tcPr>
          <w:p>
            <w:pPr>
              <w:spacing w:after="0"/>
              <w:rPr>
                <w:sz w:val="15"/>
                <w:szCs w:val="15"/>
                <w:color w:val="auto"/>
              </w:rPr>
            </w:pPr>
          </w:p>
        </w:tc>
        <w:tc>
          <w:tcPr>
            <w:tcW w:w="468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of</w:t>
            </w:r>
          </w:p>
        </w:tc>
        <w:tc>
          <w:tcPr>
            <w:tcW w:w="16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have not Vested as of</w:t>
            </w:r>
          </w:p>
        </w:tc>
      </w:tr>
      <w:tr>
        <w:trPr>
          <w:trHeight w:val="205"/>
        </w:trPr>
        <w:tc>
          <w:tcPr>
            <w:tcW w:w="4660" w:type="dxa"/>
            <w:vAlign w:val="bottom"/>
            <w:tcBorders>
              <w:bottom w:val="single" w:sz="8" w:color="auto"/>
            </w:tcBorders>
            <w:shd w:val="clear" w:color="auto" w:fill="0067B3"/>
          </w:tcPr>
          <w:p>
            <w:pPr>
              <w:spacing w:after="0"/>
              <w:rPr>
                <w:sz w:val="20"/>
                <w:szCs w:val="20"/>
                <w:color w:val="auto"/>
              </w:rPr>
            </w:pPr>
            <w:r>
              <w:rPr>
                <w:rFonts w:ascii="Arial" w:cs="Arial" w:eastAsia="Arial" w:hAnsi="Arial"/>
                <w:sz w:val="14"/>
                <w:szCs w:val="14"/>
                <w:b w:val="1"/>
                <w:bCs w:val="1"/>
                <w:color w:val="FFFFFF"/>
              </w:rPr>
              <w:t>Name</w:t>
            </w:r>
          </w:p>
        </w:tc>
        <w:tc>
          <w:tcPr>
            <w:tcW w:w="4680" w:type="dxa"/>
            <w:vAlign w:val="bottom"/>
            <w:tcBorders>
              <w:bottom w:val="single" w:sz="8" w:color="auto"/>
            </w:tcBorders>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October 29, 2022</w:t>
            </w:r>
          </w:p>
        </w:tc>
        <w:tc>
          <w:tcPr>
            <w:tcW w:w="16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October 29, 2022</w:t>
            </w: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James A. Champy</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25,760</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1,495</w:t>
            </w:r>
          </w:p>
        </w:tc>
      </w:tr>
      <w:tr>
        <w:trPr>
          <w:trHeight w:val="243"/>
        </w:trPr>
        <w:tc>
          <w:tcPr>
            <w:tcW w:w="4660" w:type="dxa"/>
            <w:vAlign w:val="bottom"/>
          </w:tcPr>
          <w:p>
            <w:pPr>
              <w:spacing w:after="0"/>
              <w:rPr>
                <w:sz w:val="20"/>
                <w:szCs w:val="20"/>
                <w:color w:val="auto"/>
              </w:rPr>
            </w:pPr>
            <w:r>
              <w:rPr>
                <w:rFonts w:ascii="Arial" w:cs="Arial" w:eastAsia="Arial" w:hAnsi="Arial"/>
                <w:sz w:val="15"/>
                <w:szCs w:val="15"/>
                <w:b w:val="1"/>
                <w:bCs w:val="1"/>
                <w:color w:val="0067B3"/>
              </w:rPr>
              <w:t>André Andonian</w:t>
            </w:r>
            <w:r>
              <w:rPr>
                <w:rFonts w:ascii="Arial" w:cs="Arial" w:eastAsia="Arial" w:hAnsi="Arial"/>
                <w:sz w:val="19"/>
                <w:szCs w:val="19"/>
                <w:b w:val="1"/>
                <w:bCs w:val="1"/>
                <w:color w:val="0067B3"/>
                <w:vertAlign w:val="superscript"/>
              </w:rPr>
              <w:t>(a)</w:t>
            </w:r>
          </w:p>
        </w:tc>
        <w:tc>
          <w:tcPr>
            <w:tcW w:w="46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1,015</w:t>
            </w: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Anantha P. Chandrakasan</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1,495</w:t>
            </w: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Tunç Doluca</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1,495</w:t>
            </w: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Bruce R. Evans</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1,495</w:t>
            </w: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Edward H. Frank</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1,495</w:t>
            </w: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Laurie H. Glimcher</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1,495</w:t>
            </w: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Karen M. Golz</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1,495</w:t>
            </w: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660" w:type="dxa"/>
            <w:vAlign w:val="bottom"/>
            <w:tcBorders>
              <w:bottom w:val="single" w:sz="8" w:color="E2E6F4"/>
            </w:tcBorders>
            <w:shd w:val="clear" w:color="auto" w:fill="E2E6F4"/>
          </w:tcPr>
          <w:p>
            <w:pPr>
              <w:spacing w:after="0"/>
              <w:rPr>
                <w:sz w:val="20"/>
                <w:szCs w:val="20"/>
                <w:color w:val="auto"/>
              </w:rPr>
            </w:pPr>
            <w:r>
              <w:rPr>
                <w:rFonts w:ascii="Arial" w:cs="Arial" w:eastAsia="Arial" w:hAnsi="Arial"/>
                <w:sz w:val="15"/>
                <w:szCs w:val="15"/>
                <w:b w:val="1"/>
                <w:bCs w:val="1"/>
                <w:color w:val="0067B3"/>
              </w:rPr>
              <w:t>Mercedes Johnson</w:t>
            </w:r>
          </w:p>
        </w:tc>
        <w:tc>
          <w:tcPr>
            <w:tcW w:w="468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1,495</w:t>
            </w:r>
          </w:p>
        </w:tc>
      </w:tr>
      <w:tr>
        <w:trPr>
          <w:trHeight w:val="243"/>
        </w:trPr>
        <w:tc>
          <w:tcPr>
            <w:tcW w:w="4660" w:type="dxa"/>
            <w:vAlign w:val="bottom"/>
          </w:tcPr>
          <w:p>
            <w:pPr>
              <w:spacing w:after="0"/>
              <w:rPr>
                <w:sz w:val="20"/>
                <w:szCs w:val="20"/>
                <w:color w:val="auto"/>
              </w:rPr>
            </w:pPr>
            <w:r>
              <w:rPr>
                <w:rFonts w:ascii="Arial" w:cs="Arial" w:eastAsia="Arial" w:hAnsi="Arial"/>
                <w:sz w:val="15"/>
                <w:szCs w:val="15"/>
                <w:b w:val="1"/>
                <w:bCs w:val="1"/>
                <w:color w:val="0067B3"/>
              </w:rPr>
              <w:t>Mark Little</w:t>
            </w:r>
            <w:r>
              <w:rPr>
                <w:rFonts w:ascii="Arial" w:cs="Arial" w:eastAsia="Arial" w:hAnsi="Arial"/>
                <w:sz w:val="19"/>
                <w:szCs w:val="19"/>
                <w:b w:val="1"/>
                <w:bCs w:val="1"/>
                <w:color w:val="0067B3"/>
                <w:vertAlign w:val="superscript"/>
              </w:rPr>
              <w:t>(b)</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4660" w:type="dxa"/>
            <w:vAlign w:val="bottom"/>
            <w:tcBorders>
              <w:bottom w:val="single" w:sz="8" w:color="E5EAF6"/>
            </w:tcBorders>
            <w:shd w:val="clear" w:color="auto" w:fill="E5EAF6"/>
          </w:tcPr>
          <w:p>
            <w:pPr>
              <w:spacing w:after="0"/>
              <w:rPr>
                <w:sz w:val="20"/>
                <w:szCs w:val="20"/>
                <w:color w:val="auto"/>
              </w:rPr>
            </w:pPr>
            <w:r>
              <w:rPr>
                <w:rFonts w:ascii="Arial" w:cs="Arial" w:eastAsia="Arial" w:hAnsi="Arial"/>
                <w:sz w:val="15"/>
                <w:szCs w:val="15"/>
                <w:b w:val="1"/>
                <w:bCs w:val="1"/>
                <w:color w:val="0067B3"/>
              </w:rPr>
              <w:t>Kenton J. Sicchitano</w:t>
            </w:r>
          </w:p>
        </w:tc>
        <w:tc>
          <w:tcPr>
            <w:tcW w:w="4680" w:type="dxa"/>
            <w:vAlign w:val="bottom"/>
            <w:tcBorders>
              <w:bottom w:val="single" w:sz="8" w:color="E5EAF6"/>
            </w:tcBorders>
            <w:shd w:val="clear" w:color="auto" w:fill="E5EAF6"/>
          </w:tcPr>
          <w:p>
            <w:pPr>
              <w:jc w:val="right"/>
              <w:ind w:right="85"/>
              <w:spacing w:after="0"/>
              <w:rPr>
                <w:sz w:val="20"/>
                <w:szCs w:val="20"/>
                <w:color w:val="auto"/>
              </w:rPr>
            </w:pPr>
            <w:r>
              <w:rPr>
                <w:rFonts w:ascii="Arial" w:cs="Arial" w:eastAsia="Arial" w:hAnsi="Arial"/>
                <w:sz w:val="15"/>
                <w:szCs w:val="15"/>
                <w:color w:val="auto"/>
              </w:rPr>
              <w:t>16,100</w:t>
            </w:r>
          </w:p>
        </w:tc>
        <w:tc>
          <w:tcPr>
            <w:tcW w:w="1640" w:type="dxa"/>
            <w:vAlign w:val="bottom"/>
            <w:tcBorders>
              <w:bottom w:val="single" w:sz="8" w:color="E5EAF6"/>
            </w:tcBorders>
            <w:shd w:val="clear" w:color="auto" w:fill="E5EAF6"/>
          </w:tcPr>
          <w:p>
            <w:pPr>
              <w:jc w:val="right"/>
              <w:spacing w:after="0"/>
              <w:rPr>
                <w:sz w:val="20"/>
                <w:szCs w:val="20"/>
                <w:color w:val="auto"/>
              </w:rPr>
            </w:pPr>
            <w:r>
              <w:rPr>
                <w:rFonts w:ascii="Arial" w:cs="Arial" w:eastAsia="Arial" w:hAnsi="Arial"/>
                <w:sz w:val="15"/>
                <w:szCs w:val="15"/>
                <w:color w:val="auto"/>
              </w:rPr>
              <w:t>1,495</w:t>
            </w:r>
          </w:p>
        </w:tc>
      </w:tr>
      <w:tr>
        <w:trPr>
          <w:trHeight w:val="218"/>
        </w:trPr>
        <w:tc>
          <w:tcPr>
            <w:tcW w:w="4660" w:type="dxa"/>
            <w:vAlign w:val="bottom"/>
          </w:tcPr>
          <w:p>
            <w:pPr>
              <w:spacing w:after="0"/>
              <w:rPr>
                <w:sz w:val="20"/>
                <w:szCs w:val="20"/>
                <w:color w:val="auto"/>
              </w:rPr>
            </w:pPr>
            <w:r>
              <w:rPr>
                <w:rFonts w:ascii="Arial" w:cs="Arial" w:eastAsia="Arial" w:hAnsi="Arial"/>
                <w:sz w:val="15"/>
                <w:szCs w:val="15"/>
                <w:b w:val="1"/>
                <w:bCs w:val="1"/>
                <w:color w:val="0067B3"/>
              </w:rPr>
              <w:t>Ray Stata</w:t>
            </w:r>
          </w:p>
        </w:tc>
        <w:tc>
          <w:tcPr>
            <w:tcW w:w="4680" w:type="dxa"/>
            <w:vAlign w:val="bottom"/>
          </w:tcPr>
          <w:p>
            <w:pPr>
              <w:jc w:val="right"/>
              <w:ind w:right="85"/>
              <w:spacing w:after="0"/>
              <w:rPr>
                <w:sz w:val="20"/>
                <w:szCs w:val="20"/>
                <w:color w:val="auto"/>
              </w:rPr>
            </w:pPr>
            <w:r>
              <w:rPr>
                <w:rFonts w:ascii="Arial" w:cs="Arial" w:eastAsia="Arial" w:hAnsi="Arial"/>
                <w:sz w:val="15"/>
                <w:szCs w:val="15"/>
                <w:color w:val="auto"/>
              </w:rPr>
              <w:t>37,620</w:t>
            </w:r>
          </w:p>
        </w:tc>
        <w:tc>
          <w:tcPr>
            <w:tcW w:w="1640" w:type="dxa"/>
            <w:vAlign w:val="bottom"/>
          </w:tcPr>
          <w:p>
            <w:pPr>
              <w:jc w:val="right"/>
              <w:spacing w:after="0"/>
              <w:rPr>
                <w:sz w:val="20"/>
                <w:szCs w:val="20"/>
                <w:color w:val="auto"/>
              </w:rPr>
            </w:pPr>
            <w:r>
              <w:rPr>
                <w:rFonts w:ascii="Arial" w:cs="Arial" w:eastAsia="Arial" w:hAnsi="Arial"/>
                <w:sz w:val="15"/>
                <w:szCs w:val="15"/>
                <w:color w:val="auto"/>
              </w:rPr>
              <w:t>1,495</w:t>
            </w:r>
          </w:p>
        </w:tc>
      </w:tr>
      <w:tr>
        <w:trPr>
          <w:trHeight w:val="25"/>
        </w:trPr>
        <w:tc>
          <w:tcPr>
            <w:tcW w:w="4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660" w:type="dxa"/>
            <w:vAlign w:val="bottom"/>
            <w:tcBorders>
              <w:bottom w:val="single" w:sz="8" w:color="E5EAF6"/>
            </w:tcBorders>
            <w:shd w:val="clear" w:color="auto" w:fill="E5EAF6"/>
          </w:tcPr>
          <w:p>
            <w:pPr>
              <w:spacing w:after="0"/>
              <w:rPr>
                <w:sz w:val="20"/>
                <w:szCs w:val="20"/>
                <w:color w:val="auto"/>
              </w:rPr>
            </w:pPr>
            <w:r>
              <w:rPr>
                <w:rFonts w:ascii="Arial" w:cs="Arial" w:eastAsia="Arial" w:hAnsi="Arial"/>
                <w:sz w:val="15"/>
                <w:szCs w:val="15"/>
                <w:b w:val="1"/>
                <w:bCs w:val="1"/>
                <w:color w:val="0067B3"/>
              </w:rPr>
              <w:t>Susie Wee</w:t>
            </w:r>
          </w:p>
        </w:tc>
        <w:tc>
          <w:tcPr>
            <w:tcW w:w="4680" w:type="dxa"/>
            <w:vAlign w:val="bottom"/>
            <w:tcBorders>
              <w:bottom w:val="single" w:sz="8" w:color="E5EAF6"/>
            </w:tcBorders>
            <w:shd w:val="clear" w:color="auto" w:fill="E5EAF6"/>
          </w:tcPr>
          <w:p>
            <w:pPr>
              <w:jc w:val="right"/>
              <w:ind w:right="85"/>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5EAF6"/>
            </w:tcBorders>
            <w:shd w:val="clear" w:color="auto" w:fill="E5EAF6"/>
          </w:tcPr>
          <w:p>
            <w:pPr>
              <w:jc w:val="right"/>
              <w:spacing w:after="0"/>
              <w:rPr>
                <w:sz w:val="20"/>
                <w:szCs w:val="20"/>
                <w:color w:val="auto"/>
              </w:rPr>
            </w:pPr>
            <w:r>
              <w:rPr>
                <w:rFonts w:ascii="Arial" w:cs="Arial" w:eastAsia="Arial" w:hAnsi="Arial"/>
                <w:sz w:val="15"/>
                <w:szCs w:val="15"/>
                <w:color w:val="auto"/>
              </w:rPr>
              <w:t>1,495</w:t>
            </w:r>
          </w:p>
        </w:tc>
      </w:tr>
      <w:tr>
        <w:trPr>
          <w:trHeight w:val="20"/>
        </w:trPr>
        <w:tc>
          <w:tcPr>
            <w:tcW w:w="4660" w:type="dxa"/>
            <w:vAlign w:val="bottom"/>
            <w:shd w:val="clear" w:color="auto" w:fill="0067B3"/>
          </w:tcPr>
          <w:p>
            <w:pPr>
              <w:spacing w:after="0" w:line="20" w:lineRule="exact"/>
              <w:rPr>
                <w:sz w:val="1"/>
                <w:szCs w:val="1"/>
                <w:color w:val="auto"/>
              </w:rPr>
            </w:pPr>
          </w:p>
        </w:tc>
        <w:tc>
          <w:tcPr>
            <w:tcW w:w="4680" w:type="dxa"/>
            <w:vAlign w:val="bottom"/>
            <w:shd w:val="clear" w:color="auto" w:fill="0067B3"/>
          </w:tcPr>
          <w:p>
            <w:pPr>
              <w:spacing w:after="0" w:line="20" w:lineRule="exact"/>
              <w:rPr>
                <w:sz w:val="1"/>
                <w:szCs w:val="1"/>
                <w:color w:val="auto"/>
              </w:rPr>
            </w:pPr>
          </w:p>
        </w:tc>
        <w:tc>
          <w:tcPr>
            <w:tcW w:w="1640" w:type="dxa"/>
            <w:vAlign w:val="bottom"/>
            <w:shd w:val="clear" w:color="auto" w:fill="0067B3"/>
          </w:tcPr>
          <w:p>
            <w:pPr>
              <w:spacing w:after="0" w:line="20" w:lineRule="exact"/>
              <w:rPr>
                <w:sz w:val="1"/>
                <w:szCs w:val="1"/>
                <w:color w:val="auto"/>
              </w:rPr>
            </w:pPr>
          </w:p>
        </w:tc>
      </w:tr>
    </w:tbl>
    <w:p>
      <w:pPr>
        <w:spacing w:after="0" w:line="148" w:lineRule="exact"/>
        <w:rPr>
          <w:sz w:val="20"/>
          <w:szCs w:val="20"/>
          <w:color w:val="auto"/>
        </w:rPr>
      </w:pPr>
    </w:p>
    <w:p>
      <w:pPr>
        <w:ind w:left="400" w:right="120" w:hanging="198"/>
        <w:spacing w:after="0" w:line="227" w:lineRule="auto"/>
        <w:tabs>
          <w:tab w:leader="none" w:pos="415"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Mr. Andonian joined our Board of Directors on June 27, 2022 and in accordance with our Equity Award Grant Date Policy, was granted an RSU award pro-rated for his service from June 27, 2022 through our Annual Meeting.</w:t>
      </w:r>
    </w:p>
    <w:p>
      <w:pPr>
        <w:spacing w:after="0" w:line="29" w:lineRule="exact"/>
        <w:rPr>
          <w:rFonts w:ascii="Arial" w:cs="Arial" w:eastAsia="Arial" w:hAnsi="Arial"/>
          <w:sz w:val="21"/>
          <w:szCs w:val="21"/>
          <w:color w:val="auto"/>
          <w:vertAlign w:val="superscript"/>
        </w:rPr>
      </w:pPr>
    </w:p>
    <w:p>
      <w:pPr>
        <w:ind w:left="420" w:hanging="218"/>
        <w:spacing w:after="0"/>
        <w:tabs>
          <w:tab w:leader="none" w:pos="42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Dr. Little served on our Board of Directors until his retirement on March 9, 2022.</w:t>
      </w:r>
    </w:p>
    <w:p>
      <w:pPr>
        <w:spacing w:after="0" w:line="5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For the grants of RSUs made to our non-employee directors on March 9, 2022, the risk free rate was 1.28%, the dividend yield was 2.01% and the grant date fair value per share was $147.90. For the grants of RSUs made to our non-employee director on July 15, 2022 the risk free rate was 3.12%, the dividend yield was 1.92% and the grant date fair value per share was $154.99. The grant date fair value of RSUs represents the value of our common stock on the date of grant, reduced by the present value of dividends expected to be paid on our common stock prior to vesting. For a more detailed description of the assumptions used for purposes of</w:t>
      </w:r>
    </w:p>
    <w:p>
      <w:pPr>
        <w:spacing w:after="0" w:line="288"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43</w:t>
      </w:r>
    </w:p>
    <w:p>
      <w:pPr>
        <w:sectPr>
          <w:pgSz w:w="11900" w:h="16838" w:orient="portrait"/>
          <w:cols w:equalWidth="0" w:num="1">
            <w:col w:w="11240"/>
          </w:cols>
          <w:pgMar w:left="320" w:top="1356" w:right="339" w:bottom="1440" w:gutter="0" w:footer="0" w:header="0"/>
          <w:type w:val="continuous"/>
        </w:sectPr>
      </w:pPr>
    </w:p>
    <w:bookmarkStart w:id="51" w:name="page52"/>
    <w:bookmarkEnd w:id="51"/>
    <w:p>
      <w:pPr>
        <w:jc w:val="both"/>
        <w:ind w:right="220"/>
        <w:spacing w:after="0" w:line="275" w:lineRule="auto"/>
        <w:rPr>
          <w:sz w:val="20"/>
          <w:szCs w:val="20"/>
          <w:color w:val="auto"/>
        </w:rPr>
      </w:pPr>
      <w:r>
        <w:rPr>
          <w:rFonts w:ascii="Arial" w:cs="Arial" w:eastAsia="Arial" w:hAnsi="Arial"/>
          <w:sz w:val="16"/>
          <w:szCs w:val="16"/>
          <w:color w:val="auto"/>
        </w:rPr>
        <w:t xml:space="preserve">determining grant date fair value, see </w:t>
      </w:r>
      <w:r>
        <w:rPr>
          <w:rFonts w:ascii="Arial" w:cs="Arial" w:eastAsia="Arial" w:hAnsi="Arial"/>
          <w:sz w:val="16"/>
          <w:szCs w:val="16"/>
          <w:i w:val="1"/>
          <w:iCs w:val="1"/>
          <w:color w:val="auto"/>
        </w:rPr>
        <w:t>Note 3 to the Consolidated Financial Statements and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Operations—Critical Accounting Policies and Estimates—Stock-Based Compensation</w:t>
      </w:r>
      <w:r>
        <w:rPr>
          <w:rFonts w:ascii="Arial" w:cs="Arial" w:eastAsia="Arial" w:hAnsi="Arial"/>
          <w:sz w:val="16"/>
          <w:szCs w:val="16"/>
          <w:color w:val="auto"/>
        </w:rPr>
        <w:t>, included in our Annual Report on Form 10-K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October 29, 2022.</w:t>
      </w:r>
    </w:p>
    <w:p>
      <w:pPr>
        <w:spacing w:after="0" w:line="43"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Mr. Andonian joined our Board of Directors on June 27, 2022.</w:t>
      </w:r>
    </w:p>
    <w:p>
      <w:pPr>
        <w:spacing w:after="0" w:line="57" w:lineRule="exact"/>
        <w:rPr>
          <w:rFonts w:ascii="Arial" w:cs="Arial" w:eastAsia="Arial" w:hAnsi="Arial"/>
          <w:sz w:val="21"/>
          <w:szCs w:val="21"/>
          <w:color w:val="auto"/>
          <w:vertAlign w:val="superscript"/>
        </w:rPr>
      </w:pPr>
    </w:p>
    <w:p>
      <w:pPr>
        <w:ind w:left="220" w:hanging="212"/>
        <w:spacing w:after="0" w:line="238" w:lineRule="auto"/>
        <w:tabs>
          <w:tab w:leader="none" w:pos="22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The amount represents payment of flights and meals for Mr. Frank’s spouse in connection with a Board of Directors’ meeting.</w:t>
      </w:r>
    </w:p>
    <w:p>
      <w:pPr>
        <w:spacing w:after="0" w:line="71"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Dr. Little served on our Board of Directors until his retirement on March 9, 2022.</w:t>
      </w:r>
    </w:p>
    <w:p>
      <w:pPr>
        <w:spacing w:after="0" w:line="58" w:lineRule="exact"/>
        <w:rPr>
          <w:rFonts w:ascii="Arial" w:cs="Arial" w:eastAsia="Arial" w:hAnsi="Arial"/>
          <w:sz w:val="21"/>
          <w:szCs w:val="21"/>
          <w:color w:val="auto"/>
          <w:vertAlign w:val="superscript"/>
        </w:rPr>
      </w:pPr>
    </w:p>
    <w:p>
      <w:pPr>
        <w:ind w:left="200" w:right="200" w:hanging="192"/>
        <w:spacing w:after="0" w:line="226" w:lineRule="auto"/>
        <w:tabs>
          <w:tab w:leader="none" w:pos="215"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During fiscal year 2022, Mr. Stata, as Chair of the Board of Directors, received a total annual retainer of $250,000, pro-rated from the beginning of fiscal year 2022 until Mr. Roche was appointed Chair of the Board on March 9, 2022.</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The amount represents payment of medical and dental insurance premiums on behalf of Mr. Stata and his spouse.</w:t>
      </w:r>
    </w:p>
    <w:p>
      <w:pPr>
        <w:spacing w:after="0" w:line="57" w:lineRule="exact"/>
        <w:rPr>
          <w:rFonts w:ascii="Arial" w:cs="Arial" w:eastAsia="Arial" w:hAnsi="Arial"/>
          <w:sz w:val="21"/>
          <w:szCs w:val="21"/>
          <w:color w:val="auto"/>
          <w:vertAlign w:val="superscript"/>
        </w:rPr>
      </w:pPr>
    </w:p>
    <w:p>
      <w:pPr>
        <w:ind w:left="200" w:right="320" w:hanging="192"/>
        <w:spacing w:after="0" w:line="226" w:lineRule="auto"/>
        <w:tabs>
          <w:tab w:leader="none" w:pos="215"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Mr. Andonian joined our Board of Directors on June 27, 2022 and in accordance with our Equity Award Grant Date Policy, was granted an RSU award pro-rated for his service from June 27, 2022 through our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also reimbursed our directors for travel to Board of Directors’ meetings and other related expenses.</w:t>
      </w:r>
    </w:p>
    <w:p>
      <w:pPr>
        <w:spacing w:after="0" w:line="300"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Stock Ownership Guidelines for Non-Employee Directors</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80" w:type="dxa"/>
            <w:vAlign w:val="bottom"/>
            <w:tcBorders>
              <w:bottom w:val="single" w:sz="8" w:color="0067B3"/>
            </w:tcBorders>
          </w:tcPr>
          <w:p>
            <w:pPr>
              <w:ind w:left="20"/>
              <w:spacing w:after="0"/>
              <w:rPr>
                <w:sz w:val="20"/>
                <w:szCs w:val="20"/>
                <w:color w:val="auto"/>
              </w:rPr>
            </w:pPr>
            <w:r>
              <w:rPr>
                <w:rFonts w:ascii="Arial" w:cs="Arial" w:eastAsia="Arial" w:hAnsi="Arial"/>
                <w:sz w:val="16"/>
                <w:szCs w:val="16"/>
                <w:b w:val="1"/>
                <w:bCs w:val="1"/>
                <w:color w:val="auto"/>
              </w:rPr>
              <w:t>What Counts as Ownership</w:t>
            </w:r>
          </w:p>
        </w:tc>
        <w:tc>
          <w:tcPr>
            <w:tcW w:w="6960" w:type="dxa"/>
            <w:vAlign w:val="bottom"/>
            <w:tcBorders>
              <w:bottom w:val="single" w:sz="8" w:color="0067B3"/>
            </w:tcBorders>
          </w:tcPr>
          <w:p>
            <w:pPr>
              <w:ind w:left="720"/>
              <w:spacing w:after="0"/>
              <w:rPr>
                <w:sz w:val="20"/>
                <w:szCs w:val="20"/>
                <w:color w:val="auto"/>
              </w:rPr>
            </w:pPr>
            <w:r>
              <w:rPr>
                <w:rFonts w:ascii="Arial" w:cs="Arial" w:eastAsia="Arial" w:hAnsi="Arial"/>
                <w:sz w:val="16"/>
                <w:szCs w:val="16"/>
                <w:b w:val="1"/>
                <w:bCs w:val="1"/>
                <w:color w:val="auto"/>
              </w:rPr>
              <w:t>What Does Not Count as Ownership</w:t>
            </w:r>
          </w:p>
        </w:tc>
      </w:tr>
      <w:tr>
        <w:trPr>
          <w:trHeight w:val="244"/>
        </w:trPr>
        <w:tc>
          <w:tcPr>
            <w:tcW w:w="4280" w:type="dxa"/>
            <w:vAlign w:val="bottom"/>
          </w:tcPr>
          <w:p>
            <w:pPr>
              <w:ind w:left="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Time-based RSUs (whether or not vested)</w:t>
            </w:r>
          </w:p>
        </w:tc>
        <w:tc>
          <w:tcPr>
            <w:tcW w:w="6960" w:type="dxa"/>
            <w:vAlign w:val="bottom"/>
          </w:tcPr>
          <w:p>
            <w:pPr>
              <w:ind w:left="7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Shares subject to unexercised options, whether or not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p>
      <w:pPr>
        <w:ind w:left="180" w:hanging="154"/>
        <w:spacing w:after="0"/>
        <w:tabs>
          <w:tab w:leader="none" w:pos="180" w:val="left"/>
        </w:tabs>
        <w:numPr>
          <w:ilvl w:val="0"/>
          <w:numId w:val="61"/>
        </w:numPr>
        <w:rPr>
          <w:rFonts w:ascii="Arial" w:cs="Arial" w:eastAsia="Arial" w:hAnsi="Arial"/>
          <w:sz w:val="18"/>
          <w:szCs w:val="18"/>
          <w:color w:val="0067B3"/>
        </w:rPr>
      </w:pPr>
      <w:r>
        <w:rPr>
          <w:rFonts w:ascii="Arial" w:cs="Arial" w:eastAsia="Arial" w:hAnsi="Arial"/>
          <w:sz w:val="18"/>
          <w:szCs w:val="18"/>
          <w:color w:val="auto"/>
        </w:rPr>
        <w:t xml:space="preserve">Unvested PRSUs whose performance has been certified by </w:t>
      </w:r>
      <w:r>
        <w:rPr>
          <w:rFonts w:ascii="Arial" w:cs="Arial" w:eastAsia="Arial" w:hAnsi="Arial"/>
          <w:sz w:val="18"/>
          <w:szCs w:val="18"/>
          <w:color w:val="0067B3"/>
        </w:rPr>
        <w:t>Ñ</w:t>
      </w:r>
      <w:r>
        <w:rPr>
          <w:rFonts w:ascii="Arial" w:cs="Arial" w:eastAsia="Arial" w:hAnsi="Arial"/>
          <w:sz w:val="18"/>
          <w:szCs w:val="18"/>
          <w:color w:val="auto"/>
        </w:rPr>
        <w:t xml:space="preserve"> Unvested PRSUs whose performance has not yet been certified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939598"/>
            </w:tcBorders>
          </w:tcPr>
          <w:p>
            <w:pPr>
              <w:ind w:left="220"/>
              <w:spacing w:after="0"/>
              <w:rPr>
                <w:sz w:val="20"/>
                <w:szCs w:val="20"/>
                <w:color w:val="auto"/>
              </w:rPr>
            </w:pPr>
            <w:r>
              <w:rPr>
                <w:rFonts w:ascii="Arial" w:cs="Arial" w:eastAsia="Arial" w:hAnsi="Arial"/>
                <w:sz w:val="18"/>
                <w:szCs w:val="18"/>
                <w:color w:val="auto"/>
              </w:rPr>
              <w:t>the Compensation and Talent Committee</w:t>
            </w:r>
          </w:p>
        </w:tc>
        <w:tc>
          <w:tcPr>
            <w:tcW w:w="7000" w:type="dxa"/>
            <w:vAlign w:val="bottom"/>
            <w:tcBorders>
              <w:bottom w:val="single" w:sz="8" w:color="939598"/>
            </w:tcBorders>
          </w:tcPr>
          <w:p>
            <w:pPr>
              <w:ind w:left="940"/>
              <w:spacing w:after="0"/>
              <w:rPr>
                <w:sz w:val="20"/>
                <w:szCs w:val="20"/>
                <w:color w:val="auto"/>
              </w:rPr>
            </w:pPr>
            <w:r>
              <w:rPr>
                <w:rFonts w:ascii="Arial" w:cs="Arial" w:eastAsia="Arial" w:hAnsi="Arial"/>
                <w:sz w:val="18"/>
                <w:szCs w:val="18"/>
                <w:color w:val="auto"/>
              </w:rPr>
              <w:t>Compensation and Talent Committee</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Restricted stock (whether or not vested)</w:t>
            </w:r>
          </w:p>
        </w:tc>
        <w:tc>
          <w:tcPr>
            <w:tcW w:w="7000" w:type="dxa"/>
            <w:vAlign w:val="bottom"/>
          </w:tcPr>
          <w:p>
            <w:pPr>
              <w:ind w:left="7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Any shares that have been pledged as collateral for a loan</w:t>
            </w:r>
          </w:p>
        </w:tc>
      </w:tr>
      <w:tr>
        <w:trPr>
          <w:trHeight w:val="23"/>
        </w:trPr>
        <w:tc>
          <w:tcPr>
            <w:tcW w:w="4240" w:type="dxa"/>
            <w:vAlign w:val="bottom"/>
            <w:tcBorders>
              <w:bottom w:val="single" w:sz="8" w:color="0067B3"/>
            </w:tcBorders>
          </w:tcPr>
          <w:p>
            <w:pPr>
              <w:spacing w:after="0"/>
              <w:rPr>
                <w:sz w:val="2"/>
                <w:szCs w:val="2"/>
                <w:color w:val="auto"/>
              </w:rPr>
            </w:pPr>
          </w:p>
        </w:tc>
        <w:tc>
          <w:tcPr>
            <w:tcW w:w="700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All of our non-employee directors, other than Mr. Andonian who was appointed to the Board of Directors in fiscal year 2022, were in compliance with our stock ownership guidelines as of the end of fiscal year 2022. Mr. Andonian is expected to be in compliance with our stock ownership guidelines within the first four years of his appointment to the Board of Directors.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44</w:t>
      </w:r>
    </w:p>
    <w:p>
      <w:pPr>
        <w:ind w:left="480"/>
        <w:spacing w:after="0"/>
        <w:rPr>
          <w:sz w:val="20"/>
          <w:szCs w:val="20"/>
          <w:color w:val="auto"/>
        </w:rPr>
      </w:pPr>
      <w:r>
        <w:rPr>
          <w:rFonts w:ascii="Arial" w:cs="Arial" w:eastAsia="Arial" w:hAnsi="Arial"/>
          <w:sz w:val="16"/>
          <w:szCs w:val="16"/>
          <w:color w:val="6D6E71"/>
        </w:rPr>
        <w:t>Director Compensation</w:t>
      </w:r>
    </w:p>
    <w:p>
      <w:pPr>
        <w:sectPr>
          <w:pgSz w:w="11900" w:h="16838" w:orient="portrait"/>
          <w:cols w:equalWidth="0" w:num="1">
            <w:col w:w="11240"/>
          </w:cols>
          <w:pgMar w:left="320" w:top="1178" w:right="339" w:bottom="1440" w:gutter="0" w:footer="0" w:header="0"/>
        </w:sectPr>
      </w:pPr>
    </w:p>
    <w:bookmarkStart w:id="52" w:name="page53"/>
    <w:bookmarkEnd w:id="52"/>
    <w:p>
      <w:pPr>
        <w:ind w:right="4340"/>
        <w:spacing w:after="0" w:line="276" w:lineRule="auto"/>
        <w:rPr>
          <w:sz w:val="20"/>
          <w:szCs w:val="20"/>
          <w:color w:val="auto"/>
        </w:rPr>
      </w:pPr>
      <w:r>
        <w:rPr>
          <w:rFonts w:ascii="Arial" w:cs="Arial" w:eastAsia="Arial" w:hAnsi="Arial"/>
          <w:sz w:val="41"/>
          <w:szCs w:val="41"/>
          <w:b w:val="1"/>
          <w:bCs w:val="1"/>
          <w:color w:val="0067B3"/>
        </w:rPr>
        <w:t>Equity Award Grant Date Policy for Non-Employee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2022, our Equity Award Grant Date Policy for non-employee directors provided for the following:</w:t>
      </w:r>
    </w:p>
    <w:p>
      <w:pPr>
        <w:spacing w:after="0" w:line="117" w:lineRule="exact"/>
        <w:rPr>
          <w:sz w:val="20"/>
          <w:szCs w:val="20"/>
          <w:color w:val="auto"/>
        </w:rPr>
      </w:pPr>
    </w:p>
    <w:p>
      <w:pPr>
        <w:ind w:left="200" w:hanging="192"/>
        <w:spacing w:after="0" w:line="291" w:lineRule="auto"/>
        <w:tabs>
          <w:tab w:leader="none" w:pos="163" w:val="left"/>
        </w:tabs>
        <w:numPr>
          <w:ilvl w:val="0"/>
          <w:numId w:val="62"/>
        </w:numPr>
        <w:rPr>
          <w:rFonts w:ascii="Arial" w:cs="Arial" w:eastAsia="Arial" w:hAnsi="Arial"/>
          <w:sz w:val="17"/>
          <w:szCs w:val="17"/>
          <w:color w:val="0067B3"/>
        </w:rPr>
      </w:pPr>
      <w:r>
        <w:rPr>
          <w:rFonts w:ascii="Arial" w:cs="Arial" w:eastAsia="Arial" w:hAnsi="Arial"/>
          <w:sz w:val="17"/>
          <w:szCs w:val="17"/>
          <w:color w:val="auto"/>
        </w:rPr>
        <w:t>Each newly elected non-employee director elected other than at an annual meeting of shareholders is granted under the 2020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17" w:lineRule="exact"/>
        <w:rPr>
          <w:rFonts w:ascii="Arial" w:cs="Arial" w:eastAsia="Arial" w:hAnsi="Arial"/>
          <w:sz w:val="17"/>
          <w:szCs w:val="17"/>
          <w:color w:val="0067B3"/>
        </w:rPr>
      </w:pPr>
    </w:p>
    <w:p>
      <w:pPr>
        <w:ind w:left="200" w:right="20" w:hanging="192"/>
        <w:spacing w:after="0" w:line="268" w:lineRule="auto"/>
        <w:tabs>
          <w:tab w:leader="none" w:pos="163" w:val="left"/>
        </w:tabs>
        <w:numPr>
          <w:ilvl w:val="0"/>
          <w:numId w:val="62"/>
        </w:numPr>
        <w:rPr>
          <w:rFonts w:ascii="Arial" w:cs="Arial" w:eastAsia="Arial" w:hAnsi="Arial"/>
          <w:sz w:val="18"/>
          <w:szCs w:val="18"/>
          <w:color w:val="0067B3"/>
        </w:rPr>
      </w:pPr>
      <w:r>
        <w:rPr>
          <w:rFonts w:ascii="Arial" w:cs="Arial" w:eastAsia="Arial" w:hAnsi="Arial"/>
          <w:sz w:val="18"/>
          <w:szCs w:val="18"/>
          <w:color w:val="auto"/>
        </w:rPr>
        <w:t>On an annual basis, each non-employee director elected or re-elected at an annual meeting of shareholders is granted under the 2020 Plan an RSU award for a number of shares of our common stock approved by the Board of Directors, on the date of our annual meeting of shareholders, or if Nasdaq is closed on that day, the next succeeding business day that Nasdaq is open.</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fiscal year 2022, RSUs granted to our non-employee directors under the 2020 Plan vest on the earlier of the date of the Annual Meeting and the first anniversary of the date of grant, subject to acceleration as described below.</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RSU awards vest in full upon the occurrence of a Change in Control Event (as defined in the 2020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33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45</w:t>
      </w:r>
    </w:p>
    <w:p>
      <w:pPr>
        <w:sectPr>
          <w:pgSz w:w="11900" w:h="16838" w:orient="portrait"/>
          <w:cols w:equalWidth="0" w:num="1">
            <w:col w:w="11220"/>
          </w:cols>
          <w:pgMar w:left="320" w:top="1356" w:right="359" w:bottom="1440" w:gutter="0" w:footer="0" w:header="0"/>
        </w:sectPr>
      </w:pPr>
    </w:p>
    <w:bookmarkStart w:id="53" w:name="page54"/>
    <w:bookmarkEnd w:id="53"/>
    <w:p>
      <w:pPr>
        <w:spacing w:after="0"/>
        <w:rPr>
          <w:sz w:val="20"/>
          <w:szCs w:val="20"/>
          <w:color w:val="auto"/>
        </w:rPr>
      </w:pPr>
      <w:r>
        <w:rPr>
          <w:rFonts w:ascii="Arial" w:cs="Arial" w:eastAsia="Arial" w:hAnsi="Arial"/>
          <w:sz w:val="58"/>
          <w:szCs w:val="58"/>
          <w:color w:val="auto"/>
        </w:rPr>
        <w:t>Leadership Team</w:t>
      </w:r>
    </w:p>
    <w:p>
      <w:pPr>
        <w:spacing w:after="0" w:line="200" w:lineRule="exact"/>
        <w:rPr>
          <w:sz w:val="20"/>
          <w:szCs w:val="20"/>
          <w:color w:val="auto"/>
        </w:rPr>
      </w:pPr>
    </w:p>
    <w:p>
      <w:pPr>
        <w:spacing w:after="0" w:line="30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following table sets forth (i) the name, age and position of our CEO and other members of our Leadership Team as of January 20, 2023 and (ii) the business experience of each person named in the table during at least the past five years. There is no family relationship among any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46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VINCENT ROCHE, 62, </w:t>
      </w:r>
      <w:r>
        <w:rPr>
          <w:rFonts w:ascii="Arial" w:cs="Arial" w:eastAsia="Arial" w:hAnsi="Arial"/>
          <w:sz w:val="16"/>
          <w:szCs w:val="16"/>
          <w:color w:val="0067B3"/>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3810</wp:posOffset>
            </wp:positionV>
            <wp:extent cx="951230" cy="9512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39" w:lineRule="exact"/>
        <w:rPr>
          <w:sz w:val="20"/>
          <w:szCs w:val="20"/>
          <w:color w:val="auto"/>
        </w:rPr>
      </w:pPr>
    </w:p>
    <w:p>
      <w:pPr>
        <w:ind w:left="1520"/>
        <w:spacing w:after="0" w:line="255" w:lineRule="auto"/>
        <w:rPr>
          <w:sz w:val="20"/>
          <w:szCs w:val="20"/>
          <w:color w:val="auto"/>
        </w:rPr>
      </w:pPr>
      <w:r>
        <w:rPr>
          <w:rFonts w:ascii="Arial" w:cs="Arial" w:eastAsia="Arial" w:hAnsi="Arial"/>
          <w:sz w:val="16"/>
          <w:szCs w:val="16"/>
          <w:color w:val="auto"/>
        </w:rPr>
        <w:t>Mr. Roche was elected as Chair of our Board of Directors in March 2022 and has served as our President and Chief Executive Officer since May 2013 and as our President since November 2012. Mr. Roche began his career at ADI in 1988, progressively gaining responsibility over his tenure. Prior to November 2012, Mr. Roche served as Vice President, Strategic Segments Group and Global Sales from October 2009 to November 2012; Vice President, Worldwide Sales from March 2001 to October 2009; Vice President and General Manager, Silicon Valley Business Units and Computer &amp; Networking from 1999 to March 2001; Product Line Director from 1995 to 1999; and Product Marketing Manager from 1988 to 1995. Mr. Roche serves on the boards of the Semiconductor Industry Association, the MIT Presidential CEO Advisory Board, and is a member of the Massachusetts High Tech Leadership Council. Mr. Roche holds a Bachelor’s degree in Electronic Systems and an honorary Doctor of Science (Eng.) from the University of Limerick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40640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JANENE ASGEIRSSON, 52, </w:t>
      </w:r>
      <w:r>
        <w:rPr>
          <w:rFonts w:ascii="Arial" w:cs="Arial" w:eastAsia="Arial" w:hAnsi="Arial"/>
          <w:sz w:val="16"/>
          <w:szCs w:val="16"/>
          <w:color w:val="0067B3"/>
        </w:rPr>
        <w:t>Senior Vice President, Chief Legal Officer, Chief Risk Officer and Secretary</w:t>
      </w:r>
    </w:p>
    <w:p>
      <w:pPr>
        <w:spacing w:after="0" w:line="113" w:lineRule="exact"/>
        <w:rPr>
          <w:sz w:val="20"/>
          <w:szCs w:val="20"/>
          <w:color w:val="auto"/>
        </w:rPr>
      </w:pPr>
    </w:p>
    <w:p>
      <w:pPr>
        <w:ind w:left="1520"/>
        <w:spacing w:after="0" w:line="251" w:lineRule="auto"/>
        <w:rPr>
          <w:sz w:val="20"/>
          <w:szCs w:val="20"/>
          <w:color w:val="auto"/>
        </w:rPr>
      </w:pPr>
      <w:r>
        <w:rPr>
          <w:rFonts w:ascii="Arial" w:cs="Arial" w:eastAsia="Arial" w:hAnsi="Arial"/>
          <w:sz w:val="16"/>
          <w:szCs w:val="16"/>
          <w:color w:val="auto"/>
        </w:rPr>
        <w:t>Ms. Asgeirsson has served as our Senior Vice President, Chief Legal Officer, Chief Risk Officer and Secretary since August 2021. Ms. Asgeirsson leads our worldwide legal, governance, trade, and compliance functions, including mergers and acquisitions, litigation, intellectual property, and other corporate matters and acts as a strategic advisor to ADI’s executive leadership team and Board of Directors. Additionally, Ms. Asgeirsson is responsible for our internal audit and risk functions in her capacity as Chief Risk Officer and is responsible for the governance of our ESG programs. Ms. Asgeirsson has over two decades of combined experience in private practice at American Lawyer-ranked international law firms and in senior and executive level roles at publicly traded technology companies. Prior to joining ADI, Ms. Asgeirsson worked at Acacia Communications, an optical networking and strategy technology company, from April 2015 to August 2021, as its Vice President, General Counsel and Secretary from April 2015 to January 2019, and then as its Chief Legal Officer, Chief Compliance Officer and Secretary, from February 2019 to August 2021, leading global teams with diverse responsibilities. During her tenure at Acacia, she accomplished several significant transactions, including Acacia’s initial public offering (IPO), the best-performing U.S. IPO of 2016, and Acacia’s multi-billion-dollar sale to Cisco Systems. While in private practice, Ms. Asgeirsson provided strategic and legal counsel to several companies across multiple industries, ranging in size from start-ups to multi-billion-dollar, complex global organizations. Ms. Asgeirsson holds a Bachelors in Accountancy, summa cum laude, from the University of San Diego and a Juris Doctor from Northeastern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53340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-1514475</wp:posOffset>
            </wp:positionV>
            <wp:extent cx="951230" cy="942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51230" cy="942975"/>
                    </a:xfrm>
                    <a:prstGeom prst="rect">
                      <a:avLst/>
                    </a:prstGeom>
                    <a:noFill/>
                  </pic:spPr>
                </pic:pic>
              </a:graphicData>
            </a:graphic>
          </wp:anchor>
        </w:drawing>
      </w:r>
    </w:p>
    <w:p>
      <w:pPr>
        <w:spacing w:after="0" w:line="131"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GREGORY BRYANT, 54, </w:t>
      </w:r>
      <w:r>
        <w:rPr>
          <w:rFonts w:ascii="Arial" w:cs="Arial" w:eastAsia="Arial" w:hAnsi="Arial"/>
          <w:sz w:val="16"/>
          <w:szCs w:val="16"/>
          <w:color w:val="0067B3"/>
        </w:rPr>
        <w:t>Executive Vice President and President of Business Units</w:t>
      </w:r>
    </w:p>
    <w:p>
      <w:pPr>
        <w:spacing w:after="0" w:line="59" w:lineRule="exact"/>
        <w:rPr>
          <w:sz w:val="20"/>
          <w:szCs w:val="20"/>
          <w:color w:val="auto"/>
        </w:rPr>
      </w:pPr>
    </w:p>
    <w:p>
      <w:pPr>
        <w:ind w:left="1520"/>
        <w:spacing w:after="0" w:line="253" w:lineRule="auto"/>
        <w:rPr>
          <w:sz w:val="20"/>
          <w:szCs w:val="20"/>
          <w:color w:val="auto"/>
        </w:rPr>
      </w:pPr>
      <w:r>
        <w:rPr>
          <w:rFonts w:ascii="Arial" w:cs="Arial" w:eastAsia="Arial" w:hAnsi="Arial"/>
          <w:sz w:val="16"/>
          <w:szCs w:val="16"/>
          <w:color w:val="auto"/>
        </w:rPr>
        <w:t>Mr. Bryant has served as our Executive Vice President and President of Business Units since March 2022. In this role, Mr. Bryant is responsible for growing the business and ensuring close alignment between long-term strategic goals and the evolving technology trends, market needs, and customer priorities. Mr. Bryant has three decades of experience leading and scaling large organizations to deliver profitable growth. Most recently, Mr. Bryant was Executive Vice President and General Manager, Client Computing Group at Intel Corporation, a semiconductor and technology company, from September 2019 to January 2022, where he was responsible for setting Intel’s PC vision and strategy, delivering six consecutive years of growth in its global PC ecosystem, and collaborating across its global ecosystem to co-engineer and deliver leading consumer and commercial PC platforms that empower people and organizations. Mr. Bryant served as Intel’s Senior Vice President, Client Computing Group from June 2017 to September 2019 and previously held a variety of leadership positions at Intel, including General Manager of Asia Pacific and Japan and General Manager of the Business Client Platform Division. Mr. Bryant holds a Bachelor of Science degree in Electrical Engineering from the University of Kansas and a Master’s degree in Program and Systems Management from Golden 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40005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-1330960</wp:posOffset>
            </wp:positionV>
            <wp:extent cx="951230" cy="9512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67B3"/>
        </w:rPr>
        <w:t xml:space="preserve">JOHN HASSETT, 64, </w:t>
      </w:r>
      <w:r>
        <w:rPr>
          <w:rFonts w:ascii="Arial" w:cs="Arial" w:eastAsia="Arial" w:hAnsi="Arial"/>
          <w:sz w:val="16"/>
          <w:szCs w:val="16"/>
          <w:color w:val="0067B3"/>
        </w:rPr>
        <w:t>Senior Vice President and Chief Operating Officer, Maxim Business</w:t>
      </w:r>
    </w:p>
    <w:p>
      <w:pPr>
        <w:spacing w:after="0" w:line="59" w:lineRule="exact"/>
        <w:rPr>
          <w:sz w:val="20"/>
          <w:szCs w:val="20"/>
          <w:color w:val="auto"/>
        </w:rPr>
      </w:pPr>
    </w:p>
    <w:p>
      <w:pPr>
        <w:ind w:left="1520" w:right="80"/>
        <w:spacing w:after="0" w:line="252" w:lineRule="auto"/>
        <w:rPr>
          <w:sz w:val="20"/>
          <w:szCs w:val="20"/>
          <w:color w:val="auto"/>
        </w:rPr>
      </w:pPr>
      <w:r>
        <w:rPr>
          <w:rFonts w:ascii="Arial" w:cs="Arial" w:eastAsia="Arial" w:hAnsi="Arial"/>
          <w:sz w:val="16"/>
          <w:szCs w:val="16"/>
          <w:color w:val="auto"/>
        </w:rPr>
        <w:t>Mr. Hassett has served as our Senior Vice President and Chief Operating Officer for the Maxim business since August 2021 where he leads our strategic and operational efforts to integrate Maxim. Mr. Hassett brings extensive experience as a business leader having run our largest revenue-generating business group, operational expertise leveraging his previous Global Operations &amp; Technology leadership, in addition to his various engineering management roles with us. Previously, Mr. Hassett was Senior Vice President, Corporate Integration Management where he led significant efforts in M&amp;A transactions and was responsible for developing strategies that drove the integration of multi-billion-dollar transactions from due diligence to fully integrated entities from December 2020 to July 2021. Previously, Mr. Hassett was Senior Vice President of Industrial and Consumer Group from November 2019 to December 2020 where he led growth initiatives which leverage our extensive franchise capability in measurement, sensing and testing and was Senior Vice President of Global Operations &amp; Technology from May 2015 to November 2019, where he was instrumental in setting and executing our manufacturing strategy and creating a world-class, scalable supply chain to deliver outstanding quality for our customers. Mr. Hassett joined ADI in 1982 after graduating from the University of Limerick where he earned a Bachelor of Science degree in Manufacturing Engineering. Mr. Hassett also holds a Master of Business Administration from the University of Limerick.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43180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-1388110</wp:posOffset>
            </wp:positionV>
            <wp:extent cx="951230" cy="9512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6D6E71"/>
        </w:rPr>
        <w:t>Leadership Team</w:t>
      </w:r>
    </w:p>
    <w:p>
      <w:pPr>
        <w:sectPr>
          <w:pgSz w:w="11900" w:h="16838" w:orient="portrait"/>
          <w:cols w:equalWidth="0" w:num="2">
            <w:col w:w="240" w:space="240"/>
            <w:col w:w="10720"/>
          </w:cols>
          <w:pgMar w:left="320" w:top="1126" w:right="379" w:bottom="1440" w:gutter="0" w:footer="0" w:header="0"/>
          <w:type w:val="continuous"/>
        </w:sectPr>
      </w:pPr>
    </w:p>
    <w:bookmarkStart w:id="54" w:name="page55"/>
    <w:bookmarkEnd w:id="54"/>
    <w:p>
      <w:pPr>
        <w:ind w:left="880"/>
        <w:spacing w:after="0"/>
        <w:rPr>
          <w:sz w:val="20"/>
          <w:szCs w:val="20"/>
          <w:color w:val="auto"/>
        </w:rPr>
      </w:pPr>
      <w:r>
        <w:rPr>
          <w:rFonts w:ascii="Arial" w:cs="Arial" w:eastAsia="Arial" w:hAnsi="Arial"/>
          <w:sz w:val="16"/>
          <w:szCs w:val="16"/>
          <w:b w:val="1"/>
          <w:bCs w:val="1"/>
          <w:color w:val="0067B3"/>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VIVEK JAIN, 63, </w:t>
      </w:r>
      <w:r>
        <w:rPr>
          <w:rFonts w:ascii="Arial" w:cs="Arial" w:eastAsia="Arial" w:hAnsi="Arial"/>
          <w:sz w:val="16"/>
          <w:szCs w:val="16"/>
          <w:color w:val="0067B3"/>
        </w:rPr>
        <w:t>Executive Vice President of Global Operations and Technology</w:t>
      </w:r>
    </w:p>
    <w:p>
      <w:pPr>
        <w:spacing w:after="0" w:line="127" w:lineRule="exact"/>
        <w:rPr>
          <w:sz w:val="20"/>
          <w:szCs w:val="20"/>
          <w:color w:val="auto"/>
        </w:rPr>
      </w:pPr>
    </w:p>
    <w:p>
      <w:pPr>
        <w:ind w:left="880" w:right="80"/>
        <w:spacing w:after="0" w:line="257" w:lineRule="auto"/>
        <w:rPr>
          <w:sz w:val="20"/>
          <w:szCs w:val="20"/>
          <w:color w:val="auto"/>
        </w:rPr>
      </w:pPr>
      <w:r>
        <w:rPr>
          <w:rFonts w:ascii="Arial" w:cs="Arial" w:eastAsia="Arial" w:hAnsi="Arial"/>
          <w:sz w:val="16"/>
          <w:szCs w:val="16"/>
          <w:color w:val="auto"/>
        </w:rPr>
        <w:t>Mr. Jain has served as our Executive Vice President of Global Operations &amp; Technology since May 2022, where he is responsible for global manufacturing and supply chain operation, and previously served as our Senior Vice President of Global Operations and Technology from August 2021 to May 2022. Mr. Jain assumed this position following our acquisition of Maxim, where he served in a similar capacity as the Senior Vice President of the Technology and Manufacturing Group from June 2009 to August 2021. After joining Maxim in 2007 as Vice President of Fab Operations, Mr. Jain led the transformation of many aspects of Maxim’s manufacturing supply chain to make it more flexible, nimble, and resilient. Mr. Jain’s additional experience includes serving as a Plant Manager at Intel's Technology Development and Manufacturing facility, where he oversaw the process technology development and high-volume manufacturing of deep sub-micron logic and Flash memory technologies. Mr. Jain holds a Bachelor of Science degree in Chemical Engineering from the Indian Institute of Technology Delhi, a Master of Science degree in Chemical Engineering from Penn State University, and a Master’s degree in Electrical Engineering from Stanford University. He is also a 2014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38735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-1297940</wp:posOffset>
            </wp:positionV>
            <wp:extent cx="951230" cy="9512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PRASHANTH MAHENDRA-RAJAH, 52, </w:t>
      </w:r>
      <w:r>
        <w:rPr>
          <w:rFonts w:ascii="Arial" w:cs="Arial" w:eastAsia="Arial" w:hAnsi="Arial"/>
          <w:sz w:val="16"/>
          <w:szCs w:val="16"/>
          <w:color w:val="0067B3"/>
        </w:rPr>
        <w:t>Executive Vice President, Finance and Chief Financial Officer</w:t>
      </w:r>
    </w:p>
    <w:p>
      <w:pPr>
        <w:spacing w:after="0" w:line="127" w:lineRule="exact"/>
        <w:rPr>
          <w:sz w:val="20"/>
          <w:szCs w:val="20"/>
          <w:color w:val="auto"/>
        </w:rPr>
      </w:pPr>
    </w:p>
    <w:p>
      <w:pPr>
        <w:ind w:left="880" w:right="40"/>
        <w:spacing w:after="0" w:line="256" w:lineRule="auto"/>
        <w:rPr>
          <w:sz w:val="20"/>
          <w:szCs w:val="20"/>
          <w:color w:val="auto"/>
        </w:rPr>
      </w:pPr>
      <w:r>
        <w:rPr>
          <w:rFonts w:ascii="Arial" w:cs="Arial" w:eastAsia="Arial" w:hAnsi="Arial"/>
          <w:sz w:val="16"/>
          <w:szCs w:val="16"/>
          <w:color w:val="auto"/>
        </w:rPr>
        <w:t>Mr. Mahendra-Rajah has served as our Executive Vice President, Finance and Chief Financial Officer since June 2022 and as our Senior Vice President, Finance and Chief Financial Officer from 2017 to June 2022. Mr. Mahendra-Rajah sets our financial strategy and oversees ADI’s global finance organization, with responsibility for financial management, planning, controls, and reporting. Mr. Mahendra-Rajah has been recognized by Institutional Investor magazine as a Top CFO in Semiconductors in 2020, 2021 and 2022 by equity research analysts. Mr. Mahendra-Rajah is also a member of CNBC’s Global CFO Council. Prior to joining ADI, Mr. Mahendra-Rajah was Chief Financial Officer of WABCO Holdings Inc., a global supplier of commercial vehicle technologies, from June 2014 to September 2017. He previously served as Division CFO and in other financial leadership roles at Applied Materials, Visa, and United Technologies. Mr. Mahendra-Rajah is a member of the board of directors of the Goodyear Tire &amp; Rubber Company, where he serves on the audit committee and committee on corporate responsibility and compliance. Mr. Mahendra-Rajah holds a Bachelor of Science degree in Chemical Engineering from the University of Michigan, a Master of Science degree in Engineering from Johns Hopkins University, and a Master of Business Administration degree from the Krannert School of Management at Purdue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39370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-1356995</wp:posOffset>
            </wp:positionV>
            <wp:extent cx="951230" cy="9512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ANELISE SACKS, 44, </w:t>
      </w:r>
      <w:r>
        <w:rPr>
          <w:rFonts w:ascii="Arial" w:cs="Arial" w:eastAsia="Arial" w:hAnsi="Arial"/>
          <w:sz w:val="16"/>
          <w:szCs w:val="16"/>
          <w:color w:val="0067B3"/>
        </w:rPr>
        <w:t>Senior Vice President and Chief Customer Officer</w:t>
      </w:r>
    </w:p>
    <w:p>
      <w:pPr>
        <w:spacing w:after="0" w:line="127" w:lineRule="exact"/>
        <w:rPr>
          <w:sz w:val="20"/>
          <w:szCs w:val="20"/>
          <w:color w:val="auto"/>
        </w:rPr>
      </w:pPr>
    </w:p>
    <w:p>
      <w:pPr>
        <w:ind w:left="880" w:right="140"/>
        <w:spacing w:after="0" w:line="254" w:lineRule="auto"/>
        <w:rPr>
          <w:sz w:val="20"/>
          <w:szCs w:val="20"/>
          <w:color w:val="auto"/>
        </w:rPr>
      </w:pPr>
      <w:r>
        <w:rPr>
          <w:rFonts w:ascii="Arial" w:cs="Arial" w:eastAsia="Arial" w:hAnsi="Arial"/>
          <w:sz w:val="16"/>
          <w:szCs w:val="16"/>
          <w:color w:val="auto"/>
        </w:rPr>
        <w:t>Ms. Sacks has served as our Senior Vice President and Chief Customer Officer since March 2021 where she is responsible for our customer strategy, enabling frictionless delivery of cutting-edge solutions to a diverse, global customer base, and delivering and capturing value for our technology. Ms. Sacks oversees our global sales, solutions and ecosystems, marketing, and digital transformation, with a focus on delivering a superior end-to-end customer experience and expanding our go-to-market strategies across channels and ecosystems. Previously, Ms. Sacks worked for Texas Instruments, a semiconductor company, where she held a variety of leadership roles over 15 years where she grew their portfolio of analog, digital and software technologies, most recently as Vice President and General Manager, DLP Products for Texas Instruments from December 2017 to December 2020. During her 15-year tenure at Texas Instruments, Ms. Sacks was responsible for investment strategy, product roadmap definition, new product and technology development, marketing, systems, and application engineering. Ms. Sacks brings a diverse blend of expertise across geographies, technologies, and functions including sales and business unit leadership, has lived on three continents and speaks five languages. Ms. Sacks holds an Electric and Electronic Engineering degree from the Federal University in Rio de Janeiro. She also holds a Master of Business Administration degree with merit from the Open University Business School in the U.K. and has executive education from Harvard Business School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-1340485</wp:posOffset>
            </wp:positionV>
            <wp:extent cx="951230" cy="9512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6"/>
          <w:szCs w:val="16"/>
          <w:color w:val="auto"/>
        </w:rPr>
        <w:t>INSEAD.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55880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67B3"/>
        </w:rPr>
        <w:t xml:space="preserve">MARIYA TRICKETT, 40, </w:t>
      </w:r>
      <w:r>
        <w:rPr>
          <w:rFonts w:ascii="Arial" w:cs="Arial" w:eastAsia="Arial" w:hAnsi="Arial"/>
          <w:sz w:val="16"/>
          <w:szCs w:val="16"/>
          <w:color w:val="0067B3"/>
        </w:rPr>
        <w:t>Senior Vice President and Chief People Officer</w:t>
      </w:r>
    </w:p>
    <w:p>
      <w:pPr>
        <w:spacing w:after="0" w:line="127" w:lineRule="exact"/>
        <w:rPr>
          <w:sz w:val="20"/>
          <w:szCs w:val="20"/>
          <w:color w:val="auto"/>
        </w:rPr>
      </w:pPr>
    </w:p>
    <w:p>
      <w:pPr>
        <w:ind w:left="880" w:right="20"/>
        <w:spacing w:after="0" w:line="255" w:lineRule="auto"/>
        <w:rPr>
          <w:sz w:val="20"/>
          <w:szCs w:val="20"/>
          <w:color w:val="auto"/>
        </w:rPr>
      </w:pPr>
      <w:r>
        <w:rPr>
          <w:rFonts w:ascii="Arial" w:cs="Arial" w:eastAsia="Arial" w:hAnsi="Arial"/>
          <w:sz w:val="16"/>
          <w:szCs w:val="16"/>
          <w:color w:val="auto"/>
        </w:rPr>
        <w:t>Ms. Trickett has served as our Senior Vice President and Chief People Officer since May 2022. Ms. Trickett is responsible for supporting ADI’s growth and evolution, driving best practices across all aspects of human resources. In this role, she leads the human resources and talent functions, including employee engagement, talent acquisition, talent management, learning and development, total rewards, succession planning, and organizational development. For nearly 20 years, Ms. Trickett has successfully led business and cultural transformations across a wide range of organizations. She has extensive experience building global high-performance companies focused on innovation, agility, and customer-centricity across technology, software, R&amp;D, manufacturing, and services. From September 2018 to April 2022, Ms. Trickett was Senior Vice President and Chief Human Resources Officer at Aptiv, PLC, an industrial-tech company with over 180,000 employees, spanning 44 countries and 221 sites. Prior to Aptiv, she was Senior Vice President of Human Resources at Dana Incorporated, a drive train and EV supplier with more than 35,000 employees. Ms. Trickett holds a Bachelor of Science degree in history and law from Kirovograd State University in Ukraine and a Master of Science degree in Human Resource Management from Temple University in Philadelphia. She is also a graduate of the Advanced Management Program at the University of Navarra’s IESE Business School in Barcelona.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-1291590</wp:posOffset>
            </wp:positionV>
            <wp:extent cx="951230" cy="942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51230" cy="94297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47</w:t>
      </w:r>
    </w:p>
    <w:p>
      <w:pPr>
        <w:sectPr>
          <w:pgSz w:w="11900" w:h="16838" w:orient="portrait"/>
          <w:cols w:equalWidth="0" w:num="1">
            <w:col w:w="10100"/>
          </w:cols>
          <w:pgMar w:left="1440" w:top="1327" w:right="359" w:bottom="1440" w:gutter="0" w:footer="0" w:header="0"/>
        </w:sectPr>
      </w:pPr>
    </w:p>
    <w:bookmarkStart w:id="55" w:name="page56"/>
    <w:bookmarkEnd w:id="55"/>
    <w:p>
      <w:pPr>
        <w:spacing w:after="0"/>
        <w:rPr>
          <w:sz w:val="20"/>
          <w:szCs w:val="20"/>
          <w:color w:val="auto"/>
        </w:rPr>
      </w:pPr>
      <w:r>
        <w:rPr>
          <w:rFonts w:ascii="Arial" w:cs="Arial" w:eastAsia="Arial" w:hAnsi="Arial"/>
          <w:sz w:val="58"/>
          <w:szCs w:val="5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64808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2</w:t>
      </w:r>
    </w:p>
    <w:p>
      <w:pPr>
        <w:spacing w:after="0" w:line="106" w:lineRule="exact"/>
        <w:rPr>
          <w:sz w:val="20"/>
          <w:szCs w:val="20"/>
          <w:color w:val="auto"/>
        </w:rPr>
      </w:pPr>
    </w:p>
    <w:p>
      <w:pPr>
        <w:ind w:left="220" w:right="520"/>
        <w:spacing w:after="0" w:line="307" w:lineRule="auto"/>
        <w:rPr>
          <w:sz w:val="20"/>
          <w:szCs w:val="20"/>
          <w:color w:val="auto"/>
        </w:rPr>
      </w:pPr>
      <w:r>
        <w:rPr>
          <w:rFonts w:ascii="Arial" w:cs="Arial" w:eastAsia="Arial" w:hAnsi="Arial"/>
          <w:sz w:val="32"/>
          <w:szCs w:val="32"/>
          <w:b w:val="1"/>
          <w:bCs w:val="1"/>
          <w:color w:val="auto"/>
        </w:rPr>
        <w:t>Advisory Approval of the Compensation of ADI’s Named Executive Officers</w:t>
      </w:r>
    </w:p>
    <w:p>
      <w:pPr>
        <w:spacing w:after="0" w:line="177" w:lineRule="exact"/>
        <w:rPr>
          <w:sz w:val="20"/>
          <w:szCs w:val="20"/>
          <w:color w:val="auto"/>
        </w:rPr>
      </w:pPr>
    </w:p>
    <w:p>
      <w:pPr>
        <w:ind w:left="220" w:right="80"/>
        <w:spacing w:after="0" w:line="256" w:lineRule="auto"/>
        <w:rPr>
          <w:sz w:val="20"/>
          <w:szCs w:val="20"/>
          <w:color w:val="auto"/>
        </w:rPr>
      </w:pPr>
      <w:r>
        <w:rPr>
          <w:rFonts w:ascii="Arial" w:cs="Arial" w:eastAsia="Arial" w:hAnsi="Arial"/>
          <w:sz w:val="18"/>
          <w:szCs w:val="18"/>
          <w:color w:val="auto"/>
        </w:rPr>
        <w:t xml:space="preserve">We are requesting shareholder approval of the compensation of the executive officers named in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 who we refer to as our NEOs.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“say-on-pay” votes every year. In accordance with the results of that vote, our Board of Directors determined to submit “say-on-pay” proposals to our shareholders every year until the next vote on the preferred frequency of advisory votes on the compensation of our NEOs, which will occur at the Annual Meeting and is the subject of the non-binding advisory vote in Proposal 3.</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of Directors is asking shareholders to approve the following non-binding advisory vote:</w:t>
      </w:r>
    </w:p>
    <w:p>
      <w:pPr>
        <w:spacing w:after="0" w:line="117" w:lineRule="exact"/>
        <w:rPr>
          <w:sz w:val="20"/>
          <w:szCs w:val="20"/>
          <w:color w:val="auto"/>
        </w:rPr>
      </w:pPr>
    </w:p>
    <w:p>
      <w:pPr>
        <w:ind w:left="220" w:right="200"/>
        <w:spacing w:after="0" w:line="273" w:lineRule="auto"/>
        <w:rPr>
          <w:sz w:val="20"/>
          <w:szCs w:val="20"/>
          <w:color w:val="auto"/>
        </w:rPr>
      </w:pPr>
      <w:r>
        <w:rPr>
          <w:rFonts w:ascii="Arial" w:cs="Arial" w:eastAsia="Arial" w:hAnsi="Arial"/>
          <w:sz w:val="18"/>
          <w:szCs w:val="18"/>
          <w:b w:val="1"/>
          <w:bCs w:val="1"/>
          <w:color w:val="auto"/>
        </w:rPr>
        <w:t>VOTED,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50"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and Talent Committee, however, values the opinions expressed by our shareholders and will carefully consider the outcome of the vote when making future compensation decisions for our NEOs. You may vote for, against or abstain from voting on this matter. At our 2022 annual meeting of shareholders, our compensation program for our NEOs received the support of 77.3% of the total votes cast. In light of the support received and additional feedback received from our shareholders, our Compensation and Talent Committee did not make significant changes to our executive compensation program.</w:t>
      </w:r>
    </w:p>
    <w:p>
      <w:pPr>
        <w:spacing w:after="0" w:line="74"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 officers, including our NEOs, that is competitive with our peers, and we believe that our executive compensation program is designed to encourage the most talented individuals to grow their careers at ADI.</w:t>
      </w:r>
    </w:p>
    <w:p>
      <w:pPr>
        <w:spacing w:after="0" w:line="71" w:lineRule="exact"/>
        <w:rPr>
          <w:sz w:val="20"/>
          <w:szCs w:val="20"/>
          <w:color w:val="auto"/>
        </w:rPr>
      </w:pPr>
    </w:p>
    <w:p>
      <w:pPr>
        <w:ind w:left="220" w:right="40"/>
        <w:spacing w:after="0" w:line="257"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we tie a significant percentage of each executive’s compensation to ADI’s performance, in the form of executive performance incentive plan payments, and equity awards that are subject to performance vesting and rise in value only if our stock price increases. In fiscal year 2022 we delivered record financial results for both revenue and operating profit. As a result aggregate payments under our executive performance incentive plan were made at 293% of target in fiscal year 2022, compared to 253% in fiscal year 2021 and 77% in fiscal year 2020.</w:t>
      </w:r>
    </w:p>
    <w:p>
      <w:pPr>
        <w:spacing w:after="0" w:line="74" w:lineRule="exact"/>
        <w:rPr>
          <w:sz w:val="20"/>
          <w:szCs w:val="20"/>
          <w:color w:val="auto"/>
        </w:rPr>
      </w:pPr>
    </w:p>
    <w:p>
      <w:pPr>
        <w:ind w:left="220" w:right="1220"/>
        <w:spacing w:after="0" w:line="287" w:lineRule="auto"/>
        <w:rPr>
          <w:sz w:val="20"/>
          <w:szCs w:val="20"/>
          <w:color w:val="auto"/>
        </w:rPr>
      </w:pPr>
      <w:r>
        <w:rPr>
          <w:rFonts w:ascii="Arial" w:cs="Arial" w:eastAsia="Arial" w:hAnsi="Arial"/>
          <w:sz w:val="18"/>
          <w:szCs w:val="18"/>
          <w:color w:val="auto"/>
        </w:rPr>
        <w:t>We believe that our executive compensation program is working as intended and appropriately aligns executive pay with company performance and shareholder value creation.</w:t>
      </w:r>
    </w:p>
    <w:p>
      <w:pPr>
        <w:spacing w:after="0" w:line="48" w:lineRule="exact"/>
        <w:rPr>
          <w:sz w:val="20"/>
          <w:szCs w:val="20"/>
          <w:color w:val="auto"/>
        </w:rPr>
      </w:pPr>
    </w:p>
    <w:p>
      <w:pPr>
        <w:ind w:left="220" w:right="420"/>
        <w:spacing w:after="0" w:line="274" w:lineRule="auto"/>
        <w:rPr>
          <w:sz w:val="20"/>
          <w:szCs w:val="20"/>
          <w:color w:val="auto"/>
        </w:rPr>
      </w:pPr>
      <w:r>
        <w:rPr>
          <w:rFonts w:ascii="Arial" w:cs="Arial" w:eastAsia="Arial" w:hAnsi="Arial"/>
          <w:sz w:val="27"/>
          <w:szCs w:val="27"/>
          <w:b w:val="1"/>
          <w:bCs w:val="1"/>
          <w:color w:val="0067B3"/>
        </w:rPr>
        <w:t>Our Board of Directors unanimously recommends that you vote FOR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hanging="454"/>
        <w:spacing w:after="0"/>
        <w:tabs>
          <w:tab w:leader="none" w:pos="480" w:val="left"/>
        </w:tabs>
        <w:numPr>
          <w:ilvl w:val="0"/>
          <w:numId w:val="6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000"/>
          </w:cols>
          <w:pgMar w:left="320" w:top="1126" w:right="579" w:bottom="1440" w:gutter="0" w:footer="0" w:header="0"/>
        </w:sectPr>
      </w:pPr>
    </w:p>
    <w:bookmarkStart w:id="56" w:name="page57"/>
    <w:bookmarkEnd w:id="56"/>
    <w:p>
      <w:pPr>
        <w:spacing w:after="0"/>
        <w:rPr>
          <w:sz w:val="20"/>
          <w:szCs w:val="20"/>
          <w:color w:val="auto"/>
        </w:rPr>
      </w:pPr>
      <w:r>
        <w:rPr>
          <w:rFonts w:ascii="Arial" w:cs="Arial" w:eastAsia="Arial" w:hAnsi="Arial"/>
          <w:sz w:val="41"/>
          <w:szCs w:val="41"/>
          <w:b w:val="1"/>
          <w:bCs w:val="1"/>
          <w:color w:val="0067B3"/>
        </w:rPr>
        <w:t>Compensation Discussion and Analysis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Compensation Discussion and Analysis, or CD&amp;A, describes our fiscal year 2022 executive compensation philosophies, goals and program design, including the Compensation and Talent Committee’s process for determining compensation, the various components of pay, and how our fiscal year 2022 financial results affected performance-based compensation. As used in this Proxy Statement, NEOs refers to the following individuals who served as executive officers during fiscal year 2022:</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674"/>
        </w:trPr>
        <w:tc>
          <w:tcPr>
            <w:tcW w:w="2260" w:type="dxa"/>
            <w:vAlign w:val="bottom"/>
            <w:tcBorders>
              <w:left w:val="single" w:sz="8" w:color="E2E6F4"/>
              <w:right w:val="single" w:sz="8" w:color="E2E6F4"/>
            </w:tcBorders>
            <w:shd w:val="clear" w:color="auto" w:fill="E2E6F4"/>
          </w:tcPr>
          <w:p>
            <w:pPr>
              <w:spacing w:after="0"/>
              <w:rPr>
                <w:sz w:val="24"/>
                <w:szCs w:val="24"/>
                <w:color w:val="auto"/>
              </w:rPr>
            </w:pPr>
          </w:p>
        </w:tc>
        <w:tc>
          <w:tcPr>
            <w:tcW w:w="2240" w:type="dxa"/>
            <w:vAlign w:val="bottom"/>
            <w:tcBorders>
              <w:right w:val="single" w:sz="8" w:color="E2E6F4"/>
            </w:tcBorders>
            <w:shd w:val="clear" w:color="auto" w:fill="E2E6F4"/>
          </w:tcPr>
          <w:p>
            <w:pPr>
              <w:spacing w:after="0"/>
              <w:rPr>
                <w:sz w:val="24"/>
                <w:szCs w:val="24"/>
                <w:color w:val="auto"/>
              </w:rPr>
            </w:pPr>
          </w:p>
        </w:tc>
        <w:tc>
          <w:tcPr>
            <w:tcW w:w="2260" w:type="dxa"/>
            <w:vAlign w:val="bottom"/>
            <w:tcBorders>
              <w:right w:val="single" w:sz="8" w:color="E2E6F4"/>
            </w:tcBorders>
            <w:shd w:val="clear" w:color="auto" w:fill="E2E6F4"/>
          </w:tcPr>
          <w:p>
            <w:pPr>
              <w:spacing w:after="0"/>
              <w:rPr>
                <w:sz w:val="24"/>
                <w:szCs w:val="24"/>
                <w:color w:val="auto"/>
              </w:rPr>
            </w:pPr>
          </w:p>
        </w:tc>
        <w:tc>
          <w:tcPr>
            <w:tcW w:w="2240" w:type="dxa"/>
            <w:vAlign w:val="bottom"/>
            <w:tcBorders>
              <w:right w:val="single" w:sz="8" w:color="E2E6F4"/>
            </w:tcBorders>
            <w:shd w:val="clear" w:color="auto" w:fill="E2E6F4"/>
          </w:tcPr>
          <w:p>
            <w:pPr>
              <w:spacing w:after="0"/>
              <w:rPr>
                <w:sz w:val="24"/>
                <w:szCs w:val="24"/>
                <w:color w:val="auto"/>
              </w:rPr>
            </w:pPr>
          </w:p>
        </w:tc>
        <w:tc>
          <w:tcPr>
            <w:tcW w:w="2260" w:type="dxa"/>
            <w:vAlign w:val="bottom"/>
            <w:tcBorders>
              <w:right w:val="single" w:sz="8" w:color="0067B3"/>
            </w:tcBorders>
            <w:shd w:val="clear" w:color="auto" w:fill="E2E6F4"/>
          </w:tcPr>
          <w:p>
            <w:pPr>
              <w:spacing w:after="0"/>
              <w:rPr>
                <w:sz w:val="24"/>
                <w:szCs w:val="24"/>
                <w:color w:val="auto"/>
              </w:rPr>
            </w:pPr>
          </w:p>
        </w:tc>
      </w:tr>
      <w:tr>
        <w:trPr>
          <w:trHeight w:val="224"/>
        </w:trPr>
        <w:tc>
          <w:tcPr>
            <w:tcW w:w="226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8"/>
                <w:szCs w:val="18"/>
                <w:b w:val="1"/>
                <w:bCs w:val="1"/>
                <w:color w:val="0067B3"/>
              </w:rPr>
              <w:t>VINCENT ROCHE</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b w:val="1"/>
                <w:bCs w:val="1"/>
                <w:color w:val="0067B3"/>
              </w:rPr>
              <w:t>PRASHANTH</w:t>
            </w:r>
          </w:p>
        </w:tc>
        <w:tc>
          <w:tcPr>
            <w:tcW w:w="2260" w:type="dxa"/>
            <w:vAlign w:val="bottom"/>
            <w:tcBorders>
              <w:right w:val="single" w:sz="8" w:color="0067B3"/>
            </w:tcBorders>
          </w:tcPr>
          <w:p>
            <w:pPr>
              <w:spacing w:after="0"/>
              <w:rPr>
                <w:sz w:val="20"/>
                <w:szCs w:val="20"/>
                <w:color w:val="auto"/>
              </w:rPr>
            </w:pPr>
            <w:r>
              <w:rPr>
                <w:rFonts w:ascii="Arial" w:cs="Arial" w:eastAsia="Arial" w:hAnsi="Arial"/>
                <w:sz w:val="18"/>
                <w:szCs w:val="18"/>
                <w:b w:val="1"/>
                <w:bCs w:val="1"/>
                <w:color w:val="0067B3"/>
              </w:rPr>
              <w:t>GREGORY BRYANT</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b w:val="1"/>
                <w:bCs w:val="1"/>
                <w:color w:val="0067B3"/>
              </w:rPr>
              <w:t>VIVEK JAIN</w:t>
            </w:r>
          </w:p>
        </w:tc>
        <w:tc>
          <w:tcPr>
            <w:tcW w:w="2260" w:type="dxa"/>
            <w:vAlign w:val="bottom"/>
            <w:tcBorders>
              <w:right w:val="single" w:sz="8" w:color="0067B3"/>
            </w:tcBorders>
          </w:tcPr>
          <w:p>
            <w:pPr>
              <w:ind w:left="20"/>
              <w:spacing w:after="0"/>
              <w:rPr>
                <w:sz w:val="20"/>
                <w:szCs w:val="20"/>
                <w:color w:val="auto"/>
              </w:rPr>
            </w:pPr>
            <w:r>
              <w:rPr>
                <w:rFonts w:ascii="Arial" w:cs="Arial" w:eastAsia="Arial" w:hAnsi="Arial"/>
                <w:sz w:val="18"/>
                <w:szCs w:val="18"/>
                <w:b w:val="1"/>
                <w:bCs w:val="1"/>
                <w:color w:val="0067B3"/>
              </w:rPr>
              <w:t>ANELISE SACKS</w:t>
            </w:r>
          </w:p>
        </w:tc>
      </w:tr>
      <w:tr>
        <w:trPr>
          <w:trHeight w:val="243"/>
        </w:trPr>
        <w:tc>
          <w:tcPr>
            <w:tcW w:w="226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8"/>
                <w:szCs w:val="18"/>
                <w:color w:val="auto"/>
              </w:rPr>
              <w:t>Chief Executive Officer</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b w:val="1"/>
                <w:bCs w:val="1"/>
                <w:color w:val="0067B3"/>
              </w:rPr>
              <w:t>MAHENDRA-RAJAH</w:t>
            </w:r>
          </w:p>
        </w:tc>
        <w:tc>
          <w:tcPr>
            <w:tcW w:w="226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Executive Vice President</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Executive Vice President</w:t>
            </w:r>
          </w:p>
        </w:tc>
        <w:tc>
          <w:tcPr>
            <w:tcW w:w="2260" w:type="dxa"/>
            <w:vAlign w:val="bottom"/>
            <w:tcBorders>
              <w:right w:val="single" w:sz="8" w:color="0067B3"/>
            </w:tcBorders>
          </w:tcPr>
          <w:p>
            <w:pPr>
              <w:ind w:left="20"/>
              <w:spacing w:after="0"/>
              <w:rPr>
                <w:sz w:val="20"/>
                <w:szCs w:val="20"/>
                <w:color w:val="auto"/>
              </w:rPr>
            </w:pPr>
            <w:r>
              <w:rPr>
                <w:rFonts w:ascii="Arial" w:cs="Arial" w:eastAsia="Arial" w:hAnsi="Arial"/>
                <w:sz w:val="18"/>
                <w:szCs w:val="18"/>
                <w:color w:val="auto"/>
              </w:rPr>
              <w:t>Senior Vice President and</w:t>
            </w:r>
          </w:p>
        </w:tc>
      </w:tr>
      <w:tr>
        <w:trPr>
          <w:trHeight w:val="216"/>
        </w:trPr>
        <w:tc>
          <w:tcPr>
            <w:tcW w:w="226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8"/>
                <w:szCs w:val="18"/>
                <w:color w:val="auto"/>
              </w:rPr>
              <w:t>and Chair of the Board</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Executive Vice President,</w:t>
            </w:r>
          </w:p>
        </w:tc>
        <w:tc>
          <w:tcPr>
            <w:tcW w:w="226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and President of</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of Global Operations</w:t>
            </w:r>
          </w:p>
        </w:tc>
        <w:tc>
          <w:tcPr>
            <w:tcW w:w="2260" w:type="dxa"/>
            <w:vAlign w:val="bottom"/>
            <w:tcBorders>
              <w:right w:val="single" w:sz="8" w:color="0067B3"/>
            </w:tcBorders>
          </w:tcPr>
          <w:p>
            <w:pPr>
              <w:ind w:left="20"/>
              <w:spacing w:after="0"/>
              <w:rPr>
                <w:sz w:val="20"/>
                <w:szCs w:val="20"/>
                <w:color w:val="auto"/>
              </w:rPr>
            </w:pPr>
            <w:r>
              <w:rPr>
                <w:rFonts w:ascii="Arial" w:cs="Arial" w:eastAsia="Arial" w:hAnsi="Arial"/>
                <w:sz w:val="18"/>
                <w:szCs w:val="18"/>
                <w:color w:val="auto"/>
              </w:rPr>
              <w:t>Chief Customer Officer</w:t>
            </w:r>
          </w:p>
        </w:tc>
      </w:tr>
      <w:tr>
        <w:trPr>
          <w:trHeight w:val="216"/>
        </w:trPr>
        <w:tc>
          <w:tcPr>
            <w:tcW w:w="2260" w:type="dxa"/>
            <w:vAlign w:val="bottom"/>
            <w:tcBorders>
              <w:left w:val="single" w:sz="8" w:color="0067B3"/>
              <w:right w:val="single" w:sz="8" w:color="0067B3"/>
            </w:tcBorders>
          </w:tcPr>
          <w:p>
            <w:pPr>
              <w:ind w:left="40"/>
              <w:spacing w:after="0"/>
              <w:rPr>
                <w:sz w:val="20"/>
                <w:szCs w:val="20"/>
                <w:color w:val="auto"/>
              </w:rPr>
            </w:pPr>
            <w:r>
              <w:rPr>
                <w:rFonts w:ascii="Arial" w:cs="Arial" w:eastAsia="Arial" w:hAnsi="Arial"/>
                <w:sz w:val="18"/>
                <w:szCs w:val="18"/>
                <w:color w:val="auto"/>
              </w:rPr>
              <w:t>of Directors</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Finance and Chief</w:t>
            </w:r>
          </w:p>
        </w:tc>
        <w:tc>
          <w:tcPr>
            <w:tcW w:w="226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Business Units</w:t>
            </w: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and Technology</w:t>
            </w:r>
          </w:p>
        </w:tc>
        <w:tc>
          <w:tcPr>
            <w:tcW w:w="2260" w:type="dxa"/>
            <w:vAlign w:val="bottom"/>
            <w:tcBorders>
              <w:right w:val="single" w:sz="8" w:color="0067B3"/>
            </w:tcBorders>
          </w:tcPr>
          <w:p>
            <w:pPr>
              <w:spacing w:after="0"/>
              <w:rPr>
                <w:sz w:val="18"/>
                <w:szCs w:val="18"/>
                <w:color w:val="auto"/>
              </w:rPr>
            </w:pPr>
          </w:p>
        </w:tc>
      </w:tr>
      <w:tr>
        <w:trPr>
          <w:trHeight w:val="239"/>
        </w:trPr>
        <w:tc>
          <w:tcPr>
            <w:tcW w:w="2260" w:type="dxa"/>
            <w:vAlign w:val="bottom"/>
            <w:tcBorders>
              <w:left w:val="single" w:sz="8" w:color="0067B3"/>
              <w:right w:val="single" w:sz="8" w:color="0067B3"/>
            </w:tcBorders>
          </w:tcPr>
          <w:p>
            <w:pPr>
              <w:spacing w:after="0"/>
              <w:rPr>
                <w:sz w:val="20"/>
                <w:szCs w:val="20"/>
                <w:color w:val="auto"/>
              </w:rPr>
            </w:pPr>
          </w:p>
        </w:tc>
        <w:tc>
          <w:tcPr>
            <w:tcW w:w="2240" w:type="dxa"/>
            <w:vAlign w:val="bottom"/>
            <w:tcBorders>
              <w:right w:val="single" w:sz="8" w:color="0067B3"/>
            </w:tcBorders>
          </w:tcPr>
          <w:p>
            <w:pPr>
              <w:spacing w:after="0"/>
              <w:rPr>
                <w:sz w:val="20"/>
                <w:szCs w:val="20"/>
                <w:color w:val="auto"/>
              </w:rPr>
            </w:pPr>
            <w:r>
              <w:rPr>
                <w:rFonts w:ascii="Arial" w:cs="Arial" w:eastAsia="Arial" w:hAnsi="Arial"/>
                <w:sz w:val="18"/>
                <w:szCs w:val="18"/>
                <w:color w:val="auto"/>
              </w:rPr>
              <w:t>Financial Officer</w:t>
            </w:r>
          </w:p>
        </w:tc>
        <w:tc>
          <w:tcPr>
            <w:tcW w:w="2260" w:type="dxa"/>
            <w:vAlign w:val="bottom"/>
            <w:tcBorders>
              <w:right w:val="single" w:sz="8" w:color="0067B3"/>
            </w:tcBorders>
          </w:tcPr>
          <w:p>
            <w:pPr>
              <w:spacing w:after="0"/>
              <w:rPr>
                <w:sz w:val="20"/>
                <w:szCs w:val="20"/>
                <w:color w:val="auto"/>
              </w:rPr>
            </w:pPr>
          </w:p>
        </w:tc>
        <w:tc>
          <w:tcPr>
            <w:tcW w:w="2240" w:type="dxa"/>
            <w:vAlign w:val="bottom"/>
            <w:tcBorders>
              <w:right w:val="single" w:sz="8" w:color="0067B3"/>
            </w:tcBorders>
          </w:tcPr>
          <w:p>
            <w:pPr>
              <w:spacing w:after="0"/>
              <w:rPr>
                <w:sz w:val="20"/>
                <w:szCs w:val="20"/>
                <w:color w:val="auto"/>
              </w:rPr>
            </w:pPr>
          </w:p>
        </w:tc>
        <w:tc>
          <w:tcPr>
            <w:tcW w:w="2260" w:type="dxa"/>
            <w:vAlign w:val="bottom"/>
            <w:tcBorders>
              <w:right w:val="single" w:sz="8" w:color="0067B3"/>
            </w:tcBorders>
          </w:tcPr>
          <w:p>
            <w:pPr>
              <w:spacing w:after="0"/>
              <w:rPr>
                <w:sz w:val="20"/>
                <w:szCs w:val="20"/>
                <w:color w:val="auto"/>
              </w:rPr>
            </w:pPr>
          </w:p>
        </w:tc>
      </w:tr>
      <w:tr>
        <w:trPr>
          <w:trHeight w:val="36"/>
        </w:trPr>
        <w:tc>
          <w:tcPr>
            <w:tcW w:w="2260" w:type="dxa"/>
            <w:vAlign w:val="bottom"/>
            <w:tcBorders>
              <w:left w:val="single" w:sz="8" w:color="0067B3"/>
              <w:bottom w:val="single" w:sz="8" w:color="0067B3"/>
              <w:right w:val="single" w:sz="8" w:color="0067B3"/>
            </w:tcBorders>
          </w:tcPr>
          <w:p>
            <w:pPr>
              <w:spacing w:after="0"/>
              <w:rPr>
                <w:sz w:val="3"/>
                <w:szCs w:val="3"/>
                <w:color w:val="auto"/>
              </w:rPr>
            </w:pPr>
          </w:p>
        </w:tc>
        <w:tc>
          <w:tcPr>
            <w:tcW w:w="2240" w:type="dxa"/>
            <w:vAlign w:val="bottom"/>
            <w:tcBorders>
              <w:bottom w:val="single" w:sz="8" w:color="0067B3"/>
              <w:right w:val="single" w:sz="8" w:color="0067B3"/>
            </w:tcBorders>
          </w:tcPr>
          <w:p>
            <w:pPr>
              <w:spacing w:after="0"/>
              <w:rPr>
                <w:sz w:val="3"/>
                <w:szCs w:val="3"/>
                <w:color w:val="auto"/>
              </w:rPr>
            </w:pPr>
          </w:p>
        </w:tc>
        <w:tc>
          <w:tcPr>
            <w:tcW w:w="2260" w:type="dxa"/>
            <w:vAlign w:val="bottom"/>
            <w:tcBorders>
              <w:bottom w:val="single" w:sz="8" w:color="0067B3"/>
              <w:right w:val="single" w:sz="8" w:color="0067B3"/>
            </w:tcBorders>
          </w:tcPr>
          <w:p>
            <w:pPr>
              <w:spacing w:after="0"/>
              <w:rPr>
                <w:sz w:val="3"/>
                <w:szCs w:val="3"/>
                <w:color w:val="auto"/>
              </w:rPr>
            </w:pPr>
          </w:p>
        </w:tc>
        <w:tc>
          <w:tcPr>
            <w:tcW w:w="2240" w:type="dxa"/>
            <w:vAlign w:val="bottom"/>
            <w:tcBorders>
              <w:bottom w:val="single" w:sz="8" w:color="0067B3"/>
              <w:right w:val="single" w:sz="8" w:color="0067B3"/>
            </w:tcBorders>
          </w:tcPr>
          <w:p>
            <w:pPr>
              <w:spacing w:after="0"/>
              <w:rPr>
                <w:sz w:val="3"/>
                <w:szCs w:val="3"/>
                <w:color w:val="auto"/>
              </w:rPr>
            </w:pPr>
          </w:p>
        </w:tc>
        <w:tc>
          <w:tcPr>
            <w:tcW w:w="2260" w:type="dxa"/>
            <w:vAlign w:val="bottom"/>
            <w:tcBorders>
              <w:bottom w:val="single" w:sz="8" w:color="0067B3"/>
              <w:right w:val="single" w:sz="8" w:color="0067B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-1739900</wp:posOffset>
            </wp:positionV>
            <wp:extent cx="6557645" cy="8572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57645" cy="85725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Fiscal Year 2022 Performance and Key Pay Decisions</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Fiscal year 2022 was an important year for ADI. We delivered record financial results against a backdrop of challenging conditions, including an uncertain and slowing macroeconomic environment. In fiscal year 2022, we delivered sequential revenue growth every quarter, leading to all-time high annual revenue of $12 billion and industry-leading gross and operating margins. Importantly, we made progress positioning ADI for continued long-term success through deepening our customer engagements, continuing to invest in our business to drive innovation, extracting value from recent acquisitions and capitalizing on secular trends to drive addressable markets and diversified growth. We also demonstrated our commitment to deliver strong shareholder returns during fiscal year 2022, returning approximately $4.6 billion to our shareholders in the form of dividends and share buybacks. ADI’s total shareholder return over its last three fiscal years, ending October 29, 2022, was 40%, which is ~1.2x the S&amp;P 500 return of 34% over that same time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Fiscal Year 2022 Performance Highlights*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21"/>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41"/>
                <w:szCs w:val="41"/>
                <w:color w:val="0067B3"/>
              </w:rPr>
              <w:t>$12B</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41"/>
                <w:szCs w:val="41"/>
                <w:color w:val="0067B3"/>
              </w:rPr>
              <w:t>62.7%</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27.3%</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$5.25</w:t>
            </w:r>
          </w:p>
        </w:tc>
        <w:tc>
          <w:tcPr>
            <w:tcW w:w="2160" w:type="dxa"/>
            <w:vAlign w:val="bottom"/>
          </w:tcPr>
          <w:p>
            <w:pPr>
              <w:ind w:left="80"/>
              <w:spacing w:after="0"/>
              <w:rPr>
                <w:sz w:val="20"/>
                <w:szCs w:val="20"/>
                <w:color w:val="auto"/>
              </w:rPr>
            </w:pPr>
            <w:r>
              <w:rPr>
                <w:rFonts w:ascii="Arial" w:cs="Arial" w:eastAsia="Arial" w:hAnsi="Arial"/>
                <w:sz w:val="41"/>
                <w:szCs w:val="41"/>
                <w:color w:val="0067B3"/>
              </w:rPr>
              <w:t>$4.5B</w:t>
            </w:r>
          </w:p>
        </w:tc>
      </w:tr>
      <w:tr>
        <w:trPr>
          <w:trHeight w:val="216"/>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Operating 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Diluted Earnings per</w:t>
            </w:r>
          </w:p>
        </w:tc>
        <w:tc>
          <w:tcPr>
            <w:tcW w:w="2160" w:type="dxa"/>
            <w:vAlign w:val="bottom"/>
          </w:tcPr>
          <w:p>
            <w:pPr>
              <w:ind w:left="80"/>
              <w:spacing w:after="0"/>
              <w:rPr>
                <w:sz w:val="20"/>
                <w:szCs w:val="20"/>
                <w:color w:val="auto"/>
              </w:rPr>
            </w:pPr>
            <w:r>
              <w:rPr>
                <w:rFonts w:ascii="Arial" w:cs="Arial" w:eastAsia="Arial" w:hAnsi="Arial"/>
                <w:sz w:val="18"/>
                <w:szCs w:val="18"/>
                <w:color w:val="auto"/>
              </w:rPr>
              <w:t>Operating Cash Flow</w:t>
            </w:r>
          </w:p>
        </w:tc>
      </w:tr>
      <w:tr>
        <w:trPr>
          <w:trHeight w:val="239"/>
        </w:trPr>
        <w:tc>
          <w:tcPr>
            <w:tcW w:w="210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2160" w:type="dxa"/>
            <w:vAlign w:val="bottom"/>
          </w:tcPr>
          <w:p>
            <w:pPr>
              <w:spacing w:after="0"/>
              <w:rPr>
                <w:sz w:val="20"/>
                <w:szCs w:val="20"/>
                <w:color w:val="auto"/>
              </w:rPr>
            </w:pPr>
          </w:p>
        </w:tc>
      </w:tr>
      <w:tr>
        <w:trPr>
          <w:trHeight w:val="720"/>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41"/>
                <w:szCs w:val="41"/>
                <w:color w:val="0067B3"/>
              </w:rPr>
              <w:t>~87%</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41"/>
                <w:szCs w:val="41"/>
                <w:color w:val="0067B3"/>
              </w:rPr>
              <w:t>73.6%</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49.4%</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41"/>
                <w:szCs w:val="41"/>
                <w:color w:val="0067B3"/>
              </w:rPr>
              <w:t>$9.57</w:t>
            </w:r>
          </w:p>
        </w:tc>
        <w:tc>
          <w:tcPr>
            <w:tcW w:w="2160" w:type="dxa"/>
            <w:vAlign w:val="bottom"/>
          </w:tcPr>
          <w:p>
            <w:pPr>
              <w:ind w:left="80"/>
              <w:spacing w:after="0"/>
              <w:rPr>
                <w:sz w:val="20"/>
                <w:szCs w:val="20"/>
                <w:color w:val="auto"/>
              </w:rPr>
            </w:pPr>
            <w:r>
              <w:rPr>
                <w:rFonts w:ascii="Arial" w:cs="Arial" w:eastAsia="Arial" w:hAnsi="Arial"/>
                <w:sz w:val="41"/>
                <w:szCs w:val="41"/>
                <w:color w:val="0067B3"/>
              </w:rPr>
              <w:t>$3.8B</w:t>
            </w:r>
          </w:p>
        </w:tc>
      </w:tr>
      <w:tr>
        <w:trPr>
          <w:trHeight w:val="216"/>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Business-to-Business</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Adjusted Gross Margins*</w:t>
            </w: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Operating</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Diluted Earnings</w:t>
            </w:r>
          </w:p>
        </w:tc>
        <w:tc>
          <w:tcPr>
            <w:tcW w:w="2160" w:type="dxa"/>
            <w:vAlign w:val="bottom"/>
          </w:tcPr>
          <w:p>
            <w:pPr>
              <w:ind w:left="80"/>
              <w:spacing w:after="0"/>
              <w:rPr>
                <w:sz w:val="20"/>
                <w:szCs w:val="20"/>
                <w:color w:val="auto"/>
              </w:rPr>
            </w:pPr>
            <w:r>
              <w:rPr>
                <w:rFonts w:ascii="Arial" w:cs="Arial" w:eastAsia="Arial" w:hAnsi="Arial"/>
                <w:sz w:val="18"/>
                <w:szCs w:val="18"/>
                <w:color w:val="auto"/>
              </w:rPr>
              <w:t>Free Cash Flow*</w:t>
            </w:r>
          </w:p>
        </w:tc>
      </w:tr>
      <w:tr>
        <w:trPr>
          <w:trHeight w:val="239"/>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28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Margins*</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Share*</w:t>
            </w:r>
          </w:p>
        </w:tc>
        <w:tc>
          <w:tcPr>
            <w:tcW w:w="2160" w:type="dxa"/>
            <w:vAlign w:val="bottom"/>
          </w:tcPr>
          <w:p>
            <w:pPr>
              <w:spacing w:after="0"/>
              <w:rPr>
                <w:sz w:val="20"/>
                <w:szCs w:val="20"/>
                <w:color w:val="auto"/>
              </w:rPr>
            </w:pPr>
          </w:p>
        </w:tc>
      </w:tr>
      <w:tr>
        <w:trPr>
          <w:trHeight w:val="334"/>
        </w:trPr>
        <w:tc>
          <w:tcPr>
            <w:tcW w:w="2100" w:type="dxa"/>
            <w:vAlign w:val="bottom"/>
            <w:tcBorders>
              <w:bottom w:val="single" w:sz="8" w:color="0067B3"/>
              <w:right w:val="single" w:sz="8" w:color="auto"/>
            </w:tcBorders>
          </w:tcPr>
          <w:p>
            <w:pPr>
              <w:spacing w:after="0"/>
              <w:rPr>
                <w:sz w:val="24"/>
                <w:szCs w:val="24"/>
                <w:color w:val="auto"/>
              </w:rPr>
            </w:pPr>
          </w:p>
        </w:tc>
        <w:tc>
          <w:tcPr>
            <w:tcW w:w="2280" w:type="dxa"/>
            <w:vAlign w:val="bottom"/>
            <w:tcBorders>
              <w:bottom w:val="single" w:sz="8" w:color="0067B3"/>
              <w:right w:val="single" w:sz="8" w:color="auto"/>
            </w:tcBorders>
          </w:tcPr>
          <w:p>
            <w:pPr>
              <w:spacing w:after="0"/>
              <w:rPr>
                <w:sz w:val="24"/>
                <w:szCs w:val="24"/>
                <w:color w:val="auto"/>
              </w:rPr>
            </w:pPr>
          </w:p>
        </w:tc>
        <w:tc>
          <w:tcPr>
            <w:tcW w:w="2340" w:type="dxa"/>
            <w:vAlign w:val="bottom"/>
            <w:tcBorders>
              <w:bottom w:val="single" w:sz="8" w:color="0067B3"/>
              <w:right w:val="single" w:sz="8" w:color="auto"/>
            </w:tcBorders>
          </w:tcPr>
          <w:p>
            <w:pPr>
              <w:spacing w:after="0"/>
              <w:rPr>
                <w:sz w:val="24"/>
                <w:szCs w:val="24"/>
                <w:color w:val="auto"/>
              </w:rPr>
            </w:pPr>
          </w:p>
        </w:tc>
        <w:tc>
          <w:tcPr>
            <w:tcW w:w="2360" w:type="dxa"/>
            <w:vAlign w:val="bottom"/>
            <w:tcBorders>
              <w:bottom w:val="single" w:sz="8" w:color="0067B3"/>
              <w:right w:val="single" w:sz="8" w:color="auto"/>
            </w:tcBorders>
          </w:tcPr>
          <w:p>
            <w:pPr>
              <w:spacing w:after="0"/>
              <w:rPr>
                <w:sz w:val="24"/>
                <w:szCs w:val="24"/>
                <w:color w:val="auto"/>
              </w:rPr>
            </w:pPr>
          </w:p>
        </w:tc>
        <w:tc>
          <w:tcPr>
            <w:tcW w:w="2160" w:type="dxa"/>
            <w:vAlign w:val="bottom"/>
            <w:tcBorders>
              <w:bottom w:val="single" w:sz="8" w:color="0067B3"/>
            </w:tcBorders>
          </w:tcPr>
          <w:p>
            <w:pPr>
              <w:spacing w:after="0"/>
              <w:rPr>
                <w:sz w:val="24"/>
                <w:szCs w:val="24"/>
                <w:color w:val="auto"/>
              </w:rPr>
            </w:pPr>
          </w:p>
        </w:tc>
      </w:tr>
    </w:tbl>
    <w:p>
      <w:pPr>
        <w:spacing w:after="0" w:line="148" w:lineRule="exact"/>
        <w:rPr>
          <w:sz w:val="20"/>
          <w:szCs w:val="20"/>
          <w:color w:val="auto"/>
        </w:rPr>
      </w:pPr>
    </w:p>
    <w:p>
      <w:pPr>
        <w:ind w:left="200" w:right="360" w:hanging="192"/>
        <w:spacing w:after="0" w:line="286"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for additional information regarding non-GAAP financial measures and reconciliations of non-GAAP financial measures to their most directly comparable GAAP financial measures.</w:t>
      </w:r>
    </w:p>
    <w:p>
      <w:pPr>
        <w:spacing w:after="0" w:line="281" w:lineRule="exact"/>
        <w:rPr>
          <w:sz w:val="20"/>
          <w:szCs w:val="20"/>
          <w:color w:val="auto"/>
        </w:rPr>
      </w:pPr>
    </w:p>
    <w:p>
      <w:pPr>
        <w:jc w:val="right"/>
        <w:ind w:right="40"/>
        <w:spacing w:after="0"/>
        <w:tabs>
          <w:tab w:leader="none" w:pos="24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49</w:t>
      </w:r>
    </w:p>
    <w:p>
      <w:pPr>
        <w:sectPr>
          <w:pgSz w:w="11900" w:h="16838" w:orient="portrait"/>
          <w:cols w:equalWidth="0" w:num="1">
            <w:col w:w="11260"/>
          </w:cols>
          <w:pgMar w:left="320" w:top="1356" w:right="319" w:bottom="1440" w:gutter="0" w:footer="0" w:header="0"/>
        </w:sectPr>
      </w:pPr>
    </w:p>
    <w:bookmarkStart w:id="57" w:name="page58"/>
    <w:bookmarkEnd w:id="57"/>
    <w:p>
      <w:pPr>
        <w:spacing w:after="0"/>
        <w:rPr>
          <w:sz w:val="20"/>
          <w:szCs w:val="20"/>
          <w:color w:val="auto"/>
        </w:rPr>
      </w:pPr>
      <w:r>
        <w:rPr>
          <w:rFonts w:ascii="Arial" w:cs="Arial" w:eastAsia="Arial" w:hAnsi="Arial"/>
          <w:sz w:val="23"/>
          <w:szCs w:val="23"/>
          <w:b w:val="1"/>
          <w:bCs w:val="1"/>
          <w:color w:val="auto"/>
        </w:rPr>
        <w:t>Welcoming New Leaders</w:t>
      </w:r>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we announced in January 2022, our Board of Directors appointed Mr. Roche, ADI’s CEO, as Chair of the Board of Directors effective March 9, 2022. Mr. Roche has earned the respect and confidence of our employees, our customers and the investment community — as well as our Board of Directors. The appointment of Mr. Roche as Chair of our Board of Directors ensures continuity and alignment of focus between the Board’s oversight and management’s direction of ADI’s vision, strategy, people and culture, and operational execution.</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Also, during fiscal year 2022, we strengthened our Leadership Team with the appointment of two new key leaders to critical roles. Gregory Bryant, a proven global business leader with three decades of experience and a track record of driving growth, joined ADI in March 2022 as Executive Vice President and President of Business Units. In this role, Mr. Bryant is responsible for growing the business and ensuring close alignment between</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ADI’s long-term strategic goals and the evolving technology trends, market needs and customer priorities. Also, in May 2022, Mariya Trickett joined as our Senior Vice President and Chief People Officer. In this role, Ms. Trickett is responsible for driving best practices across all aspects of human resources by leading all of our human resources and talent functions, including employee engagement, talent acquisition, talent management, learning and development, total rewards, succession planning and organizational development. Both Mr. Bryant and Ms. Trickett bring fresh perspectives to our Leadership Team.</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Notable Compensation Changes for Fiscal Year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Departure from Stock Options</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Beginning with fiscal year 2022, the Compensation and Talent Committee determined that ADI would no longer grant stock options. The elimination of stock options is intended to simplify our long-term incentive program and to shift more of the equity mix to performance-based equity awards. With the elimination of stock options, the equity mix for executive officers beginning with fiscal year 2022 is 65% PRSUs and 35% RSUs, increasing from 50% PRSUs and 25% RSUs in fiscal year 2021.</w:t>
      </w:r>
    </w:p>
    <w:p>
      <w:pPr>
        <w:spacing w:after="0" w:line="122" w:lineRule="exact"/>
        <w:rPr>
          <w:sz w:val="20"/>
          <w:szCs w:val="20"/>
          <w:color w:val="auto"/>
        </w:rPr>
      </w:pPr>
    </w:p>
    <w:p>
      <w:pPr>
        <w:ind w:left="2620"/>
        <w:spacing w:after="0"/>
        <w:tabs>
          <w:tab w:leader="none" w:pos="8220" w:val="left"/>
        </w:tabs>
        <w:rPr>
          <w:sz w:val="20"/>
          <w:szCs w:val="20"/>
          <w:color w:val="auto"/>
        </w:rPr>
      </w:pPr>
      <w:r>
        <w:rPr>
          <w:rFonts w:ascii="Arial" w:cs="Arial" w:eastAsia="Arial" w:hAnsi="Arial"/>
          <w:sz w:val="18"/>
          <w:szCs w:val="18"/>
          <w:b w:val="1"/>
          <w:bCs w:val="1"/>
          <w:color w:val="0067B3"/>
        </w:rPr>
        <w:t>2021</w:t>
      </w:r>
      <w:r>
        <w:rPr>
          <w:sz w:val="20"/>
          <w:szCs w:val="20"/>
          <w:color w:val="auto"/>
        </w:rPr>
        <w:tab/>
      </w:r>
      <w:r>
        <w:rPr>
          <w:rFonts w:ascii="Arial" w:cs="Arial" w:eastAsia="Arial" w:hAnsi="Arial"/>
          <w:sz w:val="18"/>
          <w:szCs w:val="18"/>
          <w:b w:val="1"/>
          <w:bCs w:val="1"/>
          <w:color w:val="0067B3"/>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103505</wp:posOffset>
            </wp:positionV>
            <wp:extent cx="1920240" cy="10115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20240" cy="10115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103505</wp:posOffset>
            </wp:positionV>
            <wp:extent cx="1868805" cy="10115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6880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Change in Comparator Group for Relative TSR PRSUs</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For the TSR PRSUs granted to our NEOs in fiscal year 2022, the relative TSR comparator group changed from the Philadelphia Semiconductor Index (SOX Index) to the S&amp;P 500 Index. The Compensation and Talent Committee made this change for several reasons. First, the Compensation and Talent Committee believed there are meaningful differences between ADI and other companies in the SOX Index based on our products, customers and end-markets to make the comparison to this index less relevant. Second, the SOX Index contains a small peer group, which was continually shifting due to consolidation over the three-year performance period making the comparison less practical. Finally, the Compensation and Talent Committee believes that the S&amp;P 500 Index better represents ADI’s customers and end-markets, and provides a more relevant benchmark for ADI performance and shareholder value creation. For additional information on our Relative TSR PRSUs, including the payout percentages, please see </w:t>
      </w:r>
      <w:r>
        <w:rPr>
          <w:rFonts w:ascii="Arial" w:cs="Arial" w:eastAsia="Arial" w:hAnsi="Arial"/>
          <w:sz w:val="18"/>
          <w:szCs w:val="18"/>
          <w:i w:val="1"/>
          <w:iCs w:val="1"/>
          <w:color w:val="auto"/>
        </w:rPr>
        <w:t>Equity Vehicle Structure</w:t>
      </w:r>
      <w:r>
        <w:rPr>
          <w:rFonts w:ascii="Arial" w:cs="Arial" w:eastAsia="Arial" w:hAnsi="Arial"/>
          <w:sz w:val="18"/>
          <w:szCs w:val="18"/>
          <w:color w:val="auto"/>
        </w:rPr>
        <w:t xml:space="preserve"> beginning on page 61.</w:t>
      </w:r>
    </w:p>
    <w:p>
      <w:pPr>
        <w:spacing w:after="0" w:line="200" w:lineRule="exact"/>
        <w:rPr>
          <w:sz w:val="20"/>
          <w:szCs w:val="20"/>
          <w:color w:val="auto"/>
        </w:rPr>
      </w:pPr>
    </w:p>
    <w:p>
      <w:pPr>
        <w:spacing w:after="0" w:line="298" w:lineRule="exact"/>
        <w:rPr>
          <w:sz w:val="20"/>
          <w:szCs w:val="20"/>
          <w:color w:val="auto"/>
        </w:rPr>
      </w:pPr>
    </w:p>
    <w:p>
      <w:pPr>
        <w:ind w:left="480" w:hanging="454"/>
        <w:spacing w:after="0"/>
        <w:tabs>
          <w:tab w:leader="none" w:pos="480" w:val="left"/>
        </w:tabs>
        <w:numPr>
          <w:ilvl w:val="0"/>
          <w:numId w:val="65"/>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20"/>
          </w:cols>
          <w:pgMar w:left="320" w:top="1240" w:right="359" w:bottom="1440" w:gutter="0" w:footer="0" w:header="0"/>
        </w:sectPr>
      </w:pPr>
    </w:p>
    <w:bookmarkStart w:id="58" w:name="page59"/>
    <w:bookmarkEnd w:id="58"/>
    <w:p>
      <w:pPr>
        <w:spacing w:after="0"/>
        <w:rPr>
          <w:sz w:val="20"/>
          <w:szCs w:val="20"/>
          <w:color w:val="auto"/>
        </w:rPr>
      </w:pPr>
      <w:r>
        <w:rPr>
          <w:rFonts w:ascii="Arial" w:cs="Arial" w:eastAsia="Arial" w:hAnsi="Arial"/>
          <w:sz w:val="27"/>
          <w:szCs w:val="27"/>
          <w:b w:val="1"/>
          <w:bCs w:val="1"/>
          <w:color w:val="0067B3"/>
        </w:rPr>
        <w:t>Compensation Philosophy and Objectives</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business is based on innovation and helping our customers solve some of the world’s most complex problems. As a knowledge-based business, we believe that the skills, expertise, and experience of our employees, including our NEOs, are unique and critical factors in our overall success. The competition for talent in the technology sector is fierce. To drive continued successful operational and financial performance, we must attract, motivate, reward, and retain top executive talent. Accordingly, our executive compensation program is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514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p>
      <w:pPr>
        <w:spacing w:after="0" w:line="125" w:lineRule="exact"/>
        <w:rPr>
          <w:sz w:val="20"/>
          <w:szCs w:val="20"/>
          <w:color w:val="auto"/>
        </w:rPr>
      </w:pPr>
    </w:p>
    <w:p>
      <w:pPr>
        <w:ind w:left="220" w:hanging="194"/>
        <w:spacing w:after="0" w:line="287" w:lineRule="auto"/>
        <w:tabs>
          <w:tab w:leader="none" w:pos="183" w:val="left"/>
        </w:tabs>
        <w:numPr>
          <w:ilvl w:val="0"/>
          <w:numId w:val="66"/>
        </w:numPr>
        <w:rPr>
          <w:rFonts w:ascii="Arial" w:cs="Arial" w:eastAsia="Arial" w:hAnsi="Arial"/>
          <w:sz w:val="18"/>
          <w:szCs w:val="18"/>
          <w:color w:val="0067B3"/>
        </w:rPr>
      </w:pPr>
      <w:r>
        <w:rPr>
          <w:rFonts w:ascii="Arial" w:cs="Arial" w:eastAsia="Arial" w:hAnsi="Arial"/>
          <w:sz w:val="18"/>
          <w:szCs w:val="18"/>
          <w:color w:val="auto"/>
        </w:rPr>
        <w:t>Create alignment between executive and shareholder interests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85" w:hanging="185"/>
        <w:spacing w:after="0" w:line="268" w:lineRule="auto"/>
        <w:tabs>
          <w:tab w:leader="none" w:pos="147" w:val="left"/>
        </w:tabs>
        <w:numPr>
          <w:ilvl w:val="0"/>
          <w:numId w:val="67"/>
        </w:numPr>
        <w:rPr>
          <w:rFonts w:ascii="Arial" w:cs="Arial" w:eastAsia="Arial" w:hAnsi="Arial"/>
          <w:sz w:val="18"/>
          <w:szCs w:val="18"/>
          <w:color w:val="0067B3"/>
        </w:rPr>
      </w:pPr>
      <w:r>
        <w:rPr>
          <w:rFonts w:ascii="Arial" w:cs="Arial" w:eastAsia="Arial" w:hAnsi="Arial"/>
          <w:sz w:val="18"/>
          <w:szCs w:val="18"/>
          <w:color w:val="auto"/>
        </w:rPr>
        <w:t>Pay for performance by ensuring incentives are tied to multiple business performance metrics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92" w:right="120" w:hanging="192"/>
        <w:spacing w:after="0" w:line="318" w:lineRule="auto"/>
        <w:tabs>
          <w:tab w:leader="none" w:pos="154" w:val="left"/>
        </w:tabs>
        <w:numPr>
          <w:ilvl w:val="0"/>
          <w:numId w:val="68"/>
        </w:numPr>
        <w:rPr>
          <w:rFonts w:ascii="Arial" w:cs="Arial" w:eastAsia="Arial" w:hAnsi="Arial"/>
          <w:sz w:val="17"/>
          <w:szCs w:val="17"/>
          <w:color w:val="0067B3"/>
        </w:rPr>
      </w:pPr>
      <w:r>
        <w:rPr>
          <w:rFonts w:ascii="Arial" w:cs="Arial" w:eastAsia="Arial" w:hAnsi="Arial"/>
          <w:sz w:val="17"/>
          <w:szCs w:val="17"/>
          <w:color w:val="auto"/>
        </w:rPr>
        <w:t>Provide market competitive compensation to attract and retain top executive talent</w:t>
      </w:r>
    </w:p>
    <w:p>
      <w:pPr>
        <w:spacing w:after="0" w:line="375" w:lineRule="exact"/>
        <w:rPr>
          <w:sz w:val="20"/>
          <w:szCs w:val="20"/>
          <w:color w:val="auto"/>
        </w:rPr>
      </w:pPr>
    </w:p>
    <w:p>
      <w:pPr>
        <w:sectPr>
          <w:pgSz w:w="11900" w:h="16838" w:orient="portrait"/>
          <w:cols w:equalWidth="0" w:num="3">
            <w:col w:w="3440" w:space="455"/>
            <w:col w:w="3265" w:space="488"/>
            <w:col w:w="3612"/>
          </w:cols>
          <w:pgMar w:left="320" w:top="1298" w:right="31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Pay for Performance</w:t>
      </w:r>
    </w:p>
    <w:p>
      <w:pPr>
        <w:spacing w:after="0" w:line="1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provides our executive officers an opportunity to earn above average compensation, as compared to our peer group companies, if we deliver stronger results. Conversely, if we deliver weaker results, our executive officers will earn less compensation. The target pay mix for our NEOs for fiscal year 2022 is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1440" w:type="dxa"/>
            <w:vAlign w:val="bottom"/>
            <w:tcBorders>
              <w:right w:val="single" w:sz="8" w:color="auto"/>
            </w:tcBorders>
          </w:tcPr>
          <w:p>
            <w:pPr>
              <w:spacing w:after="0"/>
              <w:rPr>
                <w:sz w:val="24"/>
                <w:szCs w:val="24"/>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Performance-Based Incentives</w:t>
            </w:r>
          </w:p>
        </w:tc>
        <w:tc>
          <w:tcPr>
            <w:tcW w:w="2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tcBorders>
              <w:bottom w:val="single" w:sz="8" w:color="BCBEC0"/>
              <w:right w:val="single" w:sz="8" w:color="auto"/>
            </w:tcBorders>
          </w:tcPr>
          <w:p>
            <w:pPr>
              <w:spacing w:after="0"/>
              <w:rPr>
                <w:sz w:val="10"/>
                <w:szCs w:val="10"/>
                <w:color w:val="auto"/>
              </w:rPr>
            </w:pPr>
          </w:p>
        </w:tc>
        <w:tc>
          <w:tcPr>
            <w:tcW w:w="1500" w:type="dxa"/>
            <w:vAlign w:val="bottom"/>
            <w:tcBorders>
              <w:bottom w:val="single" w:sz="8" w:color="7292CB"/>
            </w:tcBorders>
          </w:tcPr>
          <w:p>
            <w:pPr>
              <w:spacing w:after="0"/>
              <w:rPr>
                <w:sz w:val="10"/>
                <w:szCs w:val="10"/>
                <w:color w:val="auto"/>
              </w:rPr>
            </w:pPr>
          </w:p>
        </w:tc>
        <w:tc>
          <w:tcPr>
            <w:tcW w:w="2020" w:type="dxa"/>
            <w:vAlign w:val="bottom"/>
            <w:tcBorders>
              <w:bottom w:val="single" w:sz="8" w:color="0067B3"/>
            </w:tcBorders>
          </w:tcPr>
          <w:p>
            <w:pPr>
              <w:spacing w:after="0"/>
              <w:rPr>
                <w:sz w:val="10"/>
                <w:szCs w:val="10"/>
                <w:color w:val="auto"/>
              </w:rPr>
            </w:pPr>
          </w:p>
        </w:tc>
        <w:tc>
          <w:tcPr>
            <w:tcW w:w="2280" w:type="dxa"/>
            <w:vAlign w:val="bottom"/>
            <w:tcBorders>
              <w:bottom w:val="single" w:sz="8" w:color="0067B3"/>
            </w:tcBorders>
          </w:tcPr>
          <w:p>
            <w:pPr>
              <w:spacing w:after="0"/>
              <w:rPr>
                <w:sz w:val="10"/>
                <w:szCs w:val="10"/>
                <w:color w:val="auto"/>
              </w:rPr>
            </w:pPr>
          </w:p>
        </w:tc>
        <w:tc>
          <w:tcPr>
            <w:tcW w:w="2160" w:type="dxa"/>
            <w:vAlign w:val="bottom"/>
            <w:tcBorders>
              <w:bottom w:val="single" w:sz="8" w:color="0067B3"/>
            </w:tcBorders>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Borders>
              <w:bottom w:val="single" w:sz="8" w:color="0067B3"/>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Borders>
              <w:right w:val="single" w:sz="8" w:color="auto"/>
            </w:tcBorders>
            <w:shd w:val="clear" w:color="auto" w:fill="BCBEC0"/>
          </w:tcPr>
          <w:p>
            <w:pPr>
              <w:spacing w:after="0"/>
              <w:rPr>
                <w:sz w:val="22"/>
                <w:szCs w:val="22"/>
                <w:color w:val="auto"/>
              </w:rPr>
            </w:pPr>
          </w:p>
        </w:tc>
        <w:tc>
          <w:tcPr>
            <w:tcW w:w="1500" w:type="dxa"/>
            <w:vAlign w:val="bottom"/>
            <w:tcBorders>
              <w:right w:val="single" w:sz="8" w:color="auto"/>
            </w:tcBorders>
            <w:shd w:val="clear" w:color="auto" w:fill="7292CB"/>
          </w:tcPr>
          <w:p>
            <w:pPr>
              <w:spacing w:after="0"/>
              <w:rPr>
                <w:sz w:val="22"/>
                <w:szCs w:val="22"/>
                <w:color w:val="auto"/>
              </w:rPr>
            </w:pPr>
          </w:p>
        </w:tc>
        <w:tc>
          <w:tcPr>
            <w:tcW w:w="2020" w:type="dxa"/>
            <w:vAlign w:val="bottom"/>
            <w:shd w:val="clear" w:color="auto" w:fill="0067B3"/>
          </w:tcPr>
          <w:p>
            <w:pPr>
              <w:spacing w:after="0"/>
              <w:rPr>
                <w:sz w:val="22"/>
                <w:szCs w:val="22"/>
                <w:color w:val="auto"/>
              </w:rPr>
            </w:pPr>
          </w:p>
        </w:tc>
        <w:tc>
          <w:tcPr>
            <w:tcW w:w="228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Relative TSR</w:t>
            </w:r>
          </w:p>
        </w:tc>
        <w:tc>
          <w:tcPr>
            <w:tcW w:w="216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Financial Metric</w:t>
            </w:r>
          </w:p>
        </w:tc>
        <w:tc>
          <w:tcPr>
            <w:tcW w:w="280" w:type="dxa"/>
            <w:vAlign w:val="bottom"/>
            <w:tcBorders>
              <w:right w:val="single" w:sz="8" w:color="0067B3"/>
            </w:tcBorders>
          </w:tcPr>
          <w:p>
            <w:pPr>
              <w:spacing w:after="0"/>
              <w:rPr>
                <w:sz w:val="22"/>
                <w:szCs w:val="22"/>
                <w:color w:val="auto"/>
              </w:rPr>
            </w:pPr>
          </w:p>
        </w:tc>
        <w:tc>
          <w:tcPr>
            <w:tcW w:w="15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9"/>
              </w:rPr>
              <w:t>TARGET COMP</w:t>
            </w: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vMerge w:val="restart"/>
            <w:shd w:val="clear" w:color="auto" w:fill="BCBEC0"/>
          </w:tcPr>
          <w:p>
            <w:pPr>
              <w:ind w:left="200"/>
              <w:spacing w:after="0"/>
              <w:rPr>
                <w:sz w:val="20"/>
                <w:szCs w:val="20"/>
                <w:color w:val="auto"/>
              </w:rPr>
            </w:pPr>
            <w:r>
              <w:rPr>
                <w:rFonts w:ascii="Arial" w:cs="Arial" w:eastAsia="Arial" w:hAnsi="Arial"/>
                <w:sz w:val="18"/>
                <w:szCs w:val="18"/>
                <w:b w:val="1"/>
                <w:bCs w:val="1"/>
                <w:color w:val="auto"/>
              </w:rPr>
              <w:t>Base Salary</w:t>
            </w:r>
          </w:p>
        </w:tc>
        <w:tc>
          <w:tcPr>
            <w:tcW w:w="1500" w:type="dxa"/>
            <w:vAlign w:val="bottom"/>
            <w:tcBorders>
              <w:right w:val="single" w:sz="8" w:color="auto"/>
            </w:tcBorders>
            <w:vMerge w:val="restart"/>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Cash Bonus</w:t>
            </w:r>
          </w:p>
        </w:tc>
        <w:tc>
          <w:tcPr>
            <w:tcW w:w="202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Time-Based RSUs</w:t>
            </w:r>
          </w:p>
        </w:tc>
        <w:tc>
          <w:tcPr>
            <w:tcW w:w="228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Performance-Based</w:t>
            </w:r>
          </w:p>
        </w:tc>
        <w:tc>
          <w:tcPr>
            <w:tcW w:w="21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Performance-Based</w:t>
            </w: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vMerge w:val="continue"/>
            <w:shd w:val="clear" w:color="auto" w:fill="BCBEC0"/>
          </w:tcPr>
          <w:p>
            <w:pPr>
              <w:spacing w:after="0"/>
              <w:rPr>
                <w:sz w:val="9"/>
                <w:szCs w:val="9"/>
                <w:color w:val="auto"/>
              </w:rPr>
            </w:pPr>
          </w:p>
        </w:tc>
        <w:tc>
          <w:tcPr>
            <w:tcW w:w="1500" w:type="dxa"/>
            <w:vAlign w:val="bottom"/>
            <w:tcBorders>
              <w:right w:val="single" w:sz="8" w:color="auto"/>
            </w:tcBorders>
            <w:vMerge w:val="continue"/>
            <w:shd w:val="clear" w:color="auto" w:fill="7292CB"/>
          </w:tcPr>
          <w:p>
            <w:pPr>
              <w:spacing w:after="0"/>
              <w:rPr>
                <w:sz w:val="9"/>
                <w:szCs w:val="9"/>
                <w:color w:val="auto"/>
              </w:rPr>
            </w:pPr>
          </w:p>
        </w:tc>
        <w:tc>
          <w:tcPr>
            <w:tcW w:w="2020" w:type="dxa"/>
            <w:vAlign w:val="bottom"/>
            <w:vMerge w:val="continue"/>
            <w:shd w:val="clear" w:color="auto" w:fill="0067B3"/>
          </w:tcPr>
          <w:p>
            <w:pPr>
              <w:spacing w:after="0"/>
              <w:rPr>
                <w:sz w:val="9"/>
                <w:szCs w:val="9"/>
                <w:color w:val="auto"/>
              </w:rPr>
            </w:pPr>
          </w:p>
        </w:tc>
        <w:tc>
          <w:tcPr>
            <w:tcW w:w="2280" w:type="dxa"/>
            <w:vAlign w:val="bottom"/>
            <w:vMerge w:val="continue"/>
            <w:shd w:val="clear" w:color="auto" w:fill="0067B3"/>
          </w:tcPr>
          <w:p>
            <w:pPr>
              <w:spacing w:after="0"/>
              <w:rPr>
                <w:sz w:val="9"/>
                <w:szCs w:val="9"/>
                <w:color w:val="auto"/>
              </w:rPr>
            </w:pPr>
          </w:p>
        </w:tc>
        <w:tc>
          <w:tcPr>
            <w:tcW w:w="2160" w:type="dxa"/>
            <w:vAlign w:val="bottom"/>
            <w:vMerge w:val="continue"/>
            <w:shd w:val="clear" w:color="auto" w:fill="0067B3"/>
          </w:tcPr>
          <w:p>
            <w:pPr>
              <w:spacing w:after="0"/>
              <w:rPr>
                <w:sz w:val="9"/>
                <w:szCs w:val="9"/>
                <w:color w:val="auto"/>
              </w:rPr>
            </w:pP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vMerge w:val="restart"/>
          </w:tcPr>
          <w:p>
            <w:pPr>
              <w:jc w:val="center"/>
              <w:spacing w:after="0"/>
              <w:rPr>
                <w:sz w:val="20"/>
                <w:szCs w:val="20"/>
                <w:color w:val="auto"/>
              </w:rPr>
            </w:pPr>
            <w:r>
              <w:rPr>
                <w:rFonts w:ascii="Arial" w:cs="Arial" w:eastAsia="Arial" w:hAnsi="Arial"/>
                <w:sz w:val="18"/>
                <w:szCs w:val="18"/>
                <w:b w:val="1"/>
                <w:bCs w:val="1"/>
                <w:color w:val="0067B3"/>
                <w:w w:val="98"/>
              </w:rPr>
              <w:t>VALUE</w:t>
            </w:r>
          </w:p>
        </w:tc>
        <w:tc>
          <w:tcPr>
            <w:tcW w:w="0" w:type="dxa"/>
            <w:vAlign w:val="bottom"/>
          </w:tcPr>
          <w:p>
            <w:pPr>
              <w:spacing w:after="0"/>
              <w:rPr>
                <w:sz w:val="1"/>
                <w:szCs w:val="1"/>
                <w:color w:val="auto"/>
              </w:rPr>
            </w:pPr>
          </w:p>
        </w:tc>
      </w:tr>
      <w:tr>
        <w:trPr>
          <w:trHeight w:val="139"/>
        </w:trPr>
        <w:tc>
          <w:tcPr>
            <w:tcW w:w="1440" w:type="dxa"/>
            <w:vAlign w:val="bottom"/>
            <w:tcBorders>
              <w:right w:val="single" w:sz="8" w:color="auto"/>
            </w:tcBorders>
            <w:shd w:val="clear" w:color="auto" w:fill="BCBEC0"/>
          </w:tcPr>
          <w:p>
            <w:pPr>
              <w:spacing w:after="0"/>
              <w:rPr>
                <w:sz w:val="12"/>
                <w:szCs w:val="12"/>
                <w:color w:val="auto"/>
              </w:rPr>
            </w:pPr>
          </w:p>
        </w:tc>
        <w:tc>
          <w:tcPr>
            <w:tcW w:w="1500" w:type="dxa"/>
            <w:vAlign w:val="bottom"/>
            <w:tcBorders>
              <w:right w:val="single" w:sz="8" w:color="auto"/>
            </w:tcBorders>
            <w:shd w:val="clear" w:color="auto" w:fill="7292CB"/>
          </w:tcPr>
          <w:p>
            <w:pPr>
              <w:spacing w:after="0"/>
              <w:rPr>
                <w:sz w:val="12"/>
                <w:szCs w:val="12"/>
                <w:color w:val="auto"/>
              </w:rPr>
            </w:pPr>
          </w:p>
        </w:tc>
        <w:tc>
          <w:tcPr>
            <w:tcW w:w="2020" w:type="dxa"/>
            <w:vAlign w:val="bottom"/>
            <w:shd w:val="clear" w:color="auto" w:fill="0067B3"/>
          </w:tcPr>
          <w:p>
            <w:pPr>
              <w:spacing w:after="0"/>
              <w:rPr>
                <w:sz w:val="12"/>
                <w:szCs w:val="12"/>
                <w:color w:val="auto"/>
              </w:rPr>
            </w:pPr>
          </w:p>
        </w:tc>
        <w:tc>
          <w:tcPr>
            <w:tcW w:w="228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5"/>
              </w:rPr>
              <w:t>RSUs</w:t>
            </w:r>
          </w:p>
        </w:tc>
        <w:tc>
          <w:tcPr>
            <w:tcW w:w="2160" w:type="dxa"/>
            <w:vAlign w:val="bottom"/>
            <w:vMerge w:val="restart"/>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RSUs</w:t>
            </w:r>
          </w:p>
        </w:tc>
        <w:tc>
          <w:tcPr>
            <w:tcW w:w="280" w:type="dxa"/>
            <w:vAlign w:val="bottom"/>
            <w:tcBorders>
              <w:right w:val="single" w:sz="8" w:color="0067B3"/>
            </w:tcBorders>
          </w:tcPr>
          <w:p>
            <w:pPr>
              <w:spacing w:after="0"/>
              <w:rPr>
                <w:sz w:val="12"/>
                <w:szCs w:val="12"/>
                <w:color w:val="auto"/>
              </w:rPr>
            </w:pPr>
          </w:p>
        </w:tc>
        <w:tc>
          <w:tcPr>
            <w:tcW w:w="1580" w:type="dxa"/>
            <w:vAlign w:val="bottom"/>
            <w:tcBorders>
              <w:right w:val="single" w:sz="8" w:color="0067B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40" w:type="dxa"/>
            <w:vAlign w:val="bottom"/>
            <w:tcBorders>
              <w:right w:val="single" w:sz="8" w:color="auto"/>
            </w:tcBorders>
            <w:shd w:val="clear" w:color="auto" w:fill="BCBEC0"/>
          </w:tcPr>
          <w:p>
            <w:pPr>
              <w:spacing w:after="0"/>
              <w:rPr>
                <w:sz w:val="9"/>
                <w:szCs w:val="9"/>
                <w:color w:val="auto"/>
              </w:rPr>
            </w:pPr>
          </w:p>
        </w:tc>
        <w:tc>
          <w:tcPr>
            <w:tcW w:w="1500" w:type="dxa"/>
            <w:vAlign w:val="bottom"/>
            <w:tcBorders>
              <w:right w:val="single" w:sz="8" w:color="auto"/>
            </w:tcBorders>
            <w:shd w:val="clear" w:color="auto" w:fill="7292CB"/>
          </w:tcPr>
          <w:p>
            <w:pPr>
              <w:spacing w:after="0"/>
              <w:rPr>
                <w:sz w:val="9"/>
                <w:szCs w:val="9"/>
                <w:color w:val="auto"/>
              </w:rPr>
            </w:pPr>
          </w:p>
        </w:tc>
        <w:tc>
          <w:tcPr>
            <w:tcW w:w="2020" w:type="dxa"/>
            <w:vAlign w:val="bottom"/>
            <w:shd w:val="clear" w:color="auto" w:fill="0067B3"/>
          </w:tcPr>
          <w:p>
            <w:pPr>
              <w:spacing w:after="0"/>
              <w:rPr>
                <w:sz w:val="9"/>
                <w:szCs w:val="9"/>
                <w:color w:val="auto"/>
              </w:rPr>
            </w:pPr>
          </w:p>
        </w:tc>
        <w:tc>
          <w:tcPr>
            <w:tcW w:w="2280" w:type="dxa"/>
            <w:vAlign w:val="bottom"/>
            <w:vMerge w:val="continue"/>
            <w:shd w:val="clear" w:color="auto" w:fill="0067B3"/>
          </w:tcPr>
          <w:p>
            <w:pPr>
              <w:spacing w:after="0"/>
              <w:rPr>
                <w:sz w:val="9"/>
                <w:szCs w:val="9"/>
                <w:color w:val="auto"/>
              </w:rPr>
            </w:pPr>
          </w:p>
        </w:tc>
        <w:tc>
          <w:tcPr>
            <w:tcW w:w="2160" w:type="dxa"/>
            <w:vAlign w:val="bottom"/>
            <w:vMerge w:val="continue"/>
            <w:shd w:val="clear" w:color="auto" w:fill="0067B3"/>
          </w:tcPr>
          <w:p>
            <w:pPr>
              <w:spacing w:after="0"/>
              <w:rPr>
                <w:sz w:val="9"/>
                <w:szCs w:val="9"/>
                <w:color w:val="auto"/>
              </w:rPr>
            </w:pPr>
          </w:p>
        </w:tc>
        <w:tc>
          <w:tcPr>
            <w:tcW w:w="280" w:type="dxa"/>
            <w:vAlign w:val="bottom"/>
            <w:tcBorders>
              <w:right w:val="single" w:sz="8" w:color="0067B3"/>
            </w:tcBorders>
          </w:tcPr>
          <w:p>
            <w:pPr>
              <w:spacing w:after="0"/>
              <w:rPr>
                <w:sz w:val="9"/>
                <w:szCs w:val="9"/>
                <w:color w:val="auto"/>
              </w:rPr>
            </w:pPr>
          </w:p>
        </w:tc>
        <w:tc>
          <w:tcPr>
            <w:tcW w:w="1580" w:type="dxa"/>
            <w:vAlign w:val="bottom"/>
            <w:tcBorders>
              <w:right w:val="single" w:sz="8" w:color="0067B3"/>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440" w:type="dxa"/>
            <w:vAlign w:val="bottom"/>
            <w:tcBorders>
              <w:right w:val="single" w:sz="8" w:color="auto"/>
            </w:tcBorders>
            <w:shd w:val="clear" w:color="auto" w:fill="BCBEC0"/>
          </w:tcPr>
          <w:p>
            <w:pPr>
              <w:spacing w:after="0"/>
              <w:rPr>
                <w:sz w:val="6"/>
                <w:szCs w:val="6"/>
                <w:color w:val="auto"/>
              </w:rPr>
            </w:pPr>
          </w:p>
        </w:tc>
        <w:tc>
          <w:tcPr>
            <w:tcW w:w="1500" w:type="dxa"/>
            <w:vAlign w:val="bottom"/>
            <w:tcBorders>
              <w:right w:val="single" w:sz="8" w:color="auto"/>
            </w:tcBorders>
            <w:shd w:val="clear" w:color="auto" w:fill="7292CB"/>
          </w:tcPr>
          <w:p>
            <w:pPr>
              <w:spacing w:after="0"/>
              <w:rPr>
                <w:sz w:val="6"/>
                <w:szCs w:val="6"/>
                <w:color w:val="auto"/>
              </w:rPr>
            </w:pPr>
          </w:p>
        </w:tc>
        <w:tc>
          <w:tcPr>
            <w:tcW w:w="2020" w:type="dxa"/>
            <w:vAlign w:val="bottom"/>
            <w:shd w:val="clear" w:color="auto" w:fill="0067B3"/>
          </w:tcPr>
          <w:p>
            <w:pPr>
              <w:spacing w:after="0"/>
              <w:rPr>
                <w:sz w:val="6"/>
                <w:szCs w:val="6"/>
                <w:color w:val="auto"/>
              </w:rPr>
            </w:pPr>
          </w:p>
        </w:tc>
        <w:tc>
          <w:tcPr>
            <w:tcW w:w="2280" w:type="dxa"/>
            <w:vAlign w:val="bottom"/>
            <w:shd w:val="clear" w:color="auto" w:fill="0067B3"/>
          </w:tcPr>
          <w:p>
            <w:pPr>
              <w:spacing w:after="0"/>
              <w:rPr>
                <w:sz w:val="6"/>
                <w:szCs w:val="6"/>
                <w:color w:val="auto"/>
              </w:rPr>
            </w:pPr>
          </w:p>
        </w:tc>
        <w:tc>
          <w:tcPr>
            <w:tcW w:w="2160" w:type="dxa"/>
            <w:vAlign w:val="bottom"/>
            <w:shd w:val="clear" w:color="auto" w:fill="0067B3"/>
          </w:tcPr>
          <w:p>
            <w:pPr>
              <w:spacing w:after="0"/>
              <w:rPr>
                <w:sz w:val="6"/>
                <w:szCs w:val="6"/>
                <w:color w:val="auto"/>
              </w:rPr>
            </w:pPr>
          </w:p>
        </w:tc>
        <w:tc>
          <w:tcPr>
            <w:tcW w:w="280" w:type="dxa"/>
            <w:vAlign w:val="bottom"/>
            <w:tcBorders>
              <w:right w:val="single" w:sz="8" w:color="0067B3"/>
            </w:tcBorders>
          </w:tcPr>
          <w:p>
            <w:pPr>
              <w:spacing w:after="0"/>
              <w:rPr>
                <w:sz w:val="6"/>
                <w:szCs w:val="6"/>
                <w:color w:val="auto"/>
              </w:rPr>
            </w:pPr>
          </w:p>
        </w:tc>
        <w:tc>
          <w:tcPr>
            <w:tcW w:w="1580" w:type="dxa"/>
            <w:vAlign w:val="bottom"/>
            <w:tcBorders>
              <w:bottom w:val="single" w:sz="8" w:color="0067B3"/>
              <w:right w:val="single" w:sz="8" w:color="0067B3"/>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44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rPr>
              <w:t>Long-term</w:t>
            </w:r>
          </w:p>
        </w:tc>
        <w:tc>
          <w:tcPr>
            <w:tcW w:w="2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3"/>
        </w:trPr>
        <w:tc>
          <w:tcPr>
            <w:tcW w:w="2940" w:type="dxa"/>
            <w:vAlign w:val="bottom"/>
            <w:gridSpan w:val="2"/>
          </w:tcPr>
          <w:p>
            <w:pPr>
              <w:spacing w:after="0"/>
              <w:rPr>
                <w:sz w:val="20"/>
                <w:szCs w:val="20"/>
                <w:color w:val="auto"/>
              </w:rPr>
            </w:pPr>
            <w:r>
              <w:rPr>
                <w:rFonts w:ascii="Arial" w:cs="Arial" w:eastAsia="Arial" w:hAnsi="Arial"/>
                <w:sz w:val="18"/>
                <w:szCs w:val="18"/>
                <w:b w:val="1"/>
                <w:bCs w:val="1"/>
                <w:color w:val="0067B3"/>
              </w:rPr>
              <w:t>Target Comp for CEO</w:t>
            </w:r>
            <w:r>
              <w:rPr>
                <w:rFonts w:ascii="Arial" w:cs="Arial" w:eastAsia="Arial" w:hAnsi="Arial"/>
                <w:sz w:val="23"/>
                <w:szCs w:val="23"/>
                <w:b w:val="1"/>
                <w:bCs w:val="1"/>
                <w:color w:val="0067B3"/>
                <w:vertAlign w:val="superscript"/>
              </w:rPr>
              <w:t>(1)</w:t>
            </w:r>
          </w:p>
        </w:tc>
        <w:tc>
          <w:tcPr>
            <w:tcW w:w="2020" w:type="dxa"/>
            <w:vAlign w:val="bottom"/>
          </w:tcPr>
          <w:p>
            <w:pPr>
              <w:spacing w:after="0"/>
              <w:rPr>
                <w:sz w:val="24"/>
                <w:szCs w:val="24"/>
                <w:color w:val="auto"/>
              </w:rPr>
            </w:pPr>
          </w:p>
        </w:tc>
        <w:tc>
          <w:tcPr>
            <w:tcW w:w="4440" w:type="dxa"/>
            <w:vAlign w:val="bottom"/>
            <w:gridSpan w:val="2"/>
          </w:tcPr>
          <w:p>
            <w:pPr>
              <w:ind w:left="780"/>
              <w:spacing w:after="0"/>
              <w:rPr>
                <w:sz w:val="20"/>
                <w:szCs w:val="20"/>
                <w:color w:val="auto"/>
              </w:rPr>
            </w:pPr>
            <w:r>
              <w:rPr>
                <w:rFonts w:ascii="Arial" w:cs="Arial" w:eastAsia="Arial" w:hAnsi="Arial"/>
                <w:sz w:val="18"/>
                <w:szCs w:val="18"/>
                <w:b w:val="1"/>
                <w:bCs w:val="1"/>
                <w:color w:val="0067B3"/>
              </w:rPr>
              <w:t>Target Comp for Other NEOs</w:t>
            </w:r>
            <w:r>
              <w:rPr>
                <w:rFonts w:ascii="Arial" w:cs="Arial" w:eastAsia="Arial" w:hAnsi="Arial"/>
                <w:sz w:val="23"/>
                <w:szCs w:val="23"/>
                <w:b w:val="1"/>
                <w:bCs w:val="1"/>
                <w:color w:val="0067B3"/>
                <w:vertAlign w:val="superscript"/>
              </w:rPr>
              <w:t>(1) (2)</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-1052830</wp:posOffset>
            </wp:positionV>
            <wp:extent cx="8890" cy="4457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-1052830</wp:posOffset>
            </wp:positionV>
            <wp:extent cx="8255" cy="4457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44577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-915670</wp:posOffset>
            </wp:positionV>
            <wp:extent cx="51435"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6591935" cy="1534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9193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sum of the individual amounts may not equal the total due to rounding.</w:t>
      </w:r>
    </w:p>
    <w:p>
      <w:pPr>
        <w:spacing w:after="0" w:line="70" w:lineRule="exact"/>
        <w:rPr>
          <w:rFonts w:ascii="Arial" w:cs="Arial" w:eastAsia="Arial" w:hAnsi="Arial"/>
          <w:sz w:val="21"/>
          <w:szCs w:val="21"/>
          <w:color w:val="auto"/>
          <w:vertAlign w:val="superscript"/>
        </w:rPr>
      </w:pPr>
    </w:p>
    <w:p>
      <w:pPr>
        <w:ind w:left="200" w:right="140" w:hanging="192"/>
        <w:spacing w:after="0" w:line="232" w:lineRule="auto"/>
        <w:tabs>
          <w:tab w:leader="none" w:pos="215"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 xml:space="preserve">In order to best illustrate the underlying structure of our annual executive compensation program, the pay mix chart above excludes new-hire equity awards made to Mr. Bryant in March 2022. For more information about the components of the performance-based incentive compensation for our NEOs, see </w:t>
      </w:r>
      <w:r>
        <w:rPr>
          <w:rFonts w:ascii="Arial" w:cs="Arial" w:eastAsia="Arial" w:hAnsi="Arial"/>
          <w:sz w:val="16"/>
          <w:szCs w:val="16"/>
          <w:i w:val="1"/>
          <w:iCs w:val="1"/>
          <w:color w:val="auto"/>
        </w:rPr>
        <w:t>Compensation Discussion and Analysis—Components of Executive Compensation</w:t>
      </w:r>
      <w:r>
        <w:rPr>
          <w:rFonts w:ascii="Arial" w:cs="Arial" w:eastAsia="Arial" w:hAnsi="Arial"/>
          <w:sz w:val="16"/>
          <w:szCs w:val="16"/>
          <w:color w:val="auto"/>
        </w:rPr>
        <w:t>.</w:t>
      </w:r>
    </w:p>
    <w:p>
      <w:pPr>
        <w:spacing w:after="0" w:line="30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51</w:t>
      </w:r>
    </w:p>
    <w:p>
      <w:pPr>
        <w:sectPr>
          <w:pgSz w:w="11900" w:h="16838" w:orient="portrait"/>
          <w:cols w:equalWidth="0" w:num="1">
            <w:col w:w="11260"/>
          </w:cols>
          <w:pgMar w:left="320" w:top="1298" w:right="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3"/>
          <w:szCs w:val="23"/>
          <w:b w:val="1"/>
          <w:bCs w:val="1"/>
          <w:color w:val="auto"/>
        </w:rPr>
        <w:t>Summary of Direct Compensation Elements</w:t>
      </w:r>
    </w:p>
    <w:p>
      <w:pPr>
        <w:spacing w:after="0" w:line="14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provide a mix of compensation elements that support our goals of attracting and retaining top executive talent and incentivizing our key performance objectives in the short- and long-term.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Pay Element</w:t>
            </w:r>
          </w:p>
        </w:tc>
        <w:tc>
          <w:tcPr>
            <w:tcW w:w="1500" w:type="dxa"/>
            <w:vAlign w:val="bottom"/>
            <w:tcBorders>
              <w:right w:val="single" w:sz="8" w:color="0067B3"/>
            </w:tcBorders>
            <w:shd w:val="clear" w:color="auto" w:fill="0067B3"/>
          </w:tcPr>
          <w:p>
            <w:pPr>
              <w:spacing w:after="0"/>
              <w:rPr>
                <w:sz w:val="21"/>
                <w:szCs w:val="21"/>
                <w:color w:val="auto"/>
              </w:rPr>
            </w:pPr>
          </w:p>
        </w:tc>
        <w:tc>
          <w:tcPr>
            <w:tcW w:w="2760" w:type="dxa"/>
            <w:vAlign w:val="bottom"/>
            <w:tcBorders>
              <w:bottom w:val="single" w:sz="8" w:color="0067B3"/>
              <w:right w:val="single" w:sz="8" w:color="0067B3"/>
            </w:tcBorders>
            <w:shd w:val="clear" w:color="auto" w:fill="0067B3"/>
          </w:tcPr>
          <w:p>
            <w:pPr>
              <w:ind w:left="140"/>
              <w:spacing w:after="0"/>
              <w:rPr>
                <w:sz w:val="20"/>
                <w:szCs w:val="20"/>
                <w:color w:val="auto"/>
              </w:rPr>
            </w:pPr>
            <w:r>
              <w:rPr>
                <w:rFonts w:ascii="Arial" w:cs="Arial" w:eastAsia="Arial" w:hAnsi="Arial"/>
                <w:sz w:val="16"/>
                <w:szCs w:val="16"/>
                <w:b w:val="1"/>
                <w:bCs w:val="1"/>
                <w:color w:val="FFFFFF"/>
              </w:rPr>
              <w:t>Purpose</w:t>
            </w:r>
          </w:p>
        </w:tc>
        <w:tc>
          <w:tcPr>
            <w:tcW w:w="2780" w:type="dxa"/>
            <w:vAlign w:val="bottom"/>
            <w:tcBorders>
              <w:bottom w:val="single" w:sz="8" w:color="0067B3"/>
              <w:right w:val="single" w:sz="8" w:color="0067B3"/>
            </w:tcBorders>
            <w:shd w:val="clear" w:color="auto" w:fill="0067B3"/>
          </w:tcPr>
          <w:p>
            <w:pPr>
              <w:ind w:left="140"/>
              <w:spacing w:after="0"/>
              <w:rPr>
                <w:sz w:val="20"/>
                <w:szCs w:val="20"/>
                <w:color w:val="auto"/>
              </w:rPr>
            </w:pPr>
            <w:r>
              <w:rPr>
                <w:rFonts w:ascii="Arial" w:cs="Arial" w:eastAsia="Arial" w:hAnsi="Arial"/>
                <w:sz w:val="16"/>
                <w:szCs w:val="16"/>
                <w:b w:val="1"/>
                <w:bCs w:val="1"/>
                <w:color w:val="FFFFFF"/>
              </w:rPr>
              <w:t>Time Period</w:t>
            </w:r>
          </w:p>
        </w:tc>
        <w:tc>
          <w:tcPr>
            <w:tcW w:w="2900" w:type="dxa"/>
            <w:vAlign w:val="bottom"/>
            <w:tcBorders>
              <w:bottom w:val="single" w:sz="8" w:color="0067B3"/>
            </w:tcBorders>
            <w:shd w:val="clear" w:color="auto" w:fill="0067B3"/>
          </w:tcPr>
          <w:p>
            <w:pPr>
              <w:ind w:left="140"/>
              <w:spacing w:after="0"/>
              <w:rPr>
                <w:sz w:val="20"/>
                <w:szCs w:val="20"/>
                <w:color w:val="auto"/>
              </w:rPr>
            </w:pPr>
            <w:r>
              <w:rPr>
                <w:rFonts w:ascii="Arial" w:cs="Arial" w:eastAsia="Arial" w:hAnsi="Arial"/>
                <w:sz w:val="16"/>
                <w:szCs w:val="16"/>
                <w:b w:val="1"/>
                <w:bCs w:val="1"/>
                <w:color w:val="FFFFFF"/>
              </w:rPr>
              <w:t>Performance Measures</w:t>
            </w: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1500" w:type="dxa"/>
            <w:vAlign w:val="bottom"/>
            <w:tcBorders>
              <w:right w:val="single" w:sz="8" w:color="939598"/>
            </w:tcBorders>
          </w:tcPr>
          <w:p>
            <w:pPr>
              <w:spacing w:after="0"/>
              <w:rPr>
                <w:sz w:val="18"/>
                <w:szCs w:val="18"/>
                <w:color w:val="auto"/>
              </w:rPr>
            </w:pP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Attract and retain</w:t>
            </w:r>
          </w:p>
        </w:tc>
        <w:tc>
          <w:tcPr>
            <w:tcW w:w="278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Annual</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 talent</w:t>
            </w:r>
          </w:p>
        </w:tc>
        <w:tc>
          <w:tcPr>
            <w:tcW w:w="2780" w:type="dxa"/>
            <w:vAlign w:val="bottom"/>
            <w:tcBorders>
              <w:right w:val="single" w:sz="8" w:color="939598"/>
            </w:tcBorders>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00" w:type="dxa"/>
            <w:vAlign w:val="bottom"/>
            <w:tcBorders>
              <w:bottom w:val="single" w:sz="8" w:color="939598"/>
              <w:right w:val="single" w:sz="8" w:color="939598"/>
            </w:tcBorders>
            <w:gridSpan w:val="2"/>
          </w:tcPr>
          <w:p>
            <w:pPr>
              <w:spacing w:after="0"/>
              <w:rPr>
                <w:sz w:val="2"/>
                <w:szCs w:val="2"/>
                <w:color w:val="auto"/>
              </w:rPr>
            </w:pPr>
          </w:p>
        </w:tc>
        <w:tc>
          <w:tcPr>
            <w:tcW w:w="2760" w:type="dxa"/>
            <w:vAlign w:val="bottom"/>
            <w:tcBorders>
              <w:bottom w:val="single" w:sz="8" w:color="939598"/>
              <w:right w:val="single" w:sz="8" w:color="939598"/>
            </w:tcBorders>
          </w:tcPr>
          <w:p>
            <w:pPr>
              <w:spacing w:after="0"/>
              <w:rPr>
                <w:sz w:val="2"/>
                <w:szCs w:val="2"/>
                <w:color w:val="auto"/>
              </w:rPr>
            </w:pPr>
          </w:p>
        </w:tc>
        <w:tc>
          <w:tcPr>
            <w:tcW w:w="2780" w:type="dxa"/>
            <w:vAlign w:val="bottom"/>
            <w:tcBorders>
              <w:bottom w:val="single" w:sz="8" w:color="939598"/>
              <w:right w:val="single" w:sz="8" w:color="939598"/>
            </w:tcBorders>
          </w:tcPr>
          <w:p>
            <w:pPr>
              <w:spacing w:after="0"/>
              <w:rPr>
                <w:sz w:val="2"/>
                <w:szCs w:val="2"/>
                <w:color w:val="auto"/>
              </w:rPr>
            </w:pPr>
          </w:p>
        </w:tc>
        <w:tc>
          <w:tcPr>
            <w:tcW w:w="29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Borders>
              <w:right w:val="single" w:sz="8" w:color="939598"/>
            </w:tcBorders>
            <w:gridSpan w:val="2"/>
          </w:tcPr>
          <w:p>
            <w:pPr>
              <w:ind w:left="20"/>
              <w:spacing w:after="0"/>
              <w:rPr>
                <w:sz w:val="20"/>
                <w:szCs w:val="20"/>
                <w:color w:val="auto"/>
              </w:rPr>
            </w:pPr>
            <w:r>
              <w:rPr>
                <w:rFonts w:ascii="Arial" w:cs="Arial" w:eastAsia="Arial" w:hAnsi="Arial"/>
                <w:sz w:val="18"/>
                <w:szCs w:val="18"/>
                <w:b w:val="1"/>
                <w:bCs w:val="1"/>
                <w:color w:val="auto"/>
              </w:rPr>
              <w:t>Variable Cash Incentive</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Motivate and reward our</w:t>
            </w:r>
          </w:p>
        </w:tc>
        <w:tc>
          <w:tcPr>
            <w:tcW w:w="278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Paid semi-annually, with</w:t>
            </w:r>
          </w:p>
        </w:tc>
        <w:tc>
          <w:tcPr>
            <w:tcW w:w="290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50%: quarterly OPBT margin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500" w:type="dxa"/>
            <w:vAlign w:val="bottom"/>
            <w:tcBorders>
              <w:right w:val="single" w:sz="8" w:color="939598"/>
            </w:tcBorders>
          </w:tcPr>
          <w:p>
            <w:pPr>
              <w:spacing w:after="0"/>
              <w:rPr>
                <w:sz w:val="18"/>
                <w:szCs w:val="18"/>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 officers for</w:t>
            </w:r>
          </w:p>
        </w:tc>
        <w:tc>
          <w:tcPr>
            <w:tcW w:w="278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quarterly corporate financial</w:t>
            </w:r>
          </w:p>
        </w:tc>
        <w:tc>
          <w:tcPr>
            <w:tcW w:w="290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50%: year-over-year revenue</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500" w:type="dxa"/>
            <w:vAlign w:val="bottom"/>
            <w:tcBorders>
              <w:right w:val="single" w:sz="8" w:color="939598"/>
            </w:tcBorders>
          </w:tcPr>
          <w:p>
            <w:pPr>
              <w:spacing w:after="0"/>
              <w:rPr>
                <w:sz w:val="7"/>
                <w:szCs w:val="7"/>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achieving short-term</w:t>
            </w:r>
          </w:p>
        </w:tc>
        <w:tc>
          <w:tcPr>
            <w:tcW w:w="278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targets tied to corporate</w:t>
            </w: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500" w:type="dxa"/>
            <w:vAlign w:val="bottom"/>
            <w:tcBorders>
              <w:right w:val="single" w:sz="8" w:color="939598"/>
            </w:tcBorders>
          </w:tcPr>
          <w:p>
            <w:pPr>
              <w:spacing w:after="0"/>
              <w:rPr>
                <w:sz w:val="11"/>
                <w:szCs w:val="11"/>
                <w:color w:val="auto"/>
              </w:rPr>
            </w:pPr>
          </w:p>
        </w:tc>
        <w:tc>
          <w:tcPr>
            <w:tcW w:w="2760" w:type="dxa"/>
            <w:vAlign w:val="bottom"/>
            <w:tcBorders>
              <w:right w:val="single" w:sz="8" w:color="939598"/>
            </w:tcBorders>
            <w:vMerge w:val="continue"/>
          </w:tcPr>
          <w:p>
            <w:pPr>
              <w:spacing w:after="0"/>
              <w:rPr>
                <w:sz w:val="11"/>
                <w:szCs w:val="11"/>
                <w:color w:val="auto"/>
              </w:rPr>
            </w:pPr>
          </w:p>
        </w:tc>
        <w:tc>
          <w:tcPr>
            <w:tcW w:w="2780" w:type="dxa"/>
            <w:vAlign w:val="bottom"/>
            <w:tcBorders>
              <w:right w:val="single" w:sz="8" w:color="939598"/>
            </w:tcBorders>
            <w:vMerge w:val="continue"/>
          </w:tcPr>
          <w:p>
            <w:pPr>
              <w:spacing w:after="0"/>
              <w:rPr>
                <w:sz w:val="11"/>
                <w:szCs w:val="11"/>
                <w:color w:val="auto"/>
              </w:rPr>
            </w:pPr>
          </w:p>
        </w:tc>
        <w:tc>
          <w:tcPr>
            <w:tcW w:w="2900" w:type="dxa"/>
            <w:vAlign w:val="bottom"/>
            <w:vMerge w:val="restart"/>
          </w:tcPr>
          <w:p>
            <w:pPr>
              <w:ind w:left="340"/>
              <w:spacing w:after="0"/>
              <w:rPr>
                <w:sz w:val="20"/>
                <w:szCs w:val="20"/>
                <w:color w:val="auto"/>
              </w:rPr>
            </w:pPr>
            <w:r>
              <w:rPr>
                <w:rFonts w:ascii="Arial" w:cs="Arial" w:eastAsia="Arial" w:hAnsi="Arial"/>
                <w:sz w:val="18"/>
                <w:szCs w:val="18"/>
                <w:color w:val="auto"/>
              </w:rPr>
              <w:t>growth (measured quarterly)</w:t>
            </w: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500" w:type="dxa"/>
            <w:vAlign w:val="bottom"/>
            <w:tcBorders>
              <w:right w:val="single" w:sz="8" w:color="939598"/>
            </w:tcBorders>
          </w:tcPr>
          <w:p>
            <w:pPr>
              <w:spacing w:after="0"/>
              <w:rPr>
                <w:sz w:val="9"/>
                <w:szCs w:val="9"/>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company financial objectives</w:t>
            </w:r>
          </w:p>
        </w:tc>
        <w:tc>
          <w:tcPr>
            <w:tcW w:w="278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strategy of profitable growth</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1500" w:type="dxa"/>
            <w:vAlign w:val="bottom"/>
            <w:tcBorders>
              <w:right w:val="single" w:sz="8" w:color="939598"/>
            </w:tcBorders>
          </w:tcPr>
          <w:p>
            <w:pPr>
              <w:spacing w:after="0"/>
              <w:rPr>
                <w:sz w:val="9"/>
                <w:szCs w:val="9"/>
                <w:color w:val="auto"/>
              </w:rPr>
            </w:pPr>
          </w:p>
        </w:tc>
        <w:tc>
          <w:tcPr>
            <w:tcW w:w="2760" w:type="dxa"/>
            <w:vAlign w:val="bottom"/>
            <w:tcBorders>
              <w:right w:val="single" w:sz="8" w:color="939598"/>
            </w:tcBorders>
            <w:vMerge w:val="continue"/>
          </w:tcPr>
          <w:p>
            <w:pPr>
              <w:spacing w:after="0"/>
              <w:rPr>
                <w:sz w:val="9"/>
                <w:szCs w:val="9"/>
                <w:color w:val="auto"/>
              </w:rPr>
            </w:pPr>
          </w:p>
        </w:tc>
        <w:tc>
          <w:tcPr>
            <w:tcW w:w="2780" w:type="dxa"/>
            <w:vAlign w:val="bottom"/>
            <w:tcBorders>
              <w:right w:val="single" w:sz="8" w:color="939598"/>
            </w:tcBorders>
            <w:vMerge w:val="continue"/>
          </w:tcPr>
          <w:p>
            <w:pPr>
              <w:spacing w:after="0"/>
              <w:rPr>
                <w:sz w:val="9"/>
                <w:szCs w:val="9"/>
                <w:color w:val="auto"/>
              </w:rPr>
            </w:pPr>
          </w:p>
        </w:tc>
        <w:tc>
          <w:tcPr>
            <w:tcW w:w="290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Minimum OPBT margin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00" w:type="dxa"/>
            <w:vAlign w:val="bottom"/>
            <w:tcBorders>
              <w:right w:val="single" w:sz="8" w:color="939598"/>
            </w:tcBorders>
          </w:tcPr>
          <w:p>
            <w:pPr>
              <w:spacing w:after="0"/>
              <w:rPr>
                <w:sz w:val="12"/>
                <w:szCs w:val="12"/>
                <w:color w:val="auto"/>
              </w:rPr>
            </w:pPr>
          </w:p>
        </w:tc>
        <w:tc>
          <w:tcPr>
            <w:tcW w:w="2760" w:type="dxa"/>
            <w:vAlign w:val="bottom"/>
            <w:tcBorders>
              <w:right w:val="single" w:sz="8" w:color="939598"/>
            </w:tcBorders>
            <w:vMerge w:val="restart"/>
          </w:tcPr>
          <w:p>
            <w:pPr>
              <w:ind w:left="340"/>
              <w:spacing w:after="0"/>
              <w:rPr>
                <w:sz w:val="20"/>
                <w:szCs w:val="20"/>
                <w:color w:val="auto"/>
              </w:rPr>
            </w:pPr>
            <w:r>
              <w:rPr>
                <w:rFonts w:ascii="Arial" w:cs="Arial" w:eastAsia="Arial" w:hAnsi="Arial"/>
                <w:sz w:val="18"/>
                <w:szCs w:val="18"/>
                <w:color w:val="auto"/>
              </w:rPr>
              <w:t>aligned with value creation</w:t>
            </w:r>
          </w:p>
        </w:tc>
        <w:tc>
          <w:tcPr>
            <w:tcW w:w="2780" w:type="dxa"/>
            <w:vAlign w:val="bottom"/>
            <w:tcBorders>
              <w:right w:val="single" w:sz="8" w:color="939598"/>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1500" w:type="dxa"/>
            <w:vAlign w:val="bottom"/>
            <w:tcBorders>
              <w:right w:val="single" w:sz="8" w:color="939598"/>
            </w:tcBorders>
          </w:tcPr>
          <w:p>
            <w:pPr>
              <w:spacing w:after="0"/>
              <w:rPr>
                <w:sz w:val="7"/>
                <w:szCs w:val="7"/>
                <w:color w:val="auto"/>
              </w:rPr>
            </w:pPr>
          </w:p>
        </w:tc>
        <w:tc>
          <w:tcPr>
            <w:tcW w:w="2760" w:type="dxa"/>
            <w:vAlign w:val="bottom"/>
            <w:tcBorders>
              <w:right w:val="single" w:sz="8" w:color="939598"/>
            </w:tcBorders>
            <w:vMerge w:val="continue"/>
          </w:tcPr>
          <w:p>
            <w:pPr>
              <w:spacing w:after="0"/>
              <w:rPr>
                <w:sz w:val="7"/>
                <w:szCs w:val="7"/>
                <w:color w:val="auto"/>
              </w:rPr>
            </w:pPr>
          </w:p>
        </w:tc>
        <w:tc>
          <w:tcPr>
            <w:tcW w:w="2780" w:type="dxa"/>
            <w:vAlign w:val="bottom"/>
            <w:tcBorders>
              <w:right w:val="single" w:sz="8" w:color="939598"/>
            </w:tcBorders>
          </w:tcPr>
          <w:p>
            <w:pPr>
              <w:spacing w:after="0"/>
              <w:rPr>
                <w:sz w:val="7"/>
                <w:szCs w:val="7"/>
                <w:color w:val="auto"/>
              </w:rPr>
            </w:pPr>
          </w:p>
        </w:tc>
        <w:tc>
          <w:tcPr>
            <w:tcW w:w="2900" w:type="dxa"/>
            <w:vAlign w:val="bottom"/>
            <w:vMerge w:val="restart"/>
          </w:tcPr>
          <w:p>
            <w:pPr>
              <w:ind w:left="340"/>
              <w:spacing w:after="0"/>
              <w:rPr>
                <w:sz w:val="20"/>
                <w:szCs w:val="20"/>
                <w:color w:val="auto"/>
              </w:rPr>
            </w:pPr>
            <w:r>
              <w:rPr>
                <w:rFonts w:ascii="Arial" w:cs="Arial" w:eastAsia="Arial" w:hAnsi="Arial"/>
                <w:sz w:val="18"/>
                <w:szCs w:val="18"/>
                <w:color w:val="auto"/>
              </w:rPr>
              <w:t>required for payout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00" w:type="dxa"/>
            <w:vAlign w:val="bottom"/>
            <w:tcBorders>
              <w:right w:val="single" w:sz="8" w:color="939598"/>
            </w:tcBorders>
          </w:tcPr>
          <w:p>
            <w:pPr>
              <w:spacing w:after="0"/>
              <w:rPr>
                <w:sz w:val="12"/>
                <w:szCs w:val="12"/>
                <w:color w:val="auto"/>
              </w:rPr>
            </w:pPr>
          </w:p>
        </w:tc>
        <w:tc>
          <w:tcPr>
            <w:tcW w:w="2760" w:type="dxa"/>
            <w:vAlign w:val="bottom"/>
            <w:tcBorders>
              <w:right w:val="single" w:sz="8" w:color="939598"/>
            </w:tcBorders>
          </w:tcPr>
          <w:p>
            <w:pPr>
              <w:spacing w:after="0"/>
              <w:rPr>
                <w:sz w:val="12"/>
                <w:szCs w:val="12"/>
                <w:color w:val="auto"/>
              </w:rPr>
            </w:pPr>
          </w:p>
        </w:tc>
        <w:tc>
          <w:tcPr>
            <w:tcW w:w="2780" w:type="dxa"/>
            <w:vAlign w:val="bottom"/>
            <w:tcBorders>
              <w:right w:val="single" w:sz="8" w:color="939598"/>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939598"/>
            </w:tcBorders>
          </w:tcPr>
          <w:p>
            <w:pPr>
              <w:spacing w:after="0"/>
              <w:rPr>
                <w:sz w:val="2"/>
                <w:szCs w:val="2"/>
                <w:color w:val="auto"/>
              </w:rPr>
            </w:pPr>
          </w:p>
        </w:tc>
        <w:tc>
          <w:tcPr>
            <w:tcW w:w="1500" w:type="dxa"/>
            <w:vAlign w:val="bottom"/>
            <w:tcBorders>
              <w:bottom w:val="single" w:sz="8" w:color="939598"/>
              <w:right w:val="single" w:sz="8" w:color="939598"/>
            </w:tcBorders>
          </w:tcPr>
          <w:p>
            <w:pPr>
              <w:spacing w:after="0"/>
              <w:rPr>
                <w:sz w:val="2"/>
                <w:szCs w:val="2"/>
                <w:color w:val="auto"/>
              </w:rPr>
            </w:pPr>
          </w:p>
        </w:tc>
        <w:tc>
          <w:tcPr>
            <w:tcW w:w="2760" w:type="dxa"/>
            <w:vAlign w:val="bottom"/>
            <w:tcBorders>
              <w:bottom w:val="single" w:sz="8" w:color="939598"/>
              <w:right w:val="single" w:sz="8" w:color="939598"/>
            </w:tcBorders>
          </w:tcPr>
          <w:p>
            <w:pPr>
              <w:spacing w:after="0"/>
              <w:rPr>
                <w:sz w:val="2"/>
                <w:szCs w:val="2"/>
                <w:color w:val="auto"/>
              </w:rPr>
            </w:pPr>
          </w:p>
        </w:tc>
        <w:tc>
          <w:tcPr>
            <w:tcW w:w="2780" w:type="dxa"/>
            <w:vAlign w:val="bottom"/>
            <w:tcBorders>
              <w:bottom w:val="single" w:sz="8" w:color="939598"/>
              <w:right w:val="single" w:sz="8" w:color="939598"/>
            </w:tcBorders>
          </w:tcPr>
          <w:p>
            <w:pPr>
              <w:spacing w:after="0"/>
              <w:rPr>
                <w:sz w:val="2"/>
                <w:szCs w:val="2"/>
                <w:color w:val="auto"/>
              </w:rPr>
            </w:pPr>
          </w:p>
        </w:tc>
        <w:tc>
          <w:tcPr>
            <w:tcW w:w="29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Annual</w:t>
            </w: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TSR PRSUs</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Align executive officer and</w:t>
            </w:r>
          </w:p>
        </w:tc>
        <w:tc>
          <w:tcPr>
            <w:tcW w:w="278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Cumulative three-year period</w:t>
            </w:r>
          </w:p>
        </w:tc>
        <w:tc>
          <w:tcPr>
            <w:tcW w:w="290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Relative TSR compared to</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Long-Term</w:t>
            </w:r>
          </w:p>
        </w:tc>
        <w:tc>
          <w:tcPr>
            <w:tcW w:w="1500" w:type="dxa"/>
            <w:vAlign w:val="bottom"/>
            <w:tcBorders>
              <w:right w:val="single" w:sz="8" w:color="939598"/>
            </w:tcBorders>
          </w:tcPr>
          <w:p>
            <w:pPr>
              <w:spacing w:after="0"/>
              <w:rPr>
                <w:sz w:val="18"/>
                <w:szCs w:val="18"/>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shareholder interests to drive</w:t>
            </w:r>
          </w:p>
        </w:tc>
        <w:tc>
          <w:tcPr>
            <w:tcW w:w="2780" w:type="dxa"/>
            <w:vAlign w:val="bottom"/>
            <w:tcBorders>
              <w:right w:val="single" w:sz="8" w:color="939598"/>
            </w:tcBorders>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comparator group</w:t>
            </w:r>
          </w:p>
        </w:tc>
        <w:tc>
          <w:tcPr>
            <w:tcW w:w="0" w:type="dxa"/>
            <w:vAlign w:val="bottom"/>
          </w:tcPr>
          <w:p>
            <w:pPr>
              <w:spacing w:after="0"/>
              <w:rPr>
                <w:sz w:val="1"/>
                <w:szCs w:val="1"/>
                <w:color w:val="auto"/>
              </w:rPr>
            </w:pPr>
          </w:p>
        </w:tc>
      </w:tr>
      <w:tr>
        <w:trPr>
          <w:trHeight w:val="24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Incentives</w:t>
            </w:r>
          </w:p>
        </w:tc>
        <w:tc>
          <w:tcPr>
            <w:tcW w:w="1500" w:type="dxa"/>
            <w:vAlign w:val="bottom"/>
            <w:tcBorders>
              <w:right w:val="single" w:sz="8" w:color="939598"/>
            </w:tcBorders>
          </w:tcPr>
          <w:p>
            <w:pPr>
              <w:spacing w:after="0"/>
              <w:rPr>
                <w:sz w:val="21"/>
                <w:szCs w:val="21"/>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superior relative TSR results</w:t>
            </w:r>
          </w:p>
        </w:tc>
        <w:tc>
          <w:tcPr>
            <w:tcW w:w="2780" w:type="dxa"/>
            <w:vAlign w:val="bottom"/>
            <w:tcBorders>
              <w:right w:val="single" w:sz="8" w:color="939598"/>
            </w:tcBorders>
          </w:tcPr>
          <w:p>
            <w:pPr>
              <w:spacing w:after="0"/>
              <w:rPr>
                <w:sz w:val="21"/>
                <w:szCs w:val="21"/>
                <w:color w:val="auto"/>
              </w:rPr>
            </w:pPr>
          </w:p>
        </w:tc>
        <w:tc>
          <w:tcPr>
            <w:tcW w:w="2900" w:type="dxa"/>
            <w:vAlign w:val="bottom"/>
            <w:vMerge w:val="restart"/>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Payouts capped at target if</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500" w:type="dxa"/>
            <w:vAlign w:val="bottom"/>
            <w:tcBorders>
              <w:right w:val="single" w:sz="8" w:color="939598"/>
            </w:tcBorders>
          </w:tcPr>
          <w:p>
            <w:pPr>
              <w:spacing w:after="0"/>
              <w:rPr>
                <w:sz w:val="4"/>
                <w:szCs w:val="4"/>
                <w:color w:val="auto"/>
              </w:rPr>
            </w:pPr>
          </w:p>
        </w:tc>
        <w:tc>
          <w:tcPr>
            <w:tcW w:w="2760" w:type="dxa"/>
            <w:vAlign w:val="bottom"/>
            <w:tcBorders>
              <w:right w:val="single" w:sz="8" w:color="939598"/>
            </w:tcBorders>
          </w:tcPr>
          <w:p>
            <w:pPr>
              <w:spacing w:after="0"/>
              <w:rPr>
                <w:sz w:val="4"/>
                <w:szCs w:val="4"/>
                <w:color w:val="auto"/>
              </w:rPr>
            </w:pPr>
          </w:p>
        </w:tc>
        <w:tc>
          <w:tcPr>
            <w:tcW w:w="2780" w:type="dxa"/>
            <w:vAlign w:val="bottom"/>
            <w:tcBorders>
              <w:right w:val="single" w:sz="8" w:color="939598"/>
            </w:tcBorders>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spacing w:after="0"/>
              <w:rPr>
                <w:sz w:val="20"/>
                <w:szCs w:val="20"/>
                <w:color w:val="auto"/>
              </w:rPr>
            </w:pPr>
          </w:p>
        </w:tc>
        <w:tc>
          <w:tcPr>
            <w:tcW w:w="2780" w:type="dxa"/>
            <w:vAlign w:val="bottom"/>
            <w:tcBorders>
              <w:right w:val="single" w:sz="8" w:color="939598"/>
            </w:tcBorders>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absolute TSR is negative</w:t>
            </w:r>
          </w:p>
        </w:tc>
        <w:tc>
          <w:tcPr>
            <w:tcW w:w="0" w:type="dxa"/>
            <w:vAlign w:val="bottom"/>
          </w:tcPr>
          <w:p>
            <w:pPr>
              <w:spacing w:after="0"/>
              <w:rPr>
                <w:sz w:val="1"/>
                <w:szCs w:val="1"/>
                <w:color w:val="auto"/>
              </w:rPr>
            </w:pPr>
          </w:p>
        </w:tc>
      </w:tr>
      <w:tr>
        <w:trPr>
          <w:trHeight w:val="77"/>
        </w:trPr>
        <w:tc>
          <w:tcPr>
            <w:tcW w:w="1300" w:type="dxa"/>
            <w:vAlign w:val="bottom"/>
          </w:tcPr>
          <w:p>
            <w:pPr>
              <w:spacing w:after="0"/>
              <w:rPr>
                <w:sz w:val="6"/>
                <w:szCs w:val="6"/>
                <w:color w:val="auto"/>
              </w:rPr>
            </w:pPr>
          </w:p>
        </w:tc>
        <w:tc>
          <w:tcPr>
            <w:tcW w:w="1500" w:type="dxa"/>
            <w:vAlign w:val="bottom"/>
            <w:tcBorders>
              <w:bottom w:val="single" w:sz="8" w:color="939598"/>
              <w:right w:val="single" w:sz="8" w:color="939598"/>
            </w:tcBorders>
          </w:tcPr>
          <w:p>
            <w:pPr>
              <w:spacing w:after="0"/>
              <w:rPr>
                <w:sz w:val="6"/>
                <w:szCs w:val="6"/>
                <w:color w:val="auto"/>
              </w:rPr>
            </w:pPr>
          </w:p>
        </w:tc>
        <w:tc>
          <w:tcPr>
            <w:tcW w:w="2760" w:type="dxa"/>
            <w:vAlign w:val="bottom"/>
            <w:tcBorders>
              <w:bottom w:val="single" w:sz="8" w:color="939598"/>
              <w:right w:val="single" w:sz="8" w:color="939598"/>
            </w:tcBorders>
          </w:tcPr>
          <w:p>
            <w:pPr>
              <w:spacing w:after="0"/>
              <w:rPr>
                <w:sz w:val="6"/>
                <w:szCs w:val="6"/>
                <w:color w:val="auto"/>
              </w:rPr>
            </w:pPr>
          </w:p>
        </w:tc>
        <w:tc>
          <w:tcPr>
            <w:tcW w:w="2780" w:type="dxa"/>
            <w:vAlign w:val="bottom"/>
            <w:tcBorders>
              <w:bottom w:val="single" w:sz="8" w:color="939598"/>
              <w:right w:val="single" w:sz="8" w:color="939598"/>
            </w:tcBorders>
          </w:tcPr>
          <w:p>
            <w:pPr>
              <w:spacing w:after="0"/>
              <w:rPr>
                <w:sz w:val="6"/>
                <w:szCs w:val="6"/>
                <w:color w:val="auto"/>
              </w:rPr>
            </w:pPr>
          </w:p>
        </w:tc>
        <w:tc>
          <w:tcPr>
            <w:tcW w:w="290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9"/>
              </w:rPr>
              <w:t>Financial</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Align executive officer and</w:t>
            </w:r>
          </w:p>
        </w:tc>
        <w:tc>
          <w:tcPr>
            <w:tcW w:w="278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One-year, two-year</w:t>
            </w:r>
          </w:p>
        </w:tc>
        <w:tc>
          <w:tcPr>
            <w:tcW w:w="290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Non-GAAP operating profit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rPr>
              <w:t>Metric PRSUs</w:t>
            </w: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shareholder interests with</w:t>
            </w:r>
          </w:p>
        </w:tc>
        <w:tc>
          <w:tcPr>
            <w:tcW w:w="278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cumulative and three-year</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long-term profitability</w:t>
            </w:r>
          </w:p>
        </w:tc>
        <w:tc>
          <w:tcPr>
            <w:tcW w:w="278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cumulative time periods</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1300" w:type="dxa"/>
            <w:vAlign w:val="bottom"/>
          </w:tcPr>
          <w:p>
            <w:pPr>
              <w:spacing w:after="0"/>
              <w:rPr>
                <w:sz w:val="24"/>
                <w:szCs w:val="24"/>
                <w:color w:val="auto"/>
              </w:rPr>
            </w:pPr>
          </w:p>
        </w:tc>
        <w:tc>
          <w:tcPr>
            <w:tcW w:w="1500" w:type="dxa"/>
            <w:vAlign w:val="bottom"/>
            <w:tcBorders>
              <w:bottom w:val="single" w:sz="8" w:color="939598"/>
              <w:right w:val="single" w:sz="8" w:color="939598"/>
            </w:tcBorders>
          </w:tcPr>
          <w:p>
            <w:pPr>
              <w:spacing w:after="0"/>
              <w:rPr>
                <w:sz w:val="24"/>
                <w:szCs w:val="24"/>
                <w:color w:val="auto"/>
              </w:rPr>
            </w:pPr>
          </w:p>
        </w:tc>
        <w:tc>
          <w:tcPr>
            <w:tcW w:w="2760" w:type="dxa"/>
            <w:vAlign w:val="bottom"/>
            <w:tcBorders>
              <w:bottom w:val="single" w:sz="8" w:color="939598"/>
              <w:right w:val="single" w:sz="8" w:color="939598"/>
            </w:tcBorders>
          </w:tcPr>
          <w:p>
            <w:pPr>
              <w:spacing w:after="0"/>
              <w:rPr>
                <w:sz w:val="24"/>
                <w:szCs w:val="24"/>
                <w:color w:val="auto"/>
              </w:rPr>
            </w:pPr>
          </w:p>
        </w:tc>
        <w:tc>
          <w:tcPr>
            <w:tcW w:w="2780" w:type="dxa"/>
            <w:vAlign w:val="bottom"/>
            <w:tcBorders>
              <w:bottom w:val="single" w:sz="8" w:color="939598"/>
              <w:right w:val="single" w:sz="8" w:color="939598"/>
            </w:tcBorders>
          </w:tcPr>
          <w:p>
            <w:pPr>
              <w:spacing w:after="0"/>
              <w:rPr>
                <w:sz w:val="24"/>
                <w:szCs w:val="24"/>
                <w:color w:val="auto"/>
              </w:rPr>
            </w:pPr>
          </w:p>
        </w:tc>
        <w:tc>
          <w:tcPr>
            <w:tcW w:w="29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1500" w:type="dxa"/>
            <w:vAlign w:val="bottom"/>
            <w:tcBorders>
              <w:right w:val="single" w:sz="8" w:color="939598"/>
            </w:tcBorders>
          </w:tcPr>
          <w:p>
            <w:pPr>
              <w:jc w:val="center"/>
              <w:spacing w:after="0"/>
              <w:rPr>
                <w:sz w:val="20"/>
                <w:szCs w:val="20"/>
                <w:color w:val="auto"/>
              </w:rPr>
            </w:pPr>
            <w:r>
              <w:rPr>
                <w:rFonts w:ascii="Arial" w:cs="Arial" w:eastAsia="Arial" w:hAnsi="Arial"/>
                <w:sz w:val="18"/>
                <w:szCs w:val="18"/>
                <w:color w:val="auto"/>
                <w:w w:val="97"/>
              </w:rPr>
              <w:t>RSUs</w:t>
            </w:r>
          </w:p>
        </w:tc>
        <w:tc>
          <w:tcPr>
            <w:tcW w:w="2760" w:type="dxa"/>
            <w:vAlign w:val="bottom"/>
            <w:tcBorders>
              <w:right w:val="single" w:sz="8" w:color="939598"/>
            </w:tcBorders>
          </w:tcPr>
          <w:p>
            <w:pPr>
              <w:ind w:left="1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Attract and retain key</w:t>
            </w:r>
          </w:p>
        </w:tc>
        <w:tc>
          <w:tcPr>
            <w:tcW w:w="2780" w:type="dxa"/>
            <w:vAlign w:val="bottom"/>
            <w:tcBorders>
              <w:right w:val="single" w:sz="8" w:color="939598"/>
            </w:tcBorders>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Four-year graded vesting</w:t>
            </w:r>
          </w:p>
        </w:tc>
        <w:tc>
          <w:tcPr>
            <w:tcW w:w="2900" w:type="dxa"/>
            <w:vAlign w:val="bottom"/>
          </w:tcPr>
          <w:p>
            <w:pPr>
              <w:ind w:left="14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500" w:type="dxa"/>
            <w:vAlign w:val="bottom"/>
            <w:tcBorders>
              <w:right w:val="single" w:sz="8" w:color="939598"/>
            </w:tcBorders>
          </w:tcPr>
          <w:p>
            <w:pPr>
              <w:spacing w:after="0"/>
              <w:rPr>
                <w:sz w:val="20"/>
                <w:szCs w:val="20"/>
                <w:color w:val="auto"/>
              </w:rPr>
            </w:pPr>
          </w:p>
        </w:tc>
        <w:tc>
          <w:tcPr>
            <w:tcW w:w="2760" w:type="dxa"/>
            <w:vAlign w:val="bottom"/>
            <w:tcBorders>
              <w:right w:val="single" w:sz="8" w:color="939598"/>
            </w:tcBorders>
          </w:tcPr>
          <w:p>
            <w:pPr>
              <w:ind w:left="340"/>
              <w:spacing w:after="0"/>
              <w:rPr>
                <w:sz w:val="20"/>
                <w:szCs w:val="20"/>
                <w:color w:val="auto"/>
              </w:rPr>
            </w:pPr>
            <w:r>
              <w:rPr>
                <w:rFonts w:ascii="Arial" w:cs="Arial" w:eastAsia="Arial" w:hAnsi="Arial"/>
                <w:sz w:val="18"/>
                <w:szCs w:val="18"/>
                <w:color w:val="auto"/>
              </w:rPr>
              <w:t>executives</w:t>
            </w:r>
          </w:p>
        </w:tc>
        <w:tc>
          <w:tcPr>
            <w:tcW w:w="2780" w:type="dxa"/>
            <w:vAlign w:val="bottom"/>
            <w:tcBorders>
              <w:right w:val="single" w:sz="8" w:color="939598"/>
            </w:tcBorders>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2800" w:type="dxa"/>
            <w:vAlign w:val="bottom"/>
            <w:tcBorders>
              <w:bottom w:val="single" w:sz="8" w:color="0067B3"/>
              <w:right w:val="single" w:sz="8" w:color="939598"/>
            </w:tcBorders>
            <w:gridSpan w:val="2"/>
          </w:tcPr>
          <w:p>
            <w:pPr>
              <w:spacing w:after="0"/>
              <w:rPr>
                <w:sz w:val="24"/>
                <w:szCs w:val="24"/>
                <w:color w:val="auto"/>
              </w:rPr>
            </w:pPr>
          </w:p>
        </w:tc>
        <w:tc>
          <w:tcPr>
            <w:tcW w:w="2760" w:type="dxa"/>
            <w:vAlign w:val="bottom"/>
            <w:tcBorders>
              <w:bottom w:val="single" w:sz="8" w:color="0067B3"/>
              <w:right w:val="single" w:sz="8" w:color="939598"/>
            </w:tcBorders>
          </w:tcPr>
          <w:p>
            <w:pPr>
              <w:spacing w:after="0"/>
              <w:rPr>
                <w:sz w:val="24"/>
                <w:szCs w:val="24"/>
                <w:color w:val="auto"/>
              </w:rPr>
            </w:pPr>
          </w:p>
        </w:tc>
        <w:tc>
          <w:tcPr>
            <w:tcW w:w="2780" w:type="dxa"/>
            <w:vAlign w:val="bottom"/>
            <w:tcBorders>
              <w:bottom w:val="single" w:sz="8" w:color="0067B3"/>
              <w:right w:val="single" w:sz="8" w:color="939598"/>
            </w:tcBorders>
          </w:tcPr>
          <w:p>
            <w:pPr>
              <w:spacing w:after="0"/>
              <w:rPr>
                <w:sz w:val="24"/>
                <w:szCs w:val="24"/>
                <w:color w:val="auto"/>
              </w:rPr>
            </w:pPr>
          </w:p>
        </w:tc>
        <w:tc>
          <w:tcPr>
            <w:tcW w:w="2900" w:type="dxa"/>
            <w:vAlign w:val="bottom"/>
            <w:tcBorders>
              <w:bottom w:val="single" w:sz="8" w:color="0067B3"/>
            </w:tcBorders>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800" w:type="dxa"/>
            <w:vAlign w:val="bottom"/>
            <w:gridSpan w:val="2"/>
          </w:tcPr>
          <w:p>
            <w:pPr>
              <w:spacing w:after="0"/>
              <w:rPr>
                <w:sz w:val="20"/>
                <w:szCs w:val="20"/>
                <w:color w:val="auto"/>
              </w:rPr>
            </w:pPr>
            <w:r>
              <w:rPr>
                <w:rFonts w:ascii="Arial" w:cs="Arial" w:eastAsia="Arial" w:hAnsi="Arial"/>
                <w:sz w:val="16"/>
                <w:szCs w:val="16"/>
                <w:color w:val="auto"/>
              </w:rPr>
              <w:t>OPBT = Operating Profit Before Taxes</w:t>
            </w:r>
          </w:p>
        </w:tc>
        <w:tc>
          <w:tcPr>
            <w:tcW w:w="2760" w:type="dxa"/>
            <w:vAlign w:val="bottom"/>
          </w:tcPr>
          <w:p>
            <w:pPr>
              <w:ind w:left="400"/>
              <w:spacing w:after="0"/>
              <w:rPr>
                <w:sz w:val="20"/>
                <w:szCs w:val="20"/>
                <w:color w:val="auto"/>
              </w:rPr>
            </w:pPr>
            <w:r>
              <w:rPr>
                <w:rFonts w:ascii="Arial" w:cs="Arial" w:eastAsia="Arial" w:hAnsi="Arial"/>
                <w:sz w:val="16"/>
                <w:szCs w:val="16"/>
                <w:color w:val="auto"/>
              </w:rPr>
              <w:t>TSR = Total Shareholder Return</w:t>
            </w:r>
          </w:p>
        </w:tc>
        <w:tc>
          <w:tcPr>
            <w:tcW w:w="2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-2218690</wp:posOffset>
            </wp:positionV>
            <wp:extent cx="394335" cy="39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-1403985</wp:posOffset>
            </wp:positionV>
            <wp:extent cx="394335"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-727075</wp:posOffset>
            </wp:positionV>
            <wp:extent cx="394335" cy="394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Pay and Governance Best Practices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pay and governance practices are designed to align our executive officers’ interests with those of our shareholders.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297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29743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FFFFFF"/>
        </w:rPr>
        <w:t>WHAT WE DO</w:t>
      </w:r>
    </w:p>
    <w:p>
      <w:pPr>
        <w:spacing w:after="0" w:line="212" w:lineRule="exact"/>
        <w:rPr>
          <w:sz w:val="20"/>
          <w:szCs w:val="20"/>
          <w:color w:val="auto"/>
        </w:rPr>
      </w:pPr>
    </w:p>
    <w:p>
      <w:pPr>
        <w:ind w:left="180" w:hanging="154"/>
        <w:spacing w:after="0"/>
        <w:tabs>
          <w:tab w:leader="none" w:pos="180"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Review compensation practices of peers aligned with ADI’s business</w:t>
      </w:r>
    </w:p>
    <w:p>
      <w:pPr>
        <w:spacing w:after="0" w:line="76" w:lineRule="exact"/>
        <w:rPr>
          <w:rFonts w:ascii="Arial" w:cs="Arial" w:eastAsia="Arial" w:hAnsi="Arial"/>
          <w:sz w:val="18"/>
          <w:szCs w:val="18"/>
          <w:color w:val="0067B3"/>
        </w:rPr>
      </w:pPr>
    </w:p>
    <w:p>
      <w:pPr>
        <w:ind w:left="180" w:hanging="154"/>
        <w:spacing w:after="0"/>
        <w:tabs>
          <w:tab w:leader="none" w:pos="180"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Provide for annual cash incentives that are based solely on our financial performance</w:t>
      </w:r>
    </w:p>
    <w:p>
      <w:pPr>
        <w:spacing w:after="0" w:line="90" w:lineRule="exact"/>
        <w:rPr>
          <w:rFonts w:ascii="Arial" w:cs="Arial" w:eastAsia="Arial" w:hAnsi="Arial"/>
          <w:sz w:val="18"/>
          <w:szCs w:val="18"/>
          <w:color w:val="0067B3"/>
        </w:rPr>
      </w:pPr>
    </w:p>
    <w:p>
      <w:pPr>
        <w:ind w:left="220" w:right="18" w:hanging="194"/>
        <w:spacing w:after="0" w:line="287" w:lineRule="auto"/>
        <w:tabs>
          <w:tab w:leader="none" w:pos="183"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Design compensation programs to align a significant portion of equity awards to long-term performance achievement</w:t>
      </w:r>
    </w:p>
    <w:p>
      <w:pPr>
        <w:spacing w:after="0" w:line="4" w:lineRule="exact"/>
        <w:rPr>
          <w:rFonts w:ascii="Arial" w:cs="Arial" w:eastAsia="Arial" w:hAnsi="Arial"/>
          <w:sz w:val="18"/>
          <w:szCs w:val="18"/>
          <w:color w:val="0067B3"/>
        </w:rPr>
      </w:pPr>
    </w:p>
    <w:p>
      <w:pPr>
        <w:ind w:left="180" w:hanging="154"/>
        <w:spacing w:after="0"/>
        <w:tabs>
          <w:tab w:leader="none" w:pos="180"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Tie Incentive awards to rigorous performance targets aligned with our corporate strategy</w:t>
      </w:r>
    </w:p>
    <w:p>
      <w:pPr>
        <w:spacing w:after="0" w:line="76" w:lineRule="exact"/>
        <w:rPr>
          <w:rFonts w:ascii="Arial" w:cs="Arial" w:eastAsia="Arial" w:hAnsi="Arial"/>
          <w:sz w:val="18"/>
          <w:szCs w:val="18"/>
          <w:color w:val="0067B3"/>
        </w:rPr>
      </w:pPr>
    </w:p>
    <w:p>
      <w:pPr>
        <w:ind w:left="180" w:hanging="154"/>
        <w:spacing w:after="0"/>
        <w:tabs>
          <w:tab w:leader="none" w:pos="180"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Cap payouts for relative TSR-based awards for instances of negative absolute TSR</w:t>
      </w:r>
    </w:p>
    <w:p>
      <w:pPr>
        <w:spacing w:after="0" w:line="90" w:lineRule="exact"/>
        <w:rPr>
          <w:rFonts w:ascii="Arial" w:cs="Arial" w:eastAsia="Arial" w:hAnsi="Arial"/>
          <w:sz w:val="18"/>
          <w:szCs w:val="18"/>
          <w:color w:val="0067B3"/>
        </w:rPr>
      </w:pPr>
    </w:p>
    <w:p>
      <w:pPr>
        <w:ind w:left="220" w:right="18" w:hanging="194"/>
        <w:spacing w:after="0" w:line="268" w:lineRule="auto"/>
        <w:tabs>
          <w:tab w:leader="none" w:pos="183"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Provide for compensation clawbacks pursuant to a clawback policy for our CEO and other named executive officers in the event of a material financial restatement due to fraud or willful misconduct</w:t>
      </w:r>
    </w:p>
    <w:p>
      <w:pPr>
        <w:spacing w:after="0" w:line="22" w:lineRule="exact"/>
        <w:rPr>
          <w:rFonts w:ascii="Arial" w:cs="Arial" w:eastAsia="Arial" w:hAnsi="Arial"/>
          <w:sz w:val="18"/>
          <w:szCs w:val="18"/>
          <w:color w:val="0067B3"/>
        </w:rPr>
      </w:pPr>
    </w:p>
    <w:p>
      <w:pPr>
        <w:ind w:left="220" w:right="338" w:hanging="194"/>
        <w:spacing w:after="0" w:line="287" w:lineRule="auto"/>
        <w:tabs>
          <w:tab w:leader="none" w:pos="183"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Require significant share ownership by executive officers pursuant to stock ownership guidelines</w:t>
      </w:r>
    </w:p>
    <w:p>
      <w:pPr>
        <w:spacing w:after="0" w:line="4" w:lineRule="exact"/>
        <w:rPr>
          <w:rFonts w:ascii="Arial" w:cs="Arial" w:eastAsia="Arial" w:hAnsi="Arial"/>
          <w:sz w:val="18"/>
          <w:szCs w:val="18"/>
          <w:color w:val="0067B3"/>
        </w:rPr>
      </w:pPr>
    </w:p>
    <w:p>
      <w:pPr>
        <w:ind w:left="180" w:hanging="154"/>
        <w:spacing w:after="0"/>
        <w:tabs>
          <w:tab w:leader="none" w:pos="180" w:val="left"/>
        </w:tabs>
        <w:numPr>
          <w:ilvl w:val="0"/>
          <w:numId w:val="70"/>
        </w:numPr>
        <w:rPr>
          <w:rFonts w:ascii="Arial" w:cs="Arial" w:eastAsia="Arial" w:hAnsi="Arial"/>
          <w:sz w:val="18"/>
          <w:szCs w:val="18"/>
          <w:color w:val="0067B3"/>
        </w:rPr>
      </w:pPr>
      <w:r>
        <w:rPr>
          <w:rFonts w:ascii="Arial" w:cs="Arial" w:eastAsia="Arial" w:hAnsi="Arial"/>
          <w:sz w:val="18"/>
          <w:szCs w:val="18"/>
          <w:color w:val="auto"/>
        </w:rPr>
        <w:t>Conduct an annual “say-on-pay” vote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82"/>
        <w:spacing w:after="0"/>
        <w:rPr>
          <w:sz w:val="20"/>
          <w:szCs w:val="20"/>
          <w:color w:val="auto"/>
        </w:rPr>
      </w:pPr>
      <w:r>
        <w:rPr>
          <w:rFonts w:ascii="Arial" w:cs="Arial" w:eastAsia="Arial" w:hAnsi="Arial"/>
          <w:sz w:val="18"/>
          <w:szCs w:val="18"/>
          <w:b w:val="1"/>
          <w:bCs w:val="1"/>
          <w:color w:val="FFFFFF"/>
        </w:rPr>
        <w:t>WHAT WE DON’T DO</w:t>
      </w:r>
    </w:p>
    <w:p>
      <w:pPr>
        <w:spacing w:after="0" w:line="212" w:lineRule="exact"/>
        <w:rPr>
          <w:sz w:val="20"/>
          <w:szCs w:val="20"/>
          <w:color w:val="auto"/>
        </w:rPr>
      </w:pPr>
    </w:p>
    <w:p>
      <w:pPr>
        <w:ind w:left="202" w:right="820" w:hanging="202"/>
        <w:spacing w:after="0" w:line="287" w:lineRule="auto"/>
        <w:tabs>
          <w:tab w:leader="none" w:pos="164" w:val="left"/>
        </w:tabs>
        <w:numPr>
          <w:ilvl w:val="0"/>
          <w:numId w:val="71"/>
        </w:numPr>
        <w:rPr>
          <w:rFonts w:ascii="Arial" w:cs="Arial" w:eastAsia="Arial" w:hAnsi="Arial"/>
          <w:sz w:val="18"/>
          <w:szCs w:val="18"/>
          <w:color w:val="0067B3"/>
        </w:rPr>
      </w:pPr>
      <w:r>
        <w:rPr>
          <w:rFonts w:ascii="Arial" w:cs="Arial" w:eastAsia="Arial" w:hAnsi="Arial"/>
          <w:sz w:val="18"/>
          <w:szCs w:val="18"/>
          <w:color w:val="auto"/>
        </w:rPr>
        <w:t>No hedging and pledging of ADI securities</w:t>
      </w:r>
    </w:p>
    <w:p>
      <w:pPr>
        <w:spacing w:after="0" w:line="4" w:lineRule="exact"/>
        <w:rPr>
          <w:rFonts w:ascii="Arial" w:cs="Arial" w:eastAsia="Arial" w:hAnsi="Arial"/>
          <w:sz w:val="18"/>
          <w:szCs w:val="18"/>
          <w:color w:val="0067B3"/>
        </w:rPr>
      </w:pPr>
    </w:p>
    <w:p>
      <w:pPr>
        <w:ind w:left="202" w:right="520" w:hanging="202"/>
        <w:spacing w:after="0" w:line="287" w:lineRule="auto"/>
        <w:tabs>
          <w:tab w:leader="none" w:pos="164" w:val="left"/>
        </w:tabs>
        <w:numPr>
          <w:ilvl w:val="0"/>
          <w:numId w:val="71"/>
        </w:numPr>
        <w:rPr>
          <w:rFonts w:ascii="Arial" w:cs="Arial" w:eastAsia="Arial" w:hAnsi="Arial"/>
          <w:sz w:val="18"/>
          <w:szCs w:val="18"/>
          <w:color w:val="0067B3"/>
        </w:rPr>
      </w:pPr>
      <w:r>
        <w:rPr>
          <w:rFonts w:ascii="Arial" w:cs="Arial" w:eastAsia="Arial" w:hAnsi="Arial"/>
          <w:sz w:val="18"/>
          <w:szCs w:val="18"/>
          <w:color w:val="auto"/>
        </w:rPr>
        <w:t>No excessive perquisites to our executive officers</w:t>
      </w:r>
    </w:p>
    <w:p>
      <w:pPr>
        <w:spacing w:after="0" w:line="17" w:lineRule="exact"/>
        <w:rPr>
          <w:rFonts w:ascii="Arial" w:cs="Arial" w:eastAsia="Arial" w:hAnsi="Arial"/>
          <w:sz w:val="18"/>
          <w:szCs w:val="18"/>
          <w:color w:val="0067B3"/>
        </w:rPr>
      </w:pPr>
    </w:p>
    <w:p>
      <w:pPr>
        <w:ind w:left="202" w:right="40" w:hanging="202"/>
        <w:spacing w:after="0" w:line="268" w:lineRule="auto"/>
        <w:tabs>
          <w:tab w:leader="none" w:pos="164" w:val="left"/>
        </w:tabs>
        <w:numPr>
          <w:ilvl w:val="0"/>
          <w:numId w:val="71"/>
        </w:numPr>
        <w:rPr>
          <w:rFonts w:ascii="Arial" w:cs="Arial" w:eastAsia="Arial" w:hAnsi="Arial"/>
          <w:sz w:val="18"/>
          <w:szCs w:val="18"/>
          <w:color w:val="0067B3"/>
        </w:rPr>
      </w:pPr>
      <w:r>
        <w:rPr>
          <w:rFonts w:ascii="Arial" w:cs="Arial" w:eastAsia="Arial" w:hAnsi="Arial"/>
          <w:sz w:val="18"/>
          <w:szCs w:val="18"/>
          <w:color w:val="auto"/>
        </w:rPr>
        <w:t>No gross-ups or compensation paid to officers or directors for any income tax owed for approved travel</w:t>
      </w:r>
    </w:p>
    <w:p>
      <w:pPr>
        <w:spacing w:after="0" w:line="1576" w:lineRule="exact"/>
        <w:rPr>
          <w:sz w:val="20"/>
          <w:szCs w:val="20"/>
          <w:color w:val="auto"/>
        </w:rPr>
      </w:pPr>
    </w:p>
    <w:p>
      <w:pPr>
        <w:sectPr>
          <w:pgSz w:w="11900" w:h="16838" w:orient="portrait"/>
          <w:cols w:equalWidth="0" w:num="2">
            <w:col w:w="7338" w:space="720"/>
            <w:col w:w="3182"/>
          </w:cols>
          <w:pgMar w:left="320" w:top="1240"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80" w:hanging="454"/>
        <w:spacing w:after="0"/>
        <w:tabs>
          <w:tab w:leader="none" w:pos="480" w:val="left"/>
        </w:tabs>
        <w:numPr>
          <w:ilvl w:val="0"/>
          <w:numId w:val="72"/>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240"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32"/>
          <w:szCs w:val="32"/>
          <w:b w:val="1"/>
          <w:bCs w:val="1"/>
          <w:color w:val="auto"/>
        </w:rPr>
        <w:t>Process for Determining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Roles and Responsibilities</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part of its annual review of our executive compensation program, including NEO compensation, our Compensation and Talent Committee solicits the input of Mr. Roche and their independent compensation consultant, Pearl Meyer and Partners. Pearl Meyer reports directly to our Compensation and Talent Committee. The roles of our Compensation and Talent Committee, Pearl Meyer and management in setting our fiscal year 2022 executive compensation program are summarized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120" w:type="dxa"/>
            <w:vAlign w:val="bottom"/>
            <w:tcBorders>
              <w:top w:val="single" w:sz="8" w:color="0067B3"/>
            </w:tcBorders>
            <w:shd w:val="clear" w:color="auto" w:fill="0067B3"/>
          </w:tcPr>
          <w:p>
            <w:pPr>
              <w:ind w:left="100"/>
              <w:spacing w:after="0"/>
              <w:rPr>
                <w:sz w:val="20"/>
                <w:szCs w:val="20"/>
                <w:color w:val="auto"/>
              </w:rPr>
            </w:pPr>
            <w:r>
              <w:rPr>
                <w:rFonts w:ascii="Arial" w:cs="Arial" w:eastAsia="Arial" w:hAnsi="Arial"/>
                <w:sz w:val="18"/>
                <w:szCs w:val="18"/>
                <w:b w:val="1"/>
                <w:bCs w:val="1"/>
                <w:color w:val="FFFFFF"/>
              </w:rPr>
              <w:t>Role of the</w:t>
            </w:r>
          </w:p>
        </w:tc>
        <w:tc>
          <w:tcPr>
            <w:tcW w:w="9120" w:type="dxa"/>
            <w:vAlign w:val="bottom"/>
            <w:tcBorders>
              <w:top w:val="single" w:sz="8" w:color="0067B3"/>
            </w:tcBorders>
          </w:tcPr>
          <w:p>
            <w:pPr>
              <w:ind w:left="140"/>
              <w:spacing w:after="0"/>
              <w:rPr>
                <w:sz w:val="20"/>
                <w:szCs w:val="20"/>
                <w:color w:val="auto"/>
              </w:rPr>
            </w:pPr>
            <w:r>
              <w:rPr>
                <w:rFonts w:ascii="Arial" w:cs="Arial" w:eastAsia="Arial" w:hAnsi="Arial"/>
                <w:sz w:val="16"/>
                <w:szCs w:val="16"/>
                <w:color w:val="0067B3"/>
              </w:rPr>
              <w:t xml:space="preserve">Ñ </w:t>
            </w:r>
            <w:r>
              <w:rPr>
                <w:rFonts w:ascii="Arial" w:cs="Arial" w:eastAsia="Arial" w:hAnsi="Arial"/>
                <w:sz w:val="17"/>
                <w:szCs w:val="17"/>
                <w:color w:val="000000"/>
              </w:rPr>
              <w:t>In June 2021, Pearl Meyer and management recommended a peer group of companies for the purpose of</w:t>
            </w:r>
          </w:p>
        </w:tc>
      </w:tr>
      <w:tr>
        <w:trPr>
          <w:trHeight w:val="216"/>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Compensation</w:t>
            </w:r>
          </w:p>
        </w:tc>
        <w:tc>
          <w:tcPr>
            <w:tcW w:w="9120" w:type="dxa"/>
            <w:vAlign w:val="bottom"/>
          </w:tcPr>
          <w:p>
            <w:pPr>
              <w:ind w:left="340"/>
              <w:spacing w:after="0"/>
              <w:rPr>
                <w:sz w:val="20"/>
                <w:szCs w:val="20"/>
                <w:color w:val="auto"/>
              </w:rPr>
            </w:pPr>
            <w:r>
              <w:rPr>
                <w:rFonts w:ascii="Arial" w:cs="Arial" w:eastAsia="Arial" w:hAnsi="Arial"/>
                <w:sz w:val="18"/>
                <w:szCs w:val="18"/>
                <w:color w:val="auto"/>
              </w:rPr>
              <w:t>assessing our executive compensation program, which was approved by the Compensation and</w:t>
            </w:r>
          </w:p>
        </w:tc>
      </w:tr>
      <w:tr>
        <w:trPr>
          <w:trHeight w:val="247"/>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Consultant</w:t>
            </w:r>
          </w:p>
        </w:tc>
        <w:tc>
          <w:tcPr>
            <w:tcW w:w="9120" w:type="dxa"/>
            <w:vAlign w:val="bottom"/>
          </w:tcPr>
          <w:p>
            <w:pPr>
              <w:ind w:left="340"/>
              <w:spacing w:after="0"/>
              <w:rPr>
                <w:sz w:val="20"/>
                <w:szCs w:val="20"/>
                <w:color w:val="auto"/>
              </w:rPr>
            </w:pPr>
            <w:r>
              <w:rPr>
                <w:rFonts w:ascii="Arial" w:cs="Arial" w:eastAsia="Arial" w:hAnsi="Arial"/>
                <w:sz w:val="18"/>
                <w:szCs w:val="18"/>
                <w:color w:val="auto"/>
              </w:rPr>
              <w:t>Talent Committee.</w:t>
            </w:r>
          </w:p>
        </w:tc>
      </w:tr>
      <w:tr>
        <w:trPr>
          <w:trHeight w:val="312"/>
        </w:trPr>
        <w:tc>
          <w:tcPr>
            <w:tcW w:w="2120" w:type="dxa"/>
            <w:vAlign w:val="bottom"/>
            <w:tcBorders>
              <w:bottom w:val="single" w:sz="8" w:color="0067B3"/>
            </w:tcBorders>
            <w:shd w:val="clear" w:color="auto" w:fill="0067B3"/>
          </w:tcPr>
          <w:p>
            <w:pPr>
              <w:spacing w:after="0"/>
              <w:rPr>
                <w:sz w:val="24"/>
                <w:szCs w:val="24"/>
                <w:color w:val="auto"/>
              </w:rPr>
            </w:pPr>
          </w:p>
        </w:tc>
        <w:tc>
          <w:tcPr>
            <w:tcW w:w="9120" w:type="dxa"/>
            <w:vAlign w:val="bottom"/>
            <w:tcBorders>
              <w:bottom w:val="single" w:sz="8" w:color="939598"/>
            </w:tcBorders>
          </w:tcPr>
          <w:p>
            <w:pPr>
              <w:spacing w:after="0"/>
              <w:rPr>
                <w:sz w:val="24"/>
                <w:szCs w:val="24"/>
                <w:color w:val="auto"/>
              </w:rPr>
            </w:pPr>
          </w:p>
        </w:tc>
      </w:tr>
      <w:tr>
        <w:trPr>
          <w:trHeight w:val="258"/>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Role of Management</w:t>
            </w:r>
          </w:p>
        </w:tc>
        <w:tc>
          <w:tcPr>
            <w:tcW w:w="9120" w:type="dxa"/>
            <w:vAlign w:val="bottom"/>
          </w:tcPr>
          <w:p>
            <w:pPr>
              <w:ind w:left="140"/>
              <w:spacing w:after="0"/>
              <w:rPr>
                <w:sz w:val="20"/>
                <w:szCs w:val="20"/>
                <w:color w:val="auto"/>
              </w:rPr>
            </w:pPr>
            <w:r>
              <w:rPr>
                <w:rFonts w:ascii="Arial" w:cs="Arial" w:eastAsia="Arial" w:hAnsi="Arial"/>
                <w:sz w:val="16"/>
                <w:szCs w:val="16"/>
                <w:color w:val="0067B3"/>
              </w:rPr>
              <w:t xml:space="preserve">Ñ </w:t>
            </w:r>
            <w:r>
              <w:rPr>
                <w:rFonts w:ascii="Arial" w:cs="Arial" w:eastAsia="Arial" w:hAnsi="Arial"/>
                <w:sz w:val="17"/>
                <w:szCs w:val="17"/>
                <w:color w:val="000000"/>
              </w:rPr>
              <w:t>Management then gathered data from these companies, which was considered by Pearl Meyer in its analysis</w:t>
            </w:r>
          </w:p>
        </w:tc>
      </w:tr>
      <w:tr>
        <w:trPr>
          <w:trHeight w:val="216"/>
        </w:trPr>
        <w:tc>
          <w:tcPr>
            <w:tcW w:w="2120" w:type="dxa"/>
            <w:vAlign w:val="bottom"/>
            <w:shd w:val="clear" w:color="auto" w:fill="0067B3"/>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of Mr. Roche’s compensation. Further, Mr. Roche considered this information, in addition to data from the</w:t>
            </w:r>
          </w:p>
        </w:tc>
      </w:tr>
      <w:tr>
        <w:trPr>
          <w:trHeight w:val="239"/>
        </w:trPr>
        <w:tc>
          <w:tcPr>
            <w:tcW w:w="2120" w:type="dxa"/>
            <w:vAlign w:val="bottom"/>
            <w:shd w:val="clear" w:color="auto" w:fill="0067B3"/>
          </w:tcPr>
          <w:p>
            <w:pPr>
              <w:spacing w:after="0"/>
              <w:rPr>
                <w:sz w:val="20"/>
                <w:szCs w:val="20"/>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Radford Global Technology Survey, in his recommendations on our other executive officers’ compensation.</w:t>
            </w:r>
          </w:p>
        </w:tc>
      </w:tr>
      <w:tr>
        <w:trPr>
          <w:trHeight w:val="77"/>
        </w:trPr>
        <w:tc>
          <w:tcPr>
            <w:tcW w:w="2120" w:type="dxa"/>
            <w:vAlign w:val="bottom"/>
            <w:tcBorders>
              <w:bottom w:val="single" w:sz="8" w:color="0067B3"/>
            </w:tcBorders>
            <w:shd w:val="clear" w:color="auto" w:fill="0067B3"/>
          </w:tcPr>
          <w:p>
            <w:pPr>
              <w:spacing w:after="0"/>
              <w:rPr>
                <w:sz w:val="6"/>
                <w:szCs w:val="6"/>
                <w:color w:val="auto"/>
              </w:rPr>
            </w:pPr>
          </w:p>
        </w:tc>
        <w:tc>
          <w:tcPr>
            <w:tcW w:w="9120" w:type="dxa"/>
            <w:vAlign w:val="bottom"/>
            <w:tcBorders>
              <w:bottom w:val="single" w:sz="8" w:color="939598"/>
            </w:tcBorders>
          </w:tcPr>
          <w:p>
            <w:pPr>
              <w:spacing w:after="0"/>
              <w:rPr>
                <w:sz w:val="6"/>
                <w:szCs w:val="6"/>
                <w:color w:val="auto"/>
              </w:rPr>
            </w:pPr>
          </w:p>
        </w:tc>
      </w:tr>
      <w:tr>
        <w:trPr>
          <w:trHeight w:val="258"/>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Role of the</w:t>
            </w:r>
          </w:p>
        </w:tc>
        <w:tc>
          <w:tcPr>
            <w:tcW w:w="9120" w:type="dxa"/>
            <w:vAlign w:val="bottom"/>
          </w:tcPr>
          <w:p>
            <w:pPr>
              <w:ind w:left="140"/>
              <w:spacing w:after="0"/>
              <w:rPr>
                <w:sz w:val="20"/>
                <w:szCs w:val="20"/>
                <w:color w:val="auto"/>
              </w:rPr>
            </w:pPr>
            <w:r>
              <w:rPr>
                <w:rFonts w:ascii="Arial" w:cs="Arial" w:eastAsia="Arial" w:hAnsi="Arial"/>
                <w:sz w:val="16"/>
                <w:szCs w:val="16"/>
                <w:color w:val="0067B3"/>
              </w:rPr>
              <w:t xml:space="preserve">Ñ </w:t>
            </w:r>
            <w:r>
              <w:rPr>
                <w:rFonts w:ascii="Arial" w:cs="Arial" w:eastAsia="Arial" w:hAnsi="Arial"/>
                <w:sz w:val="17"/>
                <w:szCs w:val="17"/>
                <w:color w:val="000000"/>
              </w:rPr>
              <w:t>The Compensation and Talent Committee considered Pearl Meyer’s advice, Mr. Roche’s recommendations for</w:t>
            </w:r>
          </w:p>
        </w:tc>
      </w:tr>
      <w:tr>
        <w:trPr>
          <w:trHeight w:val="216"/>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Compensation and</w:t>
            </w:r>
          </w:p>
        </w:tc>
        <w:tc>
          <w:tcPr>
            <w:tcW w:w="9120" w:type="dxa"/>
            <w:vAlign w:val="bottom"/>
          </w:tcPr>
          <w:p>
            <w:pPr>
              <w:ind w:left="340"/>
              <w:spacing w:after="0"/>
              <w:rPr>
                <w:sz w:val="20"/>
                <w:szCs w:val="20"/>
                <w:color w:val="auto"/>
              </w:rPr>
            </w:pPr>
            <w:r>
              <w:rPr>
                <w:rFonts w:ascii="Arial" w:cs="Arial" w:eastAsia="Arial" w:hAnsi="Arial"/>
                <w:sz w:val="18"/>
                <w:szCs w:val="18"/>
                <w:color w:val="auto"/>
              </w:rPr>
              <w:t>those executive officers reporting to him, and management’s proposed fiscal year 2022 performance goals</w:t>
            </w:r>
          </w:p>
        </w:tc>
      </w:tr>
      <w:tr>
        <w:trPr>
          <w:trHeight w:val="216"/>
        </w:trPr>
        <w:tc>
          <w:tcPr>
            <w:tcW w:w="2120" w:type="dxa"/>
            <w:vAlign w:val="bottom"/>
            <w:shd w:val="clear" w:color="auto" w:fill="0067B3"/>
          </w:tcPr>
          <w:p>
            <w:pPr>
              <w:ind w:left="100"/>
              <w:spacing w:after="0"/>
              <w:rPr>
                <w:sz w:val="20"/>
                <w:szCs w:val="20"/>
                <w:color w:val="auto"/>
              </w:rPr>
            </w:pPr>
            <w:r>
              <w:rPr>
                <w:rFonts w:ascii="Arial" w:cs="Arial" w:eastAsia="Arial" w:hAnsi="Arial"/>
                <w:sz w:val="18"/>
                <w:szCs w:val="18"/>
                <w:b w:val="1"/>
                <w:bCs w:val="1"/>
                <w:color w:val="FFFFFF"/>
              </w:rPr>
              <w:t>Talent Committee</w:t>
            </w:r>
          </w:p>
        </w:tc>
        <w:tc>
          <w:tcPr>
            <w:tcW w:w="9120" w:type="dxa"/>
            <w:vAlign w:val="bottom"/>
          </w:tcPr>
          <w:p>
            <w:pPr>
              <w:ind w:left="340"/>
              <w:spacing w:after="0"/>
              <w:rPr>
                <w:sz w:val="20"/>
                <w:szCs w:val="20"/>
                <w:color w:val="auto"/>
              </w:rPr>
            </w:pPr>
            <w:r>
              <w:rPr>
                <w:rFonts w:ascii="Arial" w:cs="Arial" w:eastAsia="Arial" w:hAnsi="Arial"/>
                <w:sz w:val="18"/>
                <w:szCs w:val="18"/>
                <w:color w:val="auto"/>
              </w:rPr>
              <w:t>prior to making its final and sole decision on all fiscal year 2022 executive compensation. At the</w:t>
            </w:r>
          </w:p>
        </w:tc>
      </w:tr>
      <w:tr>
        <w:trPr>
          <w:trHeight w:val="216"/>
        </w:trPr>
        <w:tc>
          <w:tcPr>
            <w:tcW w:w="2120" w:type="dxa"/>
            <w:vAlign w:val="bottom"/>
            <w:shd w:val="clear" w:color="auto" w:fill="0067B3"/>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Compensation and Talent Committee’s direction, Pearl Meyer provided a risk analysis of our executive</w:t>
            </w:r>
          </w:p>
        </w:tc>
      </w:tr>
      <w:tr>
        <w:trPr>
          <w:trHeight w:val="216"/>
        </w:trPr>
        <w:tc>
          <w:tcPr>
            <w:tcW w:w="2120" w:type="dxa"/>
            <w:vAlign w:val="bottom"/>
            <w:shd w:val="clear" w:color="auto" w:fill="0067B3"/>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compensation program. Finally, the Compensation and Talent Committee also certified performance-based</w:t>
            </w:r>
          </w:p>
        </w:tc>
      </w:tr>
      <w:tr>
        <w:trPr>
          <w:trHeight w:val="239"/>
        </w:trPr>
        <w:tc>
          <w:tcPr>
            <w:tcW w:w="2120" w:type="dxa"/>
            <w:vAlign w:val="bottom"/>
            <w:shd w:val="clear" w:color="auto" w:fill="0067B3"/>
          </w:tcPr>
          <w:p>
            <w:pPr>
              <w:spacing w:after="0"/>
              <w:rPr>
                <w:sz w:val="20"/>
                <w:szCs w:val="20"/>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compensation payouts for the applicable periods ended fiscal year 2022.</w:t>
            </w:r>
          </w:p>
        </w:tc>
      </w:tr>
      <w:tr>
        <w:trPr>
          <w:trHeight w:val="77"/>
        </w:trPr>
        <w:tc>
          <w:tcPr>
            <w:tcW w:w="2120" w:type="dxa"/>
            <w:vAlign w:val="bottom"/>
            <w:tcBorders>
              <w:bottom w:val="single" w:sz="8" w:color="0067B3"/>
            </w:tcBorders>
            <w:shd w:val="clear" w:color="auto" w:fill="0067B3"/>
          </w:tcPr>
          <w:p>
            <w:pPr>
              <w:spacing w:after="0"/>
              <w:rPr>
                <w:sz w:val="6"/>
                <w:szCs w:val="6"/>
                <w:color w:val="auto"/>
              </w:rPr>
            </w:pPr>
          </w:p>
        </w:tc>
        <w:tc>
          <w:tcPr>
            <w:tcW w:w="9120" w:type="dxa"/>
            <w:vAlign w:val="bottom"/>
            <w:tcBorders>
              <w:bottom w:val="single" w:sz="8" w:color="0067B3"/>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13373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13373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and Talent Committee Consultants</w:t>
      </w:r>
    </w:p>
    <w:p>
      <w:pPr>
        <w:spacing w:after="0" w:line="15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Compensation and Talent Committee has the authority, in its sole discretion, to retain or obtain the advice of any independent legal, accounting or other advisors it deems necessary or appropriate to carry out its responsibilities. The Compensation and Talent Committee is empowered, without further action by the Board of Directors, to cause ADI to pay the compensation of these advisors as established by the Compensation and Talent Committee. The Compensation and Talent Committee continued to use Pearl Meyer as its independent compensation consultant for fiscal year 2022 because of Pearl Meyer’s experience working with our Compensation and Talent Committee and with compensation committees at other technology companies.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annual process, the Compensation and Talent Committee considered the independence factors that are identified in the Nasdaq Rules when selecting and retaining its advisors. Specifically, with respect to Pearl Meyer, when our Compensation and Talent Committee appointed Pearl Meyer for fiscal year 2022, it analyzed whether Pearl Meyer’s role raised any conflicts of interest by considering the following factors: (i) Pearl Meyer does not provide any services directly to ADI (although we pay Pearl Meyer on the Compensation and Talent Committee’s behalf), (ii) the percentage of Pearl Meyer’s total revenue resulting from fees paid by us on the Compensation and Talent Committee’s behalf, (iii) Pearl Meyer’s conflict of interest policies and procedures, (iv) any business or personal relationship between Pearl Meyer and an executive officer, or between Pearl Meyer’s individual compensation advisors and an executive officer or any member of our Compensation and Talent Committee, and (v) any ADI stock owned by Pearl Meyer or its individual compensation advisors. After considering these factors, the Compensation and Talent Committee determined that Pearl Meyer’s work did not create any conflicts of interest.</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Pearl Meyer reports directly to the Compensation and Talent Committee and assists the Compensation and Talent Committee in evaluating and designing our executive and director compensation program and policies. In connection with its work for the Compensation and Talent Committee, Pearl Meyer is invited to attend the Compensation and Talent Committee’s meetings and, upon request of the Compensation and Talent Committee, attends executive sessions of the Compensation and Talent Committee. For fiscal year 2022, Pearl Meyer assisted the Compensation and Talent Committee with matters, including:</w:t>
      </w:r>
    </w:p>
    <w:p>
      <w:pPr>
        <w:spacing w:after="0" w:line="71"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Defining a peer group of companies;</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Reviewing and validating the appropriateness of executive incentive plan goals;</w:t>
      </w:r>
    </w:p>
    <w:p>
      <w:pPr>
        <w:spacing w:after="0" w:line="90" w:lineRule="exact"/>
        <w:rPr>
          <w:rFonts w:ascii="Arial" w:cs="Arial" w:eastAsia="Arial" w:hAnsi="Arial"/>
          <w:sz w:val="18"/>
          <w:szCs w:val="18"/>
          <w:color w:val="0067B3"/>
        </w:rPr>
      </w:pPr>
    </w:p>
    <w:p>
      <w:pPr>
        <w:ind w:left="200" w:right="640" w:hanging="192"/>
        <w:spacing w:after="0" w:line="271" w:lineRule="auto"/>
        <w:tabs>
          <w:tab w:leader="none" w:pos="163"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32" w:lineRule="exact"/>
        <w:rPr>
          <w:rFonts w:ascii="Arial" w:cs="Arial" w:eastAsia="Arial" w:hAnsi="Arial"/>
          <w:sz w:val="18"/>
          <w:szCs w:val="18"/>
          <w:color w:val="0067B3"/>
        </w:rPr>
      </w:pPr>
    </w:p>
    <w:p>
      <w:pPr>
        <w:ind w:left="200" w:right="380" w:hanging="192"/>
        <w:spacing w:after="0" w:line="271" w:lineRule="auto"/>
        <w:tabs>
          <w:tab w:leader="none" w:pos="163"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Conducting a detailed analysis of the competitiveness and appropriateness of ADI’s total executive compensation opportunity and total director compensation opportunity in comparison to our defined peer group;</w:t>
      </w:r>
    </w:p>
    <w:p>
      <w:pPr>
        <w:spacing w:after="0" w:line="32" w:lineRule="exact"/>
        <w:rPr>
          <w:rFonts w:ascii="Arial" w:cs="Arial" w:eastAsia="Arial" w:hAnsi="Arial"/>
          <w:sz w:val="18"/>
          <w:szCs w:val="18"/>
          <w:color w:val="0067B3"/>
        </w:rPr>
      </w:pPr>
    </w:p>
    <w:p>
      <w:pPr>
        <w:ind w:left="160" w:hanging="152"/>
        <w:spacing w:after="0"/>
        <w:tabs>
          <w:tab w:leader="none" w:pos="160"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Conducting a risk assessment of our executive compensation program; and</w:t>
      </w:r>
    </w:p>
    <w:p>
      <w:pPr>
        <w:spacing w:after="0" w:line="76" w:lineRule="exact"/>
        <w:rPr>
          <w:rFonts w:ascii="Arial" w:cs="Arial" w:eastAsia="Arial" w:hAnsi="Arial"/>
          <w:sz w:val="18"/>
          <w:szCs w:val="18"/>
          <w:color w:val="0067B3"/>
        </w:rPr>
      </w:pPr>
    </w:p>
    <w:p>
      <w:pPr>
        <w:ind w:left="200" w:right="320" w:hanging="192"/>
        <w:spacing w:after="0" w:line="287" w:lineRule="auto"/>
        <w:tabs>
          <w:tab w:leader="none" w:pos="163" w:val="left"/>
        </w:tabs>
        <w:numPr>
          <w:ilvl w:val="0"/>
          <w:numId w:val="73"/>
        </w:numPr>
        <w:rPr>
          <w:rFonts w:ascii="Arial" w:cs="Arial" w:eastAsia="Arial" w:hAnsi="Arial"/>
          <w:sz w:val="18"/>
          <w:szCs w:val="18"/>
          <w:color w:val="0067B3"/>
        </w:rPr>
      </w:pPr>
      <w:r>
        <w:rPr>
          <w:rFonts w:ascii="Arial" w:cs="Arial" w:eastAsia="Arial" w:hAnsi="Arial"/>
          <w:sz w:val="18"/>
          <w:szCs w:val="18"/>
          <w:color w:val="auto"/>
        </w:rPr>
        <w:t>Advising on regulatory changes and their potential impact on our executive compensation programs along with any other aspects of our compensation programs.</w:t>
      </w:r>
    </w:p>
    <w:p>
      <w:pPr>
        <w:sectPr>
          <w:pgSz w:w="11900" w:h="16838" w:orient="portrait"/>
          <w:cols w:equalWidth="0" w:num="1">
            <w:col w:w="11240"/>
          </w:cols>
          <w:pgMar w:left="320" w:top="1311" w:right="339" w:bottom="1440" w:gutter="0" w:footer="0" w:header="0"/>
        </w:sectPr>
      </w:pPr>
    </w:p>
    <w:p>
      <w:pPr>
        <w:spacing w:after="0" w:line="27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53</w:t>
      </w:r>
    </w:p>
    <w:p>
      <w:pPr>
        <w:sectPr>
          <w:pgSz w:w="11900" w:h="16838" w:orient="portrait"/>
          <w:cols w:equalWidth="0" w:num="1">
            <w:col w:w="11240"/>
          </w:cols>
          <w:pgMar w:left="320" w:top="1311"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7"/>
          <w:szCs w:val="27"/>
          <w:b w:val="1"/>
          <w:bCs w:val="1"/>
          <w:color w:val="0067B3"/>
        </w:rPr>
        <w:t>Market Compensation Data</w:t>
      </w:r>
    </w:p>
    <w:p>
      <w:pPr>
        <w:spacing w:after="0" w:line="14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Compensation and Talent Committee has sought to select peer group companies that are publicly traded, are headquartered in the United States, compete with us for talent, and are similar to ADI in their product and services offerings, business model, revenue size and market capitalization.</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expenditures as ADI, include peers of peers and peers of other companies in our sector, and often compete with ADI for talent. Further, at the time the fiscal year 2022 peer group was selected, ADI was in the process of acquiring Maxim. Accordingly, the Compensation and Talent Committee considered the expected transaction when determining peer companies for fiscal year 2022. Based on review and consultation with Pearl Meyer, for fiscal year 2022, the Compensation and Talent Committee added Intel Corporation, Micron Technology, Inc., NXP Semiconductors N.V. and QUALCOMM Incorporated based on the companies’ industry-relevance, operating profile, and business comparison to ADI. The Compensation and Talent Committee determined to remove Maxim Integrated Products, Inc., NetApp, Inc. and Xilinx, Inc. due to acquisitions of the companies or because they no longer met our peer group criteria.</w:t>
      </w:r>
    </w:p>
    <w:p>
      <w:pPr>
        <w:spacing w:after="0" w:line="7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In fiscal year 2022, the peer group companies used by the Compensation and Talent Committee to evaluate executive compensation consisted of the following companies: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920" w:type="dxa"/>
            <w:vAlign w:val="bottom"/>
            <w:tcBorders>
              <w:top w:val="single" w:sz="8" w:color="auto"/>
              <w:left w:val="single" w:sz="8" w:color="auto"/>
              <w:bottom w:val="single" w:sz="8" w:color="auto"/>
              <w:right w:val="single" w:sz="8" w:color="B2C1E2"/>
            </w:tcBorders>
            <w:shd w:val="clear" w:color="auto" w:fill="B2C1E2"/>
          </w:tcPr>
          <w:p>
            <w:pPr>
              <w:ind w:left="120"/>
              <w:spacing w:after="0"/>
              <w:rPr>
                <w:sz w:val="20"/>
                <w:szCs w:val="20"/>
                <w:color w:val="auto"/>
              </w:rPr>
            </w:pPr>
            <w:r>
              <w:rPr>
                <w:rFonts w:ascii="Arial" w:cs="Arial" w:eastAsia="Arial" w:hAnsi="Arial"/>
                <w:sz w:val="18"/>
                <w:szCs w:val="18"/>
                <w:b w:val="1"/>
                <w:bCs w:val="1"/>
                <w:color w:val="FFFFFF"/>
              </w:rPr>
              <w:t>Additions: +</w:t>
            </w:r>
          </w:p>
        </w:tc>
        <w:tc>
          <w:tcPr>
            <w:tcW w:w="2940" w:type="dxa"/>
            <w:vAlign w:val="bottom"/>
            <w:tcBorders>
              <w:top w:val="single" w:sz="8" w:color="auto"/>
              <w:bottom w:val="single" w:sz="8" w:color="auto"/>
            </w:tcBorders>
            <w:shd w:val="clear" w:color="auto" w:fill="0067B3"/>
          </w:tcPr>
          <w:p>
            <w:pPr>
              <w:spacing w:after="0"/>
              <w:rPr>
                <w:sz w:val="24"/>
                <w:szCs w:val="24"/>
                <w:color w:val="auto"/>
              </w:rPr>
            </w:pPr>
          </w:p>
        </w:tc>
        <w:tc>
          <w:tcPr>
            <w:tcW w:w="5400" w:type="dxa"/>
            <w:vAlign w:val="bottom"/>
            <w:tcBorders>
              <w:top w:val="single" w:sz="8" w:color="auto"/>
              <w:bottom w:val="single" w:sz="8" w:color="auto"/>
              <w:right w:val="single" w:sz="8" w:color="auto"/>
            </w:tcBorders>
            <w:shd w:val="clear" w:color="auto" w:fill="0067B3"/>
          </w:tcPr>
          <w:p>
            <w:pPr>
              <w:ind w:left="500"/>
              <w:spacing w:after="0"/>
              <w:rPr>
                <w:sz w:val="20"/>
                <w:szCs w:val="20"/>
                <w:color w:val="auto"/>
              </w:rPr>
            </w:pPr>
            <w:r>
              <w:rPr>
                <w:rFonts w:ascii="Arial" w:cs="Arial" w:eastAsia="Arial" w:hAnsi="Arial"/>
                <w:sz w:val="18"/>
                <w:szCs w:val="18"/>
                <w:b w:val="1"/>
                <w:bCs w:val="1"/>
                <w:color w:val="FFFFFF"/>
              </w:rPr>
              <w:t>2022 Peer Group</w:t>
            </w:r>
          </w:p>
        </w:tc>
        <w:tc>
          <w:tcPr>
            <w:tcW w:w="0" w:type="dxa"/>
            <w:vAlign w:val="bottom"/>
          </w:tcPr>
          <w:p>
            <w:pPr>
              <w:spacing w:after="0"/>
              <w:rPr>
                <w:sz w:val="1"/>
                <w:szCs w:val="1"/>
                <w:color w:val="auto"/>
              </w:rPr>
            </w:pPr>
          </w:p>
        </w:tc>
      </w:tr>
      <w:tr>
        <w:trPr>
          <w:trHeight w:val="265"/>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Intel Corporation</w:t>
            </w:r>
          </w:p>
        </w:tc>
        <w:tc>
          <w:tcPr>
            <w:tcW w:w="2940" w:type="dxa"/>
            <w:vAlign w:val="bottom"/>
          </w:tcPr>
          <w:p>
            <w:pPr>
              <w:ind w:left="80"/>
              <w:spacing w:after="0"/>
              <w:rPr>
                <w:sz w:val="20"/>
                <w:szCs w:val="20"/>
                <w:color w:val="auto"/>
              </w:rPr>
            </w:pPr>
            <w:r>
              <w:rPr>
                <w:rFonts w:ascii="Arial" w:cs="Arial" w:eastAsia="Arial" w:hAnsi="Arial"/>
                <w:sz w:val="18"/>
                <w:szCs w:val="18"/>
                <w:color w:val="auto"/>
              </w:rPr>
              <w:t>Advanced Micro Devices, Inc.</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Marvell Technology, Inc.</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Micron Technology, Inc.</w:t>
            </w:r>
          </w:p>
        </w:tc>
        <w:tc>
          <w:tcPr>
            <w:tcW w:w="2940" w:type="dxa"/>
            <w:vAlign w:val="bottom"/>
          </w:tcPr>
          <w:p>
            <w:pPr>
              <w:ind w:left="80"/>
              <w:spacing w:after="0"/>
              <w:rPr>
                <w:sz w:val="20"/>
                <w:szCs w:val="20"/>
                <w:color w:val="auto"/>
              </w:rPr>
            </w:pPr>
            <w:r>
              <w:rPr>
                <w:rFonts w:ascii="Arial" w:cs="Arial" w:eastAsia="Arial" w:hAnsi="Arial"/>
                <w:sz w:val="18"/>
                <w:szCs w:val="18"/>
                <w:color w:val="auto"/>
              </w:rPr>
              <w:t>Agilent Technologies, Inc.</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Microchip Technology Incorporated</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NXP Semiconductors N.V.</w:t>
            </w:r>
          </w:p>
        </w:tc>
        <w:tc>
          <w:tcPr>
            <w:tcW w:w="2940" w:type="dxa"/>
            <w:vAlign w:val="bottom"/>
          </w:tcPr>
          <w:p>
            <w:pPr>
              <w:ind w:left="80"/>
              <w:spacing w:after="0"/>
              <w:rPr>
                <w:sz w:val="20"/>
                <w:szCs w:val="20"/>
                <w:color w:val="auto"/>
              </w:rPr>
            </w:pPr>
            <w:r>
              <w:rPr>
                <w:rFonts w:ascii="Arial" w:cs="Arial" w:eastAsia="Arial" w:hAnsi="Arial"/>
                <w:sz w:val="18"/>
                <w:szCs w:val="18"/>
                <w:color w:val="auto"/>
              </w:rPr>
              <w:t>Applied Materials, Inc.</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Micron Technology, Inc.</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QUALCOMM Incorporated</w:t>
            </w:r>
          </w:p>
        </w:tc>
        <w:tc>
          <w:tcPr>
            <w:tcW w:w="2940" w:type="dxa"/>
            <w:vAlign w:val="bottom"/>
          </w:tcPr>
          <w:p>
            <w:pPr>
              <w:ind w:left="80"/>
              <w:spacing w:after="0"/>
              <w:rPr>
                <w:sz w:val="20"/>
                <w:szCs w:val="20"/>
                <w:color w:val="auto"/>
              </w:rPr>
            </w:pPr>
            <w:r>
              <w:rPr>
                <w:rFonts w:ascii="Arial" w:cs="Arial" w:eastAsia="Arial" w:hAnsi="Arial"/>
                <w:sz w:val="18"/>
                <w:szCs w:val="18"/>
                <w:color w:val="auto"/>
              </w:rPr>
              <w:t>Boston Scientific Corporation</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NVIDIA Corporation</w:t>
            </w:r>
          </w:p>
        </w:tc>
        <w:tc>
          <w:tcPr>
            <w:tcW w:w="0" w:type="dxa"/>
            <w:vAlign w:val="bottom"/>
          </w:tcPr>
          <w:p>
            <w:pPr>
              <w:spacing w:after="0"/>
              <w:rPr>
                <w:sz w:val="1"/>
                <w:szCs w:val="1"/>
                <w:color w:val="auto"/>
              </w:rPr>
            </w:pPr>
          </w:p>
        </w:tc>
      </w:tr>
      <w:tr>
        <w:trPr>
          <w:trHeight w:val="86"/>
        </w:trPr>
        <w:tc>
          <w:tcPr>
            <w:tcW w:w="2920" w:type="dxa"/>
            <w:vAlign w:val="bottom"/>
            <w:tcBorders>
              <w:left w:val="single" w:sz="8" w:color="auto"/>
              <w:bottom w:val="single" w:sz="8" w:color="auto"/>
              <w:right w:val="single" w:sz="8" w:color="auto"/>
            </w:tcBorders>
          </w:tcPr>
          <w:p>
            <w:pPr>
              <w:spacing w:after="0"/>
              <w:rPr>
                <w:sz w:val="7"/>
                <w:szCs w:val="7"/>
                <w:color w:val="auto"/>
              </w:rPr>
            </w:pPr>
          </w:p>
        </w:tc>
        <w:tc>
          <w:tcPr>
            <w:tcW w:w="2940" w:type="dxa"/>
            <w:vAlign w:val="bottom"/>
            <w:vMerge w:val="restart"/>
          </w:tcPr>
          <w:p>
            <w:pPr>
              <w:ind w:left="80"/>
              <w:spacing w:after="0"/>
              <w:rPr>
                <w:sz w:val="20"/>
                <w:szCs w:val="20"/>
                <w:color w:val="auto"/>
              </w:rPr>
            </w:pPr>
            <w:r>
              <w:rPr>
                <w:rFonts w:ascii="Arial" w:cs="Arial" w:eastAsia="Arial" w:hAnsi="Arial"/>
                <w:sz w:val="18"/>
                <w:szCs w:val="18"/>
                <w:color w:val="auto"/>
              </w:rPr>
              <w:t>Broadcom Inc.</w:t>
            </w:r>
          </w:p>
        </w:tc>
        <w:tc>
          <w:tcPr>
            <w:tcW w:w="5400" w:type="dxa"/>
            <w:vAlign w:val="bottom"/>
            <w:tcBorders>
              <w:right w:val="single" w:sz="8" w:color="auto"/>
            </w:tcBorders>
            <w:vMerge w:val="restart"/>
          </w:tcPr>
          <w:p>
            <w:pPr>
              <w:ind w:left="1220"/>
              <w:spacing w:after="0"/>
              <w:rPr>
                <w:sz w:val="20"/>
                <w:szCs w:val="20"/>
                <w:color w:val="auto"/>
              </w:rPr>
            </w:pPr>
            <w:r>
              <w:rPr>
                <w:rFonts w:ascii="Arial" w:cs="Arial" w:eastAsia="Arial" w:hAnsi="Arial"/>
                <w:sz w:val="18"/>
                <w:szCs w:val="18"/>
                <w:color w:val="auto"/>
              </w:rPr>
              <w:t>NXP Semiconductors N.V.</w:t>
            </w:r>
          </w:p>
        </w:tc>
        <w:tc>
          <w:tcPr>
            <w:tcW w:w="0" w:type="dxa"/>
            <w:vAlign w:val="bottom"/>
          </w:tcPr>
          <w:p>
            <w:pPr>
              <w:spacing w:after="0"/>
              <w:rPr>
                <w:sz w:val="1"/>
                <w:szCs w:val="1"/>
                <w:color w:val="auto"/>
              </w:rPr>
            </w:pPr>
          </w:p>
        </w:tc>
      </w:tr>
      <w:tr>
        <w:trPr>
          <w:trHeight w:val="110"/>
        </w:trPr>
        <w:tc>
          <w:tcPr>
            <w:tcW w:w="2920" w:type="dxa"/>
            <w:vAlign w:val="bottom"/>
            <w:tcBorders>
              <w:left w:val="single" w:sz="8" w:color="auto"/>
              <w:right w:val="single" w:sz="8" w:color="auto"/>
            </w:tcBorders>
            <w:vMerge w:val="restart"/>
            <w:shd w:val="clear" w:color="auto" w:fill="BCBEC0"/>
          </w:tcPr>
          <w:p>
            <w:pPr>
              <w:ind w:left="120"/>
              <w:spacing w:after="0"/>
              <w:rPr>
                <w:sz w:val="20"/>
                <w:szCs w:val="20"/>
                <w:color w:val="auto"/>
              </w:rPr>
            </w:pPr>
            <w:r>
              <w:rPr>
                <w:rFonts w:ascii="Arial" w:cs="Arial" w:eastAsia="Arial" w:hAnsi="Arial"/>
                <w:sz w:val="18"/>
                <w:szCs w:val="18"/>
                <w:b w:val="1"/>
                <w:bCs w:val="1"/>
                <w:color w:val="FFFFFF"/>
              </w:rPr>
              <w:t>Removals: -</w:t>
            </w:r>
          </w:p>
        </w:tc>
        <w:tc>
          <w:tcPr>
            <w:tcW w:w="2940" w:type="dxa"/>
            <w:vAlign w:val="bottom"/>
            <w:vMerge w:val="continue"/>
          </w:tcPr>
          <w:p>
            <w:pPr>
              <w:spacing w:after="0"/>
              <w:rPr>
                <w:sz w:val="9"/>
                <w:szCs w:val="9"/>
                <w:color w:val="auto"/>
              </w:rPr>
            </w:pPr>
          </w:p>
        </w:tc>
        <w:tc>
          <w:tcPr>
            <w:tcW w:w="5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20" w:type="dxa"/>
            <w:vAlign w:val="bottom"/>
            <w:tcBorders>
              <w:left w:val="single" w:sz="8" w:color="auto"/>
              <w:bottom w:val="single" w:sz="8" w:color="BCBEC0"/>
              <w:right w:val="single" w:sz="8" w:color="auto"/>
            </w:tcBorders>
            <w:vMerge w:val="continue"/>
            <w:shd w:val="clear" w:color="auto" w:fill="BCBEC0"/>
          </w:tcPr>
          <w:p>
            <w:pPr>
              <w:spacing w:after="0"/>
              <w:rPr>
                <w:sz w:val="15"/>
                <w:szCs w:val="15"/>
                <w:color w:val="auto"/>
              </w:rPr>
            </w:pPr>
          </w:p>
        </w:tc>
        <w:tc>
          <w:tcPr>
            <w:tcW w:w="2940" w:type="dxa"/>
            <w:vAlign w:val="bottom"/>
          </w:tcPr>
          <w:p>
            <w:pPr>
              <w:ind w:left="80"/>
              <w:spacing w:after="0" w:line="161" w:lineRule="exact"/>
              <w:rPr>
                <w:sz w:val="20"/>
                <w:szCs w:val="20"/>
                <w:color w:val="auto"/>
              </w:rPr>
            </w:pPr>
            <w:r>
              <w:rPr>
                <w:rFonts w:ascii="Arial" w:cs="Arial" w:eastAsia="Arial" w:hAnsi="Arial"/>
                <w:sz w:val="18"/>
                <w:szCs w:val="18"/>
                <w:color w:val="auto"/>
              </w:rPr>
              <w:t>Intel Corporation</w:t>
            </w:r>
          </w:p>
        </w:tc>
        <w:tc>
          <w:tcPr>
            <w:tcW w:w="5400" w:type="dxa"/>
            <w:vAlign w:val="bottom"/>
            <w:tcBorders>
              <w:right w:val="single" w:sz="8" w:color="auto"/>
            </w:tcBorders>
          </w:tcPr>
          <w:p>
            <w:pPr>
              <w:ind w:left="1220"/>
              <w:spacing w:after="0" w:line="161" w:lineRule="exact"/>
              <w:rPr>
                <w:sz w:val="20"/>
                <w:szCs w:val="20"/>
                <w:color w:val="auto"/>
              </w:rPr>
            </w:pPr>
            <w:r>
              <w:rPr>
                <w:rFonts w:ascii="Arial" w:cs="Arial" w:eastAsia="Arial" w:hAnsi="Arial"/>
                <w:sz w:val="18"/>
                <w:szCs w:val="18"/>
                <w:color w:val="auto"/>
              </w:rPr>
              <w:t>QUALCOMM Incorporated</w:t>
            </w:r>
          </w:p>
        </w:tc>
        <w:tc>
          <w:tcPr>
            <w:tcW w:w="0" w:type="dxa"/>
            <w:vAlign w:val="bottom"/>
          </w:tcPr>
          <w:p>
            <w:pPr>
              <w:spacing w:after="0"/>
              <w:rPr>
                <w:sz w:val="1"/>
                <w:szCs w:val="1"/>
                <w:color w:val="auto"/>
              </w:rPr>
            </w:pPr>
          </w:p>
        </w:tc>
      </w:tr>
      <w:tr>
        <w:trPr>
          <w:trHeight w:val="231"/>
        </w:trPr>
        <w:tc>
          <w:tcPr>
            <w:tcW w:w="29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Maxim Integrated Products, Inc.</w:t>
            </w:r>
          </w:p>
        </w:tc>
        <w:tc>
          <w:tcPr>
            <w:tcW w:w="2940" w:type="dxa"/>
            <w:vAlign w:val="bottom"/>
          </w:tcPr>
          <w:p>
            <w:pPr>
              <w:ind w:left="80"/>
              <w:spacing w:after="0"/>
              <w:rPr>
                <w:sz w:val="20"/>
                <w:szCs w:val="20"/>
                <w:color w:val="auto"/>
              </w:rPr>
            </w:pPr>
            <w:r>
              <w:rPr>
                <w:rFonts w:ascii="Arial" w:cs="Arial" w:eastAsia="Arial" w:hAnsi="Arial"/>
                <w:sz w:val="18"/>
                <w:szCs w:val="18"/>
                <w:color w:val="auto"/>
              </w:rPr>
              <w:t>KLA Corporation</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Skyworks Solutions, Inc.</w:t>
            </w:r>
          </w:p>
        </w:tc>
        <w:tc>
          <w:tcPr>
            <w:tcW w:w="0" w:type="dxa"/>
            <w:vAlign w:val="bottom"/>
          </w:tcPr>
          <w:p>
            <w:pPr>
              <w:spacing w:after="0"/>
              <w:rPr>
                <w:sz w:val="1"/>
                <w:szCs w:val="1"/>
                <w:color w:val="auto"/>
              </w:rPr>
            </w:pPr>
          </w:p>
        </w:tc>
      </w:tr>
      <w:tr>
        <w:trPr>
          <w:trHeight w:val="243"/>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NetApp, Inc.</w:t>
            </w:r>
          </w:p>
        </w:tc>
        <w:tc>
          <w:tcPr>
            <w:tcW w:w="2940" w:type="dxa"/>
            <w:vAlign w:val="bottom"/>
          </w:tcPr>
          <w:p>
            <w:pPr>
              <w:ind w:left="80"/>
              <w:spacing w:after="0"/>
              <w:rPr>
                <w:sz w:val="20"/>
                <w:szCs w:val="20"/>
                <w:color w:val="auto"/>
              </w:rPr>
            </w:pPr>
            <w:r>
              <w:rPr>
                <w:rFonts w:ascii="Arial" w:cs="Arial" w:eastAsia="Arial" w:hAnsi="Arial"/>
                <w:sz w:val="18"/>
                <w:szCs w:val="18"/>
                <w:color w:val="auto"/>
              </w:rPr>
              <w:t>Lam Research Corporation</w:t>
            </w:r>
          </w:p>
        </w:tc>
        <w:tc>
          <w:tcPr>
            <w:tcW w:w="54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Texas Instruments Incorporated</w:t>
            </w:r>
          </w:p>
        </w:tc>
        <w:tc>
          <w:tcPr>
            <w:tcW w:w="0" w:type="dxa"/>
            <w:vAlign w:val="bottom"/>
          </w:tcPr>
          <w:p>
            <w:pPr>
              <w:spacing w:after="0"/>
              <w:rPr>
                <w:sz w:val="1"/>
                <w:szCs w:val="1"/>
                <w:color w:val="auto"/>
              </w:rPr>
            </w:pPr>
          </w:p>
        </w:tc>
      </w:tr>
      <w:tr>
        <w:trPr>
          <w:trHeight w:val="239"/>
        </w:trPr>
        <w:tc>
          <w:tcPr>
            <w:tcW w:w="2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Xilinx, Inc.</w:t>
            </w:r>
          </w:p>
        </w:tc>
        <w:tc>
          <w:tcPr>
            <w:tcW w:w="2940" w:type="dxa"/>
            <w:vAlign w:val="bottom"/>
          </w:tcPr>
          <w:p>
            <w:pPr>
              <w:spacing w:after="0"/>
              <w:rPr>
                <w:sz w:val="20"/>
                <w:szCs w:val="20"/>
                <w:color w:val="auto"/>
              </w:rPr>
            </w:pPr>
          </w:p>
        </w:tc>
        <w:tc>
          <w:tcPr>
            <w:tcW w:w="5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920" w:type="dxa"/>
            <w:vAlign w:val="bottom"/>
            <w:tcBorders>
              <w:left w:val="single" w:sz="8" w:color="auto"/>
              <w:bottom w:val="single" w:sz="8" w:color="auto"/>
              <w:right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5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executive officers in positions for which the fiscal year 2022 peer group companies do not publicly disclose compensation data, the Compensation and Talent Committee reviewed data collected from Radford’s Global Technology Survey. This survey depicts executive compensation levels across a wide spectrum of technology sector companies comparable to ADI in annual revenue and market capitalization.</w:t>
      </w:r>
    </w:p>
    <w:p>
      <w:pPr>
        <w:spacing w:after="0" w:line="200" w:lineRule="exact"/>
        <w:rPr>
          <w:sz w:val="20"/>
          <w:szCs w:val="20"/>
          <w:color w:val="auto"/>
        </w:rPr>
      </w:pPr>
    </w:p>
    <w:p>
      <w:pPr>
        <w:spacing w:after="0" w:line="276" w:lineRule="exact"/>
        <w:rPr>
          <w:sz w:val="20"/>
          <w:szCs w:val="20"/>
          <w:color w:val="auto"/>
        </w:rPr>
      </w:pPr>
    </w:p>
    <w:p>
      <w:pPr>
        <w:ind w:left="480" w:hanging="454"/>
        <w:spacing w:after="0"/>
        <w:tabs>
          <w:tab w:leader="none" w:pos="480" w:val="left"/>
        </w:tabs>
        <w:numPr>
          <w:ilvl w:val="0"/>
          <w:numId w:val="74"/>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60"/>
          </w:cols>
          <w:pgMar w:left="320" w:top="1271" w:right="319" w:bottom="1440" w:gutter="0" w:footer="0" w:header="0"/>
        </w:sectPr>
      </w:pPr>
    </w:p>
    <w:bookmarkStart w:id="62" w:name="page63"/>
    <w:bookmarkEnd w:id="62"/>
    <w:p>
      <w:pPr>
        <w:spacing w:after="0"/>
        <w:rPr>
          <w:sz w:val="20"/>
          <w:szCs w:val="20"/>
          <w:color w:val="auto"/>
        </w:rPr>
      </w:pPr>
      <w:r>
        <w:rPr>
          <w:rFonts w:ascii="Arial" w:cs="Arial" w:eastAsia="Arial" w:hAnsi="Arial"/>
          <w:sz w:val="27"/>
          <w:szCs w:val="27"/>
          <w:b w:val="1"/>
          <w:bCs w:val="1"/>
          <w:color w:val="0067B3"/>
        </w:rPr>
        <w:t>Risk Considerations in Our Compensation Program</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fiscal year 2022, our Compensation and Talent Committee reviewed our incentive compensation programs, discussed the concept of risk as it relates to our compensation program, considered various mitigating factors and reviewed these items with its independent consultant, Pearl Meyer. In addition, our Compensation and Talent Committee asked Pearl Meyer to conduct an independent risk assessment of our executive compensation program. Based on these reviews and discussions, the Compensation and Talent Committee does not believe that any risks arising from our employee compensation policies and practices are reasonably likely to have a material adverse effect on ADI. Our Compensation and Talent Committee believes that any such risks are mitigated by the following factors,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346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0575" cy="434657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sectPr>
      </w:pPr>
    </w:p>
    <w:p>
      <w:pPr>
        <w:spacing w:after="0" w:line="23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Pay Mix</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Driving</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0"/>
        <w:spacing w:after="0" w:line="296" w:lineRule="auto"/>
        <w:rPr>
          <w:sz w:val="20"/>
          <w:szCs w:val="20"/>
          <w:color w:val="auto"/>
        </w:rPr>
      </w:pPr>
      <w:r>
        <w:rPr>
          <w:rFonts w:ascii="Arial" w:cs="Arial" w:eastAsia="Arial" w:hAnsi="Arial"/>
          <w:sz w:val="18"/>
          <w:szCs w:val="18"/>
          <w:b w:val="1"/>
          <w:bCs w:val="1"/>
          <w:color w:val="FFFFFF"/>
        </w:rPr>
        <w:t>Stock Ownership Guidelines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structure our pay to consist of both fixed and variable compensation with short- and long-term horizons. We believe that the variable elements of compensation, which represented 94% and 91% of the total target compensation for our CEO and other NEOs, respectively, excluding new-hire equity awards, for fiscal year 2022, are a sufficient percentage of overall compensation to motivate executives to produce superior short-and long-term corporate results and to achieve company goals, while the fixed element is also sufficiently high that the executives are not encouraged to take unnecessary or excessive risks in doing so.</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that our focus on both OPBT margin and year-over-year revenue growth through our executive performance incentive plan, and non-GAAP operating profit and stock price performance through our equity compensation program, provides a check on excessive short-term risk taking. That is, even if our executives could inappropriately increase OPBT margin or revenue by excessively reducing expenses or adding new revenue sources that are inconsistent with our business model, this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Our OPBT margin and year-over-year revenue growth targets are applicable to our executives and employees alike, which we believe encourages consistent behavior across the organization, and reflects goals that are challenging, but not so high that they require performance outside of what the Compensation and Talent Committee believes is reasonable for us or could motivate our executives and employees to take actions in which we assume unreasonable levels of risk.</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cap our bonus payout factors. Even if we dramatically exceed our OPBT margin or year-over-year revenue growth targets, bonus payments are limited. In fiscal year 2022, the bonus payment factor cap was 300% of target. Conversely, we also have a floor on the OPBT margin target so that profitability at or below a certain level will result in no bonus payments for that performance period, regardless of revenue growth levels. We believe this avoids incentivizing management to drive revenue levels without regard to profitability.</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w:t>
      </w:r>
    </w:p>
    <w:p>
      <w:pPr>
        <w:spacing w:after="0" w:line="215" w:lineRule="exact"/>
        <w:rPr>
          <w:sz w:val="20"/>
          <w:szCs w:val="20"/>
          <w:color w:val="auto"/>
        </w:rPr>
      </w:pPr>
    </w:p>
    <w:p>
      <w:pPr>
        <w:sectPr>
          <w:pgSz w:w="11900" w:h="16838" w:orient="portrait"/>
          <w:cols w:equalWidth="0" w:num="2">
            <w:col w:w="2480" w:space="200"/>
            <w:col w:w="8540"/>
          </w:cols>
          <w:pgMar w:left="320" w:top="1271"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Consideration of 2022 Say-on-Pay Vote</w:t>
      </w:r>
    </w:p>
    <w:p>
      <w:pPr>
        <w:spacing w:after="0" w:line="13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pay programs have a history of strong shareholder support, however, we saw a decrease in our say-on-pay support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57785</wp:posOffset>
            </wp:positionV>
            <wp:extent cx="3265805" cy="13887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65805" cy="1388745"/>
                    </a:xfrm>
                    <a:prstGeom prst="rect">
                      <a:avLst/>
                    </a:prstGeom>
                    <a:noFill/>
                  </pic:spPr>
                </pic:pic>
              </a:graphicData>
            </a:graphic>
          </wp:anchor>
        </w:drawing>
      </w:r>
    </w:p>
    <w:p>
      <w:pPr>
        <w:sectPr>
          <w:pgSz w:w="11900" w:h="16838" w:orient="portrait"/>
          <w:cols w:equalWidth="0" w:num="1">
            <w:col w:w="11220"/>
          </w:cols>
          <w:pgMar w:left="320" w:top="12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55</w:t>
      </w:r>
    </w:p>
    <w:p>
      <w:pPr>
        <w:sectPr>
          <w:pgSz w:w="11900" w:h="16838" w:orient="portrait"/>
          <w:cols w:equalWidth="0" w:num="1">
            <w:col w:w="11220"/>
          </w:cols>
          <w:pgMar w:left="320" w:top="1271" w:right="359" w:bottom="1440" w:gutter="0" w:footer="0" w:header="0"/>
          <w:type w:val="continuous"/>
        </w:sectPr>
      </w:pPr>
    </w:p>
    <w:bookmarkStart w:id="63" w:name="page64"/>
    <w:bookmarkEnd w:id="63"/>
    <w:p>
      <w:pPr>
        <w:ind w:right="160"/>
        <w:spacing w:after="0" w:line="253" w:lineRule="auto"/>
        <w:rPr>
          <w:sz w:val="20"/>
          <w:szCs w:val="20"/>
          <w:color w:val="auto"/>
        </w:rPr>
      </w:pPr>
      <w:r>
        <w:rPr>
          <w:rFonts w:ascii="Arial" w:cs="Arial" w:eastAsia="Arial" w:hAnsi="Arial"/>
          <w:sz w:val="18"/>
          <w:szCs w:val="18"/>
          <w:color w:val="auto"/>
        </w:rPr>
        <w:t xml:space="preserve">Our Compensation and Talent Committee carefully considers the results of our “say-on-pay” votes. We believe that the results of the 2022 say-on-pay advisory vote was primarily due to a one-time award granted to our CEO and Chair as discussed in our 2022 Proxy Statement under the heading </w:t>
      </w:r>
      <w:r>
        <w:rPr>
          <w:rFonts w:ascii="Arial" w:cs="Arial" w:eastAsia="Arial" w:hAnsi="Arial"/>
          <w:sz w:val="18"/>
          <w:szCs w:val="18"/>
          <w:i w:val="1"/>
          <w:iCs w:val="1"/>
          <w:color w:val="auto"/>
        </w:rPr>
        <w:t>CEO Performance Stock Option Award</w:t>
      </w:r>
      <w:r>
        <w:rPr>
          <w:rFonts w:ascii="Arial" w:cs="Arial" w:eastAsia="Arial" w:hAnsi="Arial"/>
          <w:sz w:val="18"/>
          <w:szCs w:val="18"/>
          <w:color w:val="auto"/>
        </w:rPr>
        <w:t>. During fiscal year 2022, as part of our annual outreach program, we reached out to our top 20 shareholders and additional shareholders that voted against say-on-pay in 2022, collectively representing nearly 50% of our total shares outstanding, with an invitation to have discussions with their corporate governance teams. Shareholders representing approximately 30% of our outstanding shares accepted our engagement invitation. During these engagement meetings with shareholders during 2022, many shareholders indicated that they understood the rationale behind the special one-time award and were generally pleased with the overall design and framework of our executive compensation program. Considering the 2022 say-on-pay vote and the feedback we received from our shareholders, the Compensation and Talent Committee determined to not make significant changes to our executive compensation program as a result of the 2022 say-on-pay vote, however, the Compensation and Talent Committee confirms that it does not intend to make future special awards to our CEO and Chair outside of our ongoing annual incentive programs while the current grant remains outstanding.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our shareholder engagement program, please see </w:t>
      </w:r>
      <w:r>
        <w:rPr>
          <w:rFonts w:ascii="Arial" w:cs="Arial" w:eastAsia="Arial" w:hAnsi="Arial"/>
          <w:sz w:val="18"/>
          <w:szCs w:val="18"/>
          <w:i w:val="1"/>
          <w:iCs w:val="1"/>
          <w:color w:val="auto"/>
        </w:rPr>
        <w:t>Shareholder Engagement</w:t>
      </w:r>
      <w:r>
        <w:rPr>
          <w:rFonts w:ascii="Arial" w:cs="Arial" w:eastAsia="Arial" w:hAnsi="Arial"/>
          <w:sz w:val="18"/>
          <w:szCs w:val="18"/>
          <w:color w:val="auto"/>
        </w:rPr>
        <w:t xml:space="preserve">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012305" cy="2211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12305" cy="2211705"/>
                    </a:xfrm>
                    <a:prstGeom prst="rect">
                      <a:avLst/>
                    </a:prstGeom>
                    <a:noFill/>
                  </pic:spPr>
                </pic:pic>
              </a:graphicData>
            </a:graphic>
          </wp:anchor>
        </w:drawing>
      </w:r>
    </w:p>
    <w:p>
      <w:pPr>
        <w:spacing w:after="0" w:line="396"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Best Practices</w:t>
      </w:r>
    </w:p>
    <w:p>
      <w:pPr>
        <w:spacing w:after="0" w:line="156"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Our annual cash incentives are based solely on our financial performance</w:t>
      </w:r>
    </w:p>
    <w:p>
      <w:pPr>
        <w:spacing w:after="0" w:line="90"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 significant portion of equity awards are contingent upon long-term performance achievement</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Incentive awards are tied to rigorous performance targets aligned with our corporate strategy</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Payout for relative TSR-based awards are capped at target for instances of negative absolute TSR</w:t>
      </w:r>
    </w:p>
    <w:p>
      <w:pPr>
        <w:spacing w:after="0" w:line="90" w:lineRule="exact"/>
        <w:rPr>
          <w:sz w:val="20"/>
          <w:szCs w:val="20"/>
          <w:color w:val="auto"/>
        </w:rPr>
      </w:pPr>
    </w:p>
    <w:p>
      <w:pPr>
        <w:ind w:left="500" w:right="660" w:hanging="255"/>
        <w:spacing w:after="0"/>
        <w:rPr>
          <w:sz w:val="20"/>
          <w:szCs w:val="20"/>
          <w:color w:val="auto"/>
        </w:rPr>
      </w:pPr>
      <w:r>
        <w:rPr>
          <w:sz w:val="1"/>
          <w:szCs w:val="1"/>
          <w:color w:val="auto"/>
        </w:rPr>
        <w:drawing>
          <wp:inline distT="0" distB="0" distL="0" distR="0">
            <wp:extent cx="85725" cy="6858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Clawback policy for our CEO and other named executive officers in the event of a material financial restatement due to fraud or willful misconduct</w:t>
      </w:r>
    </w:p>
    <w:p>
      <w:pPr>
        <w:spacing w:after="0" w:line="45" w:lineRule="exact"/>
        <w:rPr>
          <w:sz w:val="20"/>
          <w:szCs w:val="20"/>
          <w:color w:val="auto"/>
        </w:rPr>
      </w:pPr>
    </w:p>
    <w:p>
      <w:pPr>
        <w:ind w:left="240" w:right="2140"/>
        <w:spacing w:after="0" w:line="336" w:lineRule="auto"/>
        <w:rPr>
          <w:sz w:val="20"/>
          <w:szCs w:val="20"/>
          <w:color w:val="auto"/>
        </w:rPr>
      </w:pPr>
      <w:r>
        <w:rPr>
          <w:sz w:val="1"/>
          <w:szCs w:val="1"/>
          <w:color w:val="auto"/>
        </w:rPr>
        <w:drawing>
          <wp:inline distT="0" distB="0" distL="0" distR="0">
            <wp:extent cx="85725" cy="6858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Specific policy regarding the grant dates of equity awards for our directors, executive officers and employees </w:t>
      </w:r>
      <w:r>
        <w:rPr>
          <w:sz w:val="1"/>
          <w:szCs w:val="1"/>
          <w:color w:val="auto"/>
        </w:rPr>
        <w:drawing>
          <wp:inline distT="0" distB="0" distL="0" distR="0">
            <wp:extent cx="85725" cy="6858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Stock ownership guidelines for our Leadership Team and directors</w:t>
      </w:r>
    </w:p>
    <w:p>
      <w:pPr>
        <w:spacing w:after="0" w:line="1"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Prohibit hedging and pledging of ADI securities</w:t>
      </w:r>
    </w:p>
    <w:p>
      <w:pPr>
        <w:spacing w:after="0" w:line="77" w:lineRule="exact"/>
        <w:rPr>
          <w:sz w:val="20"/>
          <w:szCs w:val="20"/>
          <w:color w:val="auto"/>
        </w:rPr>
      </w:pPr>
    </w:p>
    <w:p>
      <w:pPr>
        <w:ind w:left="240"/>
        <w:spacing w:after="0"/>
        <w:rPr>
          <w:sz w:val="20"/>
          <w:szCs w:val="20"/>
          <w:color w:val="auto"/>
        </w:rPr>
      </w:pPr>
      <w:r>
        <w:rPr>
          <w:sz w:val="1"/>
          <w:szCs w:val="1"/>
          <w:color w:val="auto"/>
        </w:rPr>
        <w:drawing>
          <wp:inline distT="0" distB="0" distL="0" distR="0">
            <wp:extent cx="85725" cy="6858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8"/>
          <w:szCs w:val="18"/>
          <w:color w:val="auto"/>
        </w:rPr>
        <w:t xml:space="preserve"> Annual “say-on-pay” vote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Determining Fiscal Year 2022 Target Compensation Levels</w:t>
      </w:r>
    </w:p>
    <w:p>
      <w:pPr>
        <w:spacing w:after="0" w:line="14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executive compensation program is designed to attract and retain top executive talent and align the interests of our executive officers, including our NEOs, and shareholders. The level of compensation for our executive officers is determined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126365</wp:posOffset>
            </wp:positionV>
            <wp:extent cx="708914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89140" cy="8572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100" w:right="140" w:hanging="1074"/>
        <w:spacing w:after="0" w:line="208" w:lineRule="auto"/>
        <w:tabs>
          <w:tab w:leader="none" w:pos="1100" w:val="left"/>
        </w:tabs>
        <w:numPr>
          <w:ilvl w:val="0"/>
          <w:numId w:val="75"/>
        </w:numPr>
        <w:rPr>
          <w:rFonts w:ascii="Arial" w:cs="Arial" w:eastAsia="Arial" w:hAnsi="Arial"/>
          <w:sz w:val="43"/>
          <w:szCs w:val="43"/>
          <w:b w:val="1"/>
          <w:bCs w:val="1"/>
          <w:color w:val="0067B3"/>
        </w:rPr>
      </w:pPr>
      <w:r>
        <w:rPr>
          <w:rFonts w:ascii="Arial" w:cs="Arial" w:eastAsia="Arial" w:hAnsi="Arial"/>
          <w:sz w:val="18"/>
          <w:szCs w:val="18"/>
          <w:b w:val="1"/>
          <w:bCs w:val="1"/>
          <w:color w:val="0067B3"/>
        </w:rPr>
        <w:t xml:space="preserve">First, we ensure our executive </w:t>
      </w:r>
      <w:r>
        <w:rPr>
          <w:rFonts w:ascii="Arial" w:cs="Arial" w:eastAsia="Arial" w:hAnsi="Arial"/>
          <w:sz w:val="43"/>
          <w:szCs w:val="43"/>
          <w:b w:val="1"/>
          <w:bCs w:val="1"/>
          <w:color w:val="0067B3"/>
        </w:rPr>
        <w:t>2</w:t>
      </w:r>
      <w:r>
        <w:rPr>
          <w:rFonts w:ascii="Arial" w:cs="Arial" w:eastAsia="Arial" w:hAnsi="Arial"/>
          <w:sz w:val="18"/>
          <w:szCs w:val="18"/>
          <w:b w:val="1"/>
          <w:bCs w:val="1"/>
          <w:color w:val="0067B3"/>
        </w:rPr>
        <w:t xml:space="preserve"> compensation is</w:t>
      </w:r>
    </w:p>
    <w:p>
      <w:pPr>
        <w:spacing w:after="0" w:line="1" w:lineRule="exact"/>
        <w:rPr>
          <w:rFonts w:ascii="Arial" w:cs="Arial" w:eastAsia="Arial" w:hAnsi="Arial"/>
          <w:sz w:val="43"/>
          <w:szCs w:val="43"/>
          <w:b w:val="1"/>
          <w:bCs w:val="1"/>
          <w:color w:val="0067B3"/>
        </w:rPr>
      </w:pPr>
    </w:p>
    <w:p>
      <w:pPr>
        <w:ind w:left="1100" w:right="480"/>
        <w:spacing w:after="0" w:line="251" w:lineRule="auto"/>
        <w:rPr>
          <w:rFonts w:ascii="Arial" w:cs="Arial" w:eastAsia="Arial" w:hAnsi="Arial"/>
          <w:sz w:val="43"/>
          <w:szCs w:val="43"/>
          <w:b w:val="1"/>
          <w:bCs w:val="1"/>
          <w:color w:val="0067B3"/>
        </w:rPr>
      </w:pPr>
      <w:r>
        <w:rPr>
          <w:rFonts w:ascii="Arial" w:cs="Arial" w:eastAsia="Arial" w:hAnsi="Arial"/>
          <w:sz w:val="18"/>
          <w:szCs w:val="18"/>
          <w:b w:val="1"/>
          <w:bCs w:val="1"/>
          <w:color w:val="0067B3"/>
        </w:rPr>
        <w:t xml:space="preserve">competitive </w:t>
      </w:r>
      <w:r>
        <w:rPr>
          <w:rFonts w:ascii="Arial" w:cs="Arial" w:eastAsia="Arial" w:hAnsi="Arial"/>
          <w:sz w:val="18"/>
          <w:szCs w:val="18"/>
          <w:color w:val="000000"/>
        </w:rPr>
        <w:t>and attracts and</w:t>
      </w:r>
      <w:r>
        <w:rPr>
          <w:rFonts w:ascii="Arial" w:cs="Arial" w:eastAsia="Arial" w:hAnsi="Arial"/>
          <w:sz w:val="18"/>
          <w:szCs w:val="18"/>
          <w:b w:val="1"/>
          <w:bCs w:val="1"/>
          <w:color w:val="0067B3"/>
        </w:rPr>
        <w:t xml:space="preserve"> </w:t>
      </w:r>
      <w:r>
        <w:rPr>
          <w:rFonts w:ascii="Arial" w:cs="Arial" w:eastAsia="Arial" w:hAnsi="Arial"/>
          <w:sz w:val="18"/>
          <w:szCs w:val="18"/>
          <w:color w:val="000000"/>
        </w:rPr>
        <w:t>retains top executive talent by understanding how the total target compensation (consisting of base salary, variable cash incentive target, and annual long-term incentive compensation) of each of our executive officers compares to the total target compensation of those in similar positions within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-1648460</wp:posOffset>
            </wp:positionV>
            <wp:extent cx="360045" cy="274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0045" cy="27432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-1648460</wp:posOffset>
            </wp:positionV>
            <wp:extent cx="334010" cy="3346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140"/>
        <w:spacing w:after="0" w:line="208" w:lineRule="auto"/>
        <w:rPr>
          <w:sz w:val="20"/>
          <w:szCs w:val="20"/>
          <w:color w:val="auto"/>
        </w:rPr>
      </w:pPr>
      <w:r>
        <w:rPr>
          <w:rFonts w:ascii="Arial" w:cs="Arial" w:eastAsia="Arial" w:hAnsi="Arial"/>
          <w:sz w:val="18"/>
          <w:szCs w:val="18"/>
          <w:b w:val="1"/>
          <w:bCs w:val="1"/>
          <w:color w:val="0067B3"/>
        </w:rPr>
        <w:t xml:space="preserve">We then consider a variety of </w:t>
      </w:r>
      <w:r>
        <w:rPr>
          <w:rFonts w:ascii="Arial" w:cs="Arial" w:eastAsia="Arial" w:hAnsi="Arial"/>
          <w:sz w:val="43"/>
          <w:szCs w:val="43"/>
          <w:b w:val="1"/>
          <w:bCs w:val="1"/>
          <w:color w:val="0067B3"/>
        </w:rPr>
        <w:t>3</w:t>
      </w:r>
      <w:r>
        <w:rPr>
          <w:rFonts w:ascii="Arial" w:cs="Arial" w:eastAsia="Arial" w:hAnsi="Arial"/>
          <w:sz w:val="18"/>
          <w:szCs w:val="18"/>
          <w:b w:val="1"/>
          <w:bCs w:val="1"/>
          <w:color w:val="0067B3"/>
        </w:rPr>
        <w:t xml:space="preserve"> factors</w:t>
      </w:r>
      <w:r>
        <w:rPr>
          <w:rFonts w:ascii="Arial" w:cs="Arial" w:eastAsia="Arial" w:hAnsi="Arial"/>
          <w:sz w:val="18"/>
          <w:szCs w:val="18"/>
          <w:b w:val="1"/>
          <w:bCs w:val="1"/>
          <w:color w:val="000000"/>
        </w:rPr>
        <w:t>,</w:t>
      </w:r>
      <w:r>
        <w:rPr>
          <w:rFonts w:ascii="Arial" w:cs="Arial" w:eastAsia="Arial" w:hAnsi="Arial"/>
          <w:sz w:val="18"/>
          <w:szCs w:val="18"/>
          <w:b w:val="1"/>
          <w:bCs w:val="1"/>
          <w:color w:val="0067B3"/>
        </w:rPr>
        <w:t xml:space="preserve"> </w:t>
      </w:r>
      <w:r>
        <w:rPr>
          <w:rFonts w:ascii="Arial" w:cs="Arial" w:eastAsia="Arial" w:hAnsi="Arial"/>
          <w:sz w:val="18"/>
          <w:szCs w:val="18"/>
          <w:color w:val="000000"/>
        </w:rPr>
        <w:t>including the scope of</w:t>
      </w:r>
    </w:p>
    <w:p>
      <w:pPr>
        <w:spacing w:after="0" w:line="2" w:lineRule="exact"/>
        <w:rPr>
          <w:sz w:val="20"/>
          <w:szCs w:val="20"/>
          <w:color w:val="auto"/>
        </w:rPr>
      </w:pPr>
    </w:p>
    <w:p>
      <w:pPr>
        <w:ind w:right="520"/>
        <w:spacing w:after="0" w:line="252" w:lineRule="auto"/>
        <w:rPr>
          <w:sz w:val="20"/>
          <w:szCs w:val="20"/>
          <w:color w:val="auto"/>
        </w:rPr>
      </w:pPr>
      <w:r>
        <w:rPr>
          <w:rFonts w:ascii="Arial" w:cs="Arial" w:eastAsia="Arial" w:hAnsi="Arial"/>
          <w:sz w:val="18"/>
          <w:szCs w:val="18"/>
          <w:color w:val="auto"/>
        </w:rPr>
        <w:t>the role, tenure in the position, and the performance and experience of the individual when deciding how to position each executive officer’s total target compensation to the total target compensation of those in similar positions within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-1240790</wp:posOffset>
            </wp:positionV>
            <wp:extent cx="334010" cy="3257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401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0067B3"/>
        </w:rPr>
        <w:t xml:space="preserve">We structure our compensation package to align our executive officers’ interests with those of our shareholders </w:t>
      </w:r>
      <w:r>
        <w:rPr>
          <w:rFonts w:ascii="Arial" w:cs="Arial" w:eastAsia="Arial" w:hAnsi="Arial"/>
          <w:sz w:val="17"/>
          <w:szCs w:val="17"/>
          <w:color w:val="000000"/>
        </w:rPr>
        <w:t>by tying a</w:t>
      </w:r>
      <w:r>
        <w:rPr>
          <w:rFonts w:ascii="Arial" w:cs="Arial" w:eastAsia="Arial" w:hAnsi="Arial"/>
          <w:sz w:val="17"/>
          <w:szCs w:val="17"/>
          <w:b w:val="1"/>
          <w:bCs w:val="1"/>
          <w:color w:val="0067B3"/>
        </w:rPr>
        <w:t xml:space="preserve"> </w:t>
      </w:r>
      <w:r>
        <w:rPr>
          <w:rFonts w:ascii="Arial" w:cs="Arial" w:eastAsia="Arial" w:hAnsi="Arial"/>
          <w:sz w:val="17"/>
          <w:szCs w:val="17"/>
          <w:color w:val="000000"/>
        </w:rPr>
        <w:t>significant portion of their total compensation directly to ADI’s short- and long-term performance. For executive officers, this is measured by OPBT, OPBT margin, year-over-year revenue growth, absolute stock price appreciation, and relative TSR, which all drive shareholder value.</w:t>
      </w:r>
    </w:p>
    <w:p>
      <w:pPr>
        <w:spacing w:after="0" w:line="399" w:lineRule="exact"/>
        <w:rPr>
          <w:sz w:val="20"/>
          <w:szCs w:val="20"/>
          <w:color w:val="auto"/>
        </w:rPr>
      </w:pPr>
    </w:p>
    <w:p>
      <w:pPr>
        <w:sectPr>
          <w:pgSz w:w="11900" w:h="16838" w:orient="portrait"/>
          <w:cols w:equalWidth="0" w:num="3">
            <w:col w:w="4120" w:space="720"/>
            <w:col w:w="3040" w:space="720"/>
            <w:col w:w="2580"/>
          </w:cols>
          <w:pgMar w:left="320" w:top="117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hanging="454"/>
        <w:spacing w:after="0"/>
        <w:tabs>
          <w:tab w:leader="none" w:pos="480" w:val="left"/>
        </w:tabs>
        <w:numPr>
          <w:ilvl w:val="0"/>
          <w:numId w:val="7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180"/>
          </w:cols>
          <w:pgMar w:left="320" w:top="1174" w:right="3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27"/>
          <w:szCs w:val="27"/>
          <w:b w:val="1"/>
          <w:bCs w:val="1"/>
          <w:color w:val="0067B3"/>
        </w:rPr>
        <w:t>Factors Considered in Determining Fiscal Year 2022 Target Compensation Levels</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Chief Executive Officer Pay Determination</w:t>
      </w:r>
      <w:r>
        <w:rPr>
          <w:rFonts w:ascii="Arial" w:cs="Arial" w:eastAsia="Arial" w:hAnsi="Arial"/>
          <w:sz w:val="18"/>
          <w:szCs w:val="18"/>
          <w:color w:val="auto"/>
        </w:rPr>
        <w:t>. Mr. Roche has served as our President since 2012, was appointed CEO and elected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in May 2013, and was elected as Chair of the Board of Directors in March 2022. Under his leadership, ADI has experienced significant growth and transformation, including successfully completing the acquisition of Maxim in 2021. In determining Mr. Roche’s compensation as CEO and Chair for fiscal year 2022, the Compensation and Talent Committee considered all elements of Mr. Roche’s compensation and compared his total target compensation to the median chief executive officer compensation of our peer group companies. The Compensation and Talent Committee also considered Mr. Roche’s experience, tenure, and performance developing and executing ADI’s strategy and driving long-term shareholder value. The design of Mr. Roche’s fiscal year 2022 compensation provided incentives that linked realized compensation with ADI’s performance.</w:t>
      </w:r>
    </w:p>
    <w:p>
      <w:pPr>
        <w:spacing w:after="0" w:line="7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color w:val="auto"/>
        </w:rPr>
        <w:t>Pay Determination for Other Executive Officers</w:t>
      </w:r>
      <w:r>
        <w:rPr>
          <w:rFonts w:ascii="Arial" w:cs="Arial" w:eastAsia="Arial" w:hAnsi="Arial"/>
          <w:sz w:val="18"/>
          <w:szCs w:val="18"/>
          <w:color w:val="auto"/>
        </w:rPr>
        <w:t>: In determining fiscal year 2022 compensation for our NEOs, other than Mr. Bryant,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base salary levels, annual incentive plan payout targets, and fiscal year 2022 equity grants, the Compensation and Talent Committee considered the executive’s individual responsibilities and other factors including their performance, experience, tenure, and market data and benchmark information from our peer group companies.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Mr. Bryant joined ADI in March 2022. In determining Mr. Bryant’s new-hire compensation package, the Compensation and Talent Committee, in consultation with Pearl Meyer, considered benchmark information from our peer group companies as well as the responsibilities that Mr. Bryant would have upon joining ADI. For Mr. Bryant’s new-hire equity awards, the Compensation and Talent Committee considered market practices for such awards, the amount of equity that Mr. Bryant was forfeiting as a result of leaving his former employer and the importance of retaining an individual of the caliber and with the experience and skills that Mr. Bryant would bring to ADI. Accordingly, the Compensation and Talent Committee set Mr. Bryant’s annual salary at $750,000 and his annual incentive bonus target at 150% of his base salary. Further, on March 15, 2022, the Compensation and Talent Committee granted Mr. Bryant (1) a time-based RSU award with a target grant value of $5 million, which vests in equal annual installments over a four-year period; (2) a time-based RSU award with a target grant value of $5 million, which vests in full on the third anniversary of the grant date; and (3) a PRSU award with a target grant value of $14 million, which vests subject to the attainment of target share price thresholds during a four-year performance period following the grant date. For more information about Mr. Bryant’s new-hire equity awards see the </w:t>
      </w:r>
      <w:r>
        <w:rPr>
          <w:rFonts w:ascii="Arial" w:cs="Arial" w:eastAsia="Arial" w:hAnsi="Arial"/>
          <w:sz w:val="18"/>
          <w:szCs w:val="18"/>
          <w:i w:val="1"/>
          <w:iCs w:val="1"/>
          <w:color w:val="auto"/>
        </w:rPr>
        <w:t>Equity Vehicle Structure - New-Hire Equity Awards</w:t>
      </w:r>
      <w:r>
        <w:rPr>
          <w:rFonts w:ascii="Arial" w:cs="Arial" w:eastAsia="Arial" w:hAnsi="Arial"/>
          <w:sz w:val="18"/>
          <w:szCs w:val="18"/>
          <w:color w:val="auto"/>
        </w:rPr>
        <w:t xml:space="preserve"> section below in 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34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57</w:t>
      </w:r>
    </w:p>
    <w:p>
      <w:pPr>
        <w:sectPr>
          <w:pgSz w:w="11900" w:h="16838" w:orient="portrait"/>
          <w:cols w:equalWidth="0" w:num="1">
            <w:col w:w="11240"/>
          </w:cols>
          <w:pgMar w:left="320" w:top="1271" w:right="339" w:bottom="1440" w:gutter="0" w:footer="0" w:header="0"/>
        </w:sectPr>
      </w:pPr>
    </w:p>
    <w:bookmarkStart w:id="65" w:name="page66"/>
    <w:bookmarkEnd w:id="65"/>
    <w:p>
      <w:pPr>
        <w:spacing w:after="0"/>
        <w:rPr>
          <w:sz w:val="20"/>
          <w:szCs w:val="20"/>
          <w:color w:val="auto"/>
        </w:rPr>
      </w:pPr>
      <w:r>
        <w:rPr>
          <w:rFonts w:ascii="Arial" w:cs="Arial" w:eastAsia="Arial" w:hAnsi="Arial"/>
          <w:sz w:val="32"/>
          <w:szCs w:val="32"/>
          <w:b w:val="1"/>
          <w:bCs w:val="1"/>
          <w:color w:val="auto"/>
        </w:rPr>
        <w:t>Components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2022, compensation for our executive officers, including our NEOs, consisted of the following principal elements: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shd w:val="clear" w:color="auto" w:fill="BCBEC0"/>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shd w:val="clear" w:color="auto" w:fill="E2E6F4"/>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LONG-TERM</w:t>
            </w:r>
          </w:p>
        </w:tc>
        <w:tc>
          <w:tcPr>
            <w:tcW w:w="520" w:type="dxa"/>
            <w:vAlign w:val="bottom"/>
          </w:tcPr>
          <w:p>
            <w:pPr>
              <w:spacing w:after="0"/>
              <w:rPr>
                <w:sz w:val="19"/>
                <w:szCs w:val="19"/>
                <w:color w:val="auto"/>
              </w:rPr>
            </w:pPr>
          </w:p>
        </w:tc>
        <w:tc>
          <w:tcPr>
            <w:tcW w:w="244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RETIREMENT</w:t>
            </w:r>
          </w:p>
        </w:tc>
      </w:tr>
      <w:tr>
        <w:trPr>
          <w:trHeight w:val="216"/>
        </w:trPr>
        <w:tc>
          <w:tcPr>
            <w:tcW w:w="2420" w:type="dxa"/>
            <w:vAlign w:val="bottom"/>
            <w:shd w:val="clear" w:color="auto" w:fill="BCBEC0"/>
          </w:tcPr>
          <w:p>
            <w:pPr>
              <w:ind w:left="580"/>
              <w:spacing w:after="0"/>
              <w:rPr>
                <w:sz w:val="20"/>
                <w:szCs w:val="20"/>
                <w:color w:val="auto"/>
              </w:rPr>
            </w:pPr>
            <w:r>
              <w:rPr>
                <w:rFonts w:ascii="Arial" w:cs="Arial" w:eastAsia="Arial" w:hAnsi="Arial"/>
                <w:sz w:val="18"/>
                <w:szCs w:val="18"/>
                <w:b w:val="1"/>
                <w:bCs w:val="1"/>
                <w:color w:val="auto"/>
              </w:rPr>
              <w:t>BASE SALARY</w:t>
            </w:r>
          </w:p>
        </w:tc>
        <w:tc>
          <w:tcPr>
            <w:tcW w:w="520" w:type="dxa"/>
            <w:vAlign w:val="bottom"/>
          </w:tcPr>
          <w:p>
            <w:pPr>
              <w:spacing w:after="0"/>
              <w:rPr>
                <w:sz w:val="18"/>
                <w:szCs w:val="18"/>
                <w:color w:val="auto"/>
              </w:rPr>
            </w:pPr>
          </w:p>
        </w:tc>
        <w:tc>
          <w:tcPr>
            <w:tcW w:w="2420" w:type="dxa"/>
            <w:vAlign w:val="bottom"/>
            <w:shd w:val="clear" w:color="auto" w:fill="E2E6F4"/>
          </w:tcPr>
          <w:p>
            <w:pPr>
              <w:ind w:left="40"/>
              <w:spacing w:after="0"/>
              <w:rPr>
                <w:sz w:val="20"/>
                <w:szCs w:val="20"/>
                <w:color w:val="auto"/>
              </w:rPr>
            </w:pPr>
            <w:r>
              <w:rPr>
                <w:rFonts w:ascii="Arial" w:cs="Arial" w:eastAsia="Arial" w:hAnsi="Arial"/>
                <w:sz w:val="18"/>
                <w:szCs w:val="18"/>
                <w:b w:val="1"/>
                <w:bCs w:val="1"/>
                <w:color w:val="0067B3"/>
              </w:rPr>
              <w:t>ANNUAL CASH INCENTIVE</w:t>
            </w:r>
          </w:p>
        </w:tc>
        <w:tc>
          <w:tcPr>
            <w:tcW w:w="500" w:type="dxa"/>
            <w:vAlign w:val="bottom"/>
          </w:tcPr>
          <w:p>
            <w:pPr>
              <w:spacing w:after="0"/>
              <w:rPr>
                <w:sz w:val="18"/>
                <w:szCs w:val="18"/>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rPr>
              <w:t>EQUITY</w:t>
            </w:r>
          </w:p>
        </w:tc>
        <w:tc>
          <w:tcPr>
            <w:tcW w:w="520" w:type="dxa"/>
            <w:vAlign w:val="bottom"/>
          </w:tcPr>
          <w:p>
            <w:pPr>
              <w:spacing w:after="0"/>
              <w:rPr>
                <w:sz w:val="18"/>
                <w:szCs w:val="18"/>
                <w:color w:val="auto"/>
              </w:rPr>
            </w:pPr>
          </w:p>
        </w:tc>
        <w:tc>
          <w:tcPr>
            <w:tcW w:w="244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rPr>
              <w:t>AND OTHER</w:t>
            </w:r>
          </w:p>
        </w:tc>
      </w:tr>
      <w:tr>
        <w:trPr>
          <w:trHeight w:val="262"/>
        </w:trPr>
        <w:tc>
          <w:tcPr>
            <w:tcW w:w="2420" w:type="dxa"/>
            <w:vAlign w:val="bottom"/>
            <w:shd w:val="clear" w:color="auto" w:fill="BCBEC0"/>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shd w:val="clear" w:color="auto" w:fill="E2E6F4"/>
          </w:tcPr>
          <w:p>
            <w:pPr>
              <w:spacing w:after="0"/>
              <w:rPr>
                <w:sz w:val="22"/>
                <w:szCs w:val="22"/>
                <w:color w:val="auto"/>
              </w:rPr>
            </w:pPr>
          </w:p>
        </w:tc>
        <w:tc>
          <w:tcPr>
            <w:tcW w:w="500" w:type="dxa"/>
            <w:vAlign w:val="bottom"/>
          </w:tcPr>
          <w:p>
            <w:pPr>
              <w:spacing w:after="0"/>
              <w:rPr>
                <w:sz w:val="22"/>
                <w:szCs w:val="22"/>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520" w:type="dxa"/>
            <w:vAlign w:val="bottom"/>
          </w:tcPr>
          <w:p>
            <w:pPr>
              <w:spacing w:after="0"/>
              <w:rPr>
                <w:sz w:val="22"/>
                <w:szCs w:val="22"/>
                <w:color w:val="auto"/>
              </w:rPr>
            </w:pPr>
          </w:p>
        </w:tc>
        <w:tc>
          <w:tcPr>
            <w:tcW w:w="2440" w:type="dxa"/>
            <w:vAlign w:val="bottom"/>
            <w:shd w:val="clear" w:color="auto" w:fill="0067B3"/>
          </w:tcPr>
          <w:p>
            <w:pPr>
              <w:jc w:val="center"/>
              <w:spacing w:after="0"/>
              <w:rPr>
                <w:sz w:val="20"/>
                <w:szCs w:val="20"/>
                <w:color w:val="auto"/>
              </w:rPr>
            </w:pPr>
            <w:r>
              <w:rPr>
                <w:rFonts w:ascii="Arial" w:cs="Arial" w:eastAsia="Arial" w:hAnsi="Arial"/>
                <w:sz w:val="18"/>
                <w:szCs w:val="18"/>
                <w:b w:val="1"/>
                <w:bCs w:val="1"/>
                <w:color w:val="FFFFFF"/>
                <w:w w:val="99"/>
              </w:rPr>
              <w:t>EMPLOYEE BENEFITS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-334010</wp:posOffset>
            </wp:positionV>
            <wp:extent cx="16256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-334010</wp:posOffset>
            </wp:positionV>
            <wp:extent cx="16256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-334010</wp:posOffset>
            </wp:positionV>
            <wp:extent cx="16256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p>
      <w:pPr>
        <w:spacing w:after="0" w:line="211" w:lineRule="exact"/>
        <w:rPr>
          <w:sz w:val="20"/>
          <w:szCs w:val="20"/>
          <w:color w:val="auto"/>
        </w:rPr>
      </w:pPr>
    </w:p>
    <w:p>
      <w:pPr>
        <w:ind w:left="20"/>
        <w:spacing w:after="0"/>
        <w:tabs>
          <w:tab w:leader="none" w:pos="2940" w:val="left"/>
        </w:tabs>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Attract and retain</w:t>
      </w:r>
      <w:r>
        <w:rPr>
          <w:sz w:val="20"/>
          <w:szCs w:val="20"/>
          <w:color w:val="auto"/>
        </w:rPr>
        <w:tab/>
      </w:r>
      <w:r>
        <w:rPr>
          <w:rFonts w:ascii="Arial" w:cs="Arial" w:eastAsia="Arial" w:hAnsi="Arial"/>
          <w:sz w:val="17"/>
          <w:szCs w:val="17"/>
          <w:color w:val="0067B3"/>
        </w:rPr>
        <w:t xml:space="preserve">Ñ </w:t>
      </w:r>
      <w:r>
        <w:rPr>
          <w:rFonts w:ascii="Arial" w:cs="Arial" w:eastAsia="Arial" w:hAnsi="Arial"/>
          <w:sz w:val="17"/>
          <w:szCs w:val="17"/>
          <w:color w:val="000000"/>
        </w:rPr>
        <w:t>Link pay and short-term</w:t>
      </w:r>
    </w:p>
    <w:p>
      <w:pPr>
        <w:spacing w:after="0" w:line="27" w:lineRule="exact"/>
        <w:rPr>
          <w:sz w:val="20"/>
          <w:szCs w:val="20"/>
          <w:color w:val="auto"/>
        </w:rPr>
      </w:pPr>
    </w:p>
    <w:p>
      <w:pPr>
        <w:ind w:left="220"/>
        <w:spacing w:after="0"/>
        <w:tabs>
          <w:tab w:leader="none" w:pos="3120" w:val="left"/>
        </w:tabs>
        <w:rPr>
          <w:sz w:val="20"/>
          <w:szCs w:val="20"/>
          <w:color w:val="auto"/>
        </w:rPr>
      </w:pPr>
      <w:r>
        <w:rPr>
          <w:rFonts w:ascii="Arial" w:cs="Arial" w:eastAsia="Arial" w:hAnsi="Arial"/>
          <w:sz w:val="18"/>
          <w:szCs w:val="18"/>
          <w:color w:val="auto"/>
        </w:rPr>
        <w:t>executive talent</w:t>
      </w:r>
      <w:r>
        <w:rPr>
          <w:sz w:val="20"/>
          <w:szCs w:val="20"/>
          <w:color w:val="auto"/>
        </w:rPr>
        <w:tab/>
      </w:r>
      <w:r>
        <w:rPr>
          <w:rFonts w:ascii="Arial" w:cs="Arial" w:eastAsia="Arial" w:hAnsi="Arial"/>
          <w:sz w:val="18"/>
          <w:szCs w:val="18"/>
          <w:color w:val="auto"/>
        </w:rPr>
        <w:t>company performance</w:t>
      </w:r>
    </w:p>
    <w:p>
      <w:pPr>
        <w:spacing w:after="0" w:line="99" w:lineRule="exact"/>
        <w:rPr>
          <w:sz w:val="20"/>
          <w:szCs w:val="20"/>
          <w:color w:val="auto"/>
        </w:rPr>
      </w:pPr>
    </w:p>
    <w:p>
      <w:pPr>
        <w:ind w:left="20"/>
        <w:spacing w:after="0"/>
        <w:tabs>
          <w:tab w:leader="none" w:pos="2940" w:val="left"/>
        </w:tabs>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Provide stable source</w:t>
      </w:r>
      <w:r>
        <w:rPr>
          <w:sz w:val="20"/>
          <w:szCs w:val="20"/>
          <w:color w:val="auto"/>
        </w:rPr>
        <w:tab/>
      </w:r>
      <w:r>
        <w:rPr>
          <w:rFonts w:ascii="Arial" w:cs="Arial" w:eastAsia="Arial" w:hAnsi="Arial"/>
          <w:sz w:val="17"/>
          <w:szCs w:val="17"/>
          <w:color w:val="0067B3"/>
        </w:rPr>
        <w:t xml:space="preserve">Ñ </w:t>
      </w:r>
      <w:r>
        <w:rPr>
          <w:rFonts w:ascii="Arial" w:cs="Arial" w:eastAsia="Arial" w:hAnsi="Arial"/>
          <w:sz w:val="17"/>
          <w:szCs w:val="17"/>
          <w:color w:val="000000"/>
        </w:rPr>
        <w:t>Motivate and reward</w:t>
      </w:r>
    </w:p>
    <w:p>
      <w:pPr>
        <w:spacing w:after="0" w:line="27" w:lineRule="exact"/>
        <w:rPr>
          <w:sz w:val="20"/>
          <w:szCs w:val="20"/>
          <w:color w:val="auto"/>
        </w:rPr>
      </w:pPr>
    </w:p>
    <w:p>
      <w:pPr>
        <w:ind w:left="220"/>
        <w:spacing w:after="0"/>
        <w:tabs>
          <w:tab w:leader="none" w:pos="3120" w:val="left"/>
        </w:tabs>
        <w:rPr>
          <w:sz w:val="20"/>
          <w:szCs w:val="20"/>
          <w:color w:val="auto"/>
        </w:rPr>
      </w:pPr>
      <w:r>
        <w:rPr>
          <w:rFonts w:ascii="Arial" w:cs="Arial" w:eastAsia="Arial" w:hAnsi="Arial"/>
          <w:sz w:val="18"/>
          <w:szCs w:val="18"/>
          <w:color w:val="auto"/>
        </w:rPr>
        <w:t>of income</w:t>
      </w:r>
      <w:r>
        <w:rPr>
          <w:sz w:val="20"/>
          <w:szCs w:val="20"/>
          <w:color w:val="auto"/>
        </w:rPr>
        <w:tab/>
      </w:r>
      <w:r>
        <w:rPr>
          <w:rFonts w:ascii="Arial" w:cs="Arial" w:eastAsia="Arial" w:hAnsi="Arial"/>
          <w:sz w:val="18"/>
          <w:szCs w:val="18"/>
          <w:color w:val="auto"/>
        </w:rPr>
        <w:t>executives for achieving</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short-term company</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financial objectives aligned</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with value creation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left="195" w:right="320" w:hanging="195"/>
        <w:spacing w:after="0" w:line="287" w:lineRule="auto"/>
        <w:tabs>
          <w:tab w:leader="none" w:pos="158" w:val="left"/>
        </w:tabs>
        <w:numPr>
          <w:ilvl w:val="0"/>
          <w:numId w:val="77"/>
        </w:numPr>
        <w:rPr>
          <w:rFonts w:ascii="Arial" w:cs="Arial" w:eastAsia="Arial" w:hAnsi="Arial"/>
          <w:sz w:val="18"/>
          <w:szCs w:val="18"/>
          <w:color w:val="0067B3"/>
        </w:rPr>
      </w:pPr>
      <w:r>
        <w:rPr>
          <w:rFonts w:ascii="Arial" w:cs="Arial" w:eastAsia="Arial" w:hAnsi="Arial"/>
          <w:sz w:val="18"/>
          <w:szCs w:val="18"/>
          <w:color w:val="auto"/>
        </w:rPr>
        <w:t>Link pay and long-term company performance</w:t>
      </w:r>
    </w:p>
    <w:p>
      <w:pPr>
        <w:spacing w:after="0" w:line="44" w:lineRule="exact"/>
        <w:rPr>
          <w:rFonts w:ascii="Arial" w:cs="Arial" w:eastAsia="Arial" w:hAnsi="Arial"/>
          <w:sz w:val="18"/>
          <w:szCs w:val="18"/>
          <w:color w:val="0067B3"/>
        </w:rPr>
      </w:pPr>
    </w:p>
    <w:p>
      <w:pPr>
        <w:ind w:left="195" w:hanging="195"/>
        <w:spacing w:after="0" w:line="255" w:lineRule="auto"/>
        <w:tabs>
          <w:tab w:leader="none" w:pos="158" w:val="left"/>
        </w:tabs>
        <w:numPr>
          <w:ilvl w:val="0"/>
          <w:numId w:val="77"/>
        </w:numPr>
        <w:rPr>
          <w:rFonts w:ascii="Arial" w:cs="Arial" w:eastAsia="Arial" w:hAnsi="Arial"/>
          <w:sz w:val="18"/>
          <w:szCs w:val="18"/>
          <w:color w:val="0067B3"/>
        </w:rPr>
      </w:pPr>
      <w:r>
        <w:rPr>
          <w:rFonts w:ascii="Arial" w:cs="Arial" w:eastAsia="Arial" w:hAnsi="Arial"/>
          <w:sz w:val="18"/>
          <w:szCs w:val="18"/>
          <w:color w:val="auto"/>
        </w:rPr>
        <w:t>Align the interests of executives with shareholders by rewarding long-term stock</w:t>
      </w:r>
    </w:p>
    <w:p>
      <w:pPr>
        <w:spacing w:after="0" w:line="2" w:lineRule="exact"/>
        <w:rPr>
          <w:rFonts w:ascii="Arial" w:cs="Arial" w:eastAsia="Arial" w:hAnsi="Arial"/>
          <w:sz w:val="18"/>
          <w:szCs w:val="18"/>
          <w:color w:val="0067B3"/>
        </w:rPr>
      </w:pPr>
    </w:p>
    <w:p>
      <w:pPr>
        <w:ind w:left="195"/>
        <w:spacing w:after="0"/>
        <w:rPr>
          <w:rFonts w:ascii="Arial" w:cs="Arial" w:eastAsia="Arial" w:hAnsi="Arial"/>
          <w:sz w:val="18"/>
          <w:szCs w:val="18"/>
          <w:color w:val="0067B3"/>
        </w:rPr>
      </w:pPr>
      <w:r>
        <w:rPr>
          <w:rFonts w:ascii="Arial" w:cs="Arial" w:eastAsia="Arial" w:hAnsi="Arial"/>
          <w:sz w:val="18"/>
          <w:szCs w:val="18"/>
          <w:color w:val="auto"/>
        </w:rPr>
        <w:t>price appreciation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86" w:right="200" w:hanging="186"/>
        <w:spacing w:after="0" w:line="268" w:lineRule="auto"/>
        <w:tabs>
          <w:tab w:leader="none" w:pos="148" w:val="left"/>
        </w:tabs>
        <w:numPr>
          <w:ilvl w:val="0"/>
          <w:numId w:val="78"/>
        </w:numPr>
        <w:rPr>
          <w:rFonts w:ascii="Arial" w:cs="Arial" w:eastAsia="Arial" w:hAnsi="Arial"/>
          <w:sz w:val="18"/>
          <w:szCs w:val="18"/>
          <w:color w:val="0067B3"/>
        </w:rPr>
      </w:pPr>
      <w:r>
        <w:rPr>
          <w:rFonts w:ascii="Arial" w:cs="Arial" w:eastAsia="Arial" w:hAnsi="Arial"/>
          <w:sz w:val="18"/>
          <w:szCs w:val="18"/>
          <w:color w:val="auto"/>
        </w:rPr>
        <w:t>Retain executive talent by providing financial protection and security</w:t>
      </w:r>
    </w:p>
    <w:p>
      <w:pPr>
        <w:spacing w:after="0" w:line="1135" w:lineRule="exact"/>
        <w:rPr>
          <w:sz w:val="20"/>
          <w:szCs w:val="20"/>
          <w:color w:val="auto"/>
        </w:rPr>
      </w:pPr>
    </w:p>
    <w:p>
      <w:pPr>
        <w:sectPr>
          <w:pgSz w:w="11900" w:h="16838" w:orient="portrait"/>
          <w:cols w:equalWidth="0" w:num="3">
            <w:col w:w="5300" w:space="585"/>
            <w:col w:w="2315" w:space="614"/>
            <w:col w:w="2426"/>
          </w:cols>
          <w:pgMar w:left="320" w:top="1311" w:right="3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Base Salary</w:t>
      </w:r>
    </w:p>
    <w:p>
      <w:pPr>
        <w:spacing w:after="0" w:line="14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use salaries for similar positions within our peer group companies as an important factor in setting the base salaries of our executive officers at a level designed to attract and retain talent. When setting the fiscal year 2022 base salary for each individual executive officer, the Compensation and Talent Committee also considered other factors, including the scope of the role and the performance and experience of the individual.</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Performance Incentive Plan</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Compensation and Talent Committee approved the terms of our executive performance incentive plan for the first half of fiscal year 2022 on September 8, 2021, and for the second half of fiscal year 2022 on April 4, 2022. The plans are designed to be variable, depending on ADI’s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executive officers, including our NEOs, participated in our fiscal year 2022 executive performance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calculated and paid bonuses under the plans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shd w:val="clear" w:color="auto" w:fill="BCBEC0"/>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INDIVIDUAL</w:t>
            </w:r>
          </w:p>
        </w:tc>
        <w:tc>
          <w:tcPr>
            <w:tcW w:w="500" w:type="dxa"/>
            <w:vAlign w:val="bottom"/>
          </w:tcPr>
          <w:p>
            <w:pPr>
              <w:spacing w:after="0"/>
              <w:rPr>
                <w:sz w:val="19"/>
                <w:szCs w:val="19"/>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BONUS</w:t>
            </w:r>
          </w:p>
        </w:tc>
        <w:tc>
          <w:tcPr>
            <w:tcW w:w="540" w:type="dxa"/>
            <w:vAlign w:val="bottom"/>
          </w:tcPr>
          <w:p>
            <w:pPr>
              <w:spacing w:after="0"/>
              <w:rPr>
                <w:sz w:val="19"/>
                <w:szCs w:val="19"/>
                <w:color w:val="auto"/>
              </w:rPr>
            </w:pPr>
          </w:p>
        </w:tc>
        <w:tc>
          <w:tcPr>
            <w:tcW w:w="2420" w:type="dxa"/>
            <w:vAlign w:val="bottom"/>
            <w:shd w:val="clear" w:color="auto" w:fill="0067B3"/>
          </w:tcPr>
          <w:p>
            <w:pPr>
              <w:spacing w:after="0"/>
              <w:rPr>
                <w:sz w:val="19"/>
                <w:szCs w:val="19"/>
                <w:color w:val="auto"/>
              </w:rPr>
            </w:pPr>
          </w:p>
        </w:tc>
      </w:tr>
      <w:tr>
        <w:trPr>
          <w:trHeight w:val="216"/>
        </w:trPr>
        <w:tc>
          <w:tcPr>
            <w:tcW w:w="2420" w:type="dxa"/>
            <w:vAlign w:val="bottom"/>
            <w:shd w:val="clear" w:color="auto" w:fill="BCBEC0"/>
          </w:tcPr>
          <w:p>
            <w:pPr>
              <w:ind w:left="580"/>
              <w:spacing w:after="0"/>
              <w:rPr>
                <w:sz w:val="20"/>
                <w:szCs w:val="20"/>
                <w:color w:val="auto"/>
              </w:rPr>
            </w:pPr>
            <w:r>
              <w:rPr>
                <w:rFonts w:ascii="Arial" w:cs="Arial" w:eastAsia="Arial" w:hAnsi="Arial"/>
                <w:sz w:val="18"/>
                <w:szCs w:val="18"/>
                <w:b w:val="1"/>
                <w:bCs w:val="1"/>
                <w:color w:val="auto"/>
              </w:rPr>
              <w:t>BASE SALARY</w:t>
            </w:r>
          </w:p>
        </w:tc>
        <w:tc>
          <w:tcPr>
            <w:tcW w:w="520" w:type="dxa"/>
            <w:vAlign w:val="bottom"/>
          </w:tcPr>
          <w:p>
            <w:pPr>
              <w:spacing w:after="0"/>
              <w:rPr>
                <w:sz w:val="18"/>
                <w:szCs w:val="18"/>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8"/>
              </w:rPr>
              <w:t>TARGET BONUS</w:t>
            </w:r>
          </w:p>
        </w:tc>
        <w:tc>
          <w:tcPr>
            <w:tcW w:w="500" w:type="dxa"/>
            <w:vAlign w:val="bottom"/>
          </w:tcPr>
          <w:p>
            <w:pPr>
              <w:spacing w:after="0"/>
              <w:rPr>
                <w:sz w:val="18"/>
                <w:szCs w:val="18"/>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5"/>
              </w:rPr>
              <w:t>PAYOUT</w:t>
            </w:r>
          </w:p>
        </w:tc>
        <w:tc>
          <w:tcPr>
            <w:tcW w:w="540" w:type="dxa"/>
            <w:vAlign w:val="bottom"/>
          </w:tcPr>
          <w:p>
            <w:pPr>
              <w:spacing w:after="0"/>
              <w:rPr>
                <w:sz w:val="18"/>
                <w:szCs w:val="18"/>
                <w:color w:val="auto"/>
              </w:rPr>
            </w:pPr>
          </w:p>
        </w:tc>
        <w:tc>
          <w:tcPr>
            <w:tcW w:w="2420" w:type="dxa"/>
            <w:vAlign w:val="bottom"/>
            <w:shd w:val="clear" w:color="auto" w:fill="0067B3"/>
          </w:tcPr>
          <w:p>
            <w:pPr>
              <w:ind w:left="500"/>
              <w:spacing w:after="0"/>
              <w:rPr>
                <w:sz w:val="20"/>
                <w:szCs w:val="20"/>
                <w:color w:val="auto"/>
              </w:rPr>
            </w:pPr>
            <w:r>
              <w:rPr>
                <w:rFonts w:ascii="Arial" w:cs="Arial" w:eastAsia="Arial" w:hAnsi="Arial"/>
                <w:sz w:val="18"/>
                <w:szCs w:val="18"/>
                <w:b w:val="1"/>
                <w:bCs w:val="1"/>
                <w:color w:val="FFFFFF"/>
              </w:rPr>
              <w:t>BONUS PAYOUT</w:t>
            </w:r>
          </w:p>
        </w:tc>
      </w:tr>
      <w:tr>
        <w:trPr>
          <w:trHeight w:val="262"/>
        </w:trPr>
        <w:tc>
          <w:tcPr>
            <w:tcW w:w="2420" w:type="dxa"/>
            <w:vAlign w:val="bottom"/>
            <w:shd w:val="clear" w:color="auto" w:fill="BCBEC0"/>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shd w:val="clear" w:color="auto" w:fill="E2E6F4"/>
          </w:tcPr>
          <w:p>
            <w:pPr>
              <w:jc w:val="center"/>
              <w:spacing w:after="0"/>
              <w:rPr>
                <w:sz w:val="20"/>
                <w:szCs w:val="20"/>
                <w:color w:val="auto"/>
              </w:rPr>
            </w:pPr>
            <w:r>
              <w:rPr>
                <w:rFonts w:ascii="Arial" w:cs="Arial" w:eastAsia="Arial" w:hAnsi="Arial"/>
                <w:sz w:val="18"/>
                <w:szCs w:val="18"/>
                <w:b w:val="1"/>
                <w:bCs w:val="1"/>
                <w:color w:val="0067B3"/>
                <w:w w:val="99"/>
              </w:rPr>
              <w:t>PERCENTAGE</w:t>
            </w:r>
          </w:p>
        </w:tc>
        <w:tc>
          <w:tcPr>
            <w:tcW w:w="500" w:type="dxa"/>
            <w:vAlign w:val="bottom"/>
          </w:tcPr>
          <w:p>
            <w:pPr>
              <w:spacing w:after="0"/>
              <w:rPr>
                <w:sz w:val="22"/>
                <w:szCs w:val="22"/>
                <w:color w:val="auto"/>
              </w:rPr>
            </w:pPr>
          </w:p>
        </w:tc>
        <w:tc>
          <w:tcPr>
            <w:tcW w:w="2420" w:type="dxa"/>
            <w:vAlign w:val="bottom"/>
            <w:shd w:val="clear" w:color="auto" w:fill="7292CB"/>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540" w:type="dxa"/>
            <w:vAlign w:val="bottom"/>
          </w:tcPr>
          <w:p>
            <w:pPr>
              <w:spacing w:after="0"/>
              <w:rPr>
                <w:sz w:val="22"/>
                <w:szCs w:val="22"/>
                <w:color w:val="auto"/>
              </w:rPr>
            </w:pPr>
          </w:p>
        </w:tc>
        <w:tc>
          <w:tcPr>
            <w:tcW w:w="2420" w:type="dxa"/>
            <w:vAlign w:val="bottom"/>
            <w:shd w:val="clear" w:color="auto" w:fill="0067B3"/>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-334010</wp:posOffset>
            </wp:positionV>
            <wp:extent cx="16256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-334010</wp:posOffset>
            </wp:positionV>
            <wp:extent cx="16256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-334010</wp:posOffset>
            </wp:positionV>
            <wp:extent cx="16256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Individual Target Bonus Percentage</w:t>
      </w:r>
    </w:p>
    <w:p>
      <w:pPr>
        <w:spacing w:after="0" w:line="1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fiscal year 2022, the Compensation and Talent Committee set target percentages of 200% of base salary for our CEO and ranging from 125% to 150% for each of our NEOs other than our CEO, as part of our fiscal year 2022 compensation cycle. The Compensation and Talent Committee selected these target bonus percentages to ensure that a substantial portion of each executive officer’s cash compensation is performance-based and linked directly to our business performance, and to ensure that total compensation is competitive with those in similar positions within our peer group companies. Setting our CEO’s target at 200% also ties the majority of his cash compensation directly to company performance.</w:t>
      </w:r>
    </w:p>
    <w:p>
      <w:pPr>
        <w:spacing w:after="0" w:line="200" w:lineRule="exact"/>
        <w:rPr>
          <w:sz w:val="20"/>
          <w:szCs w:val="20"/>
          <w:color w:val="auto"/>
        </w:rPr>
      </w:pPr>
    </w:p>
    <w:p>
      <w:pPr>
        <w:spacing w:after="0" w:line="296" w:lineRule="exact"/>
        <w:rPr>
          <w:sz w:val="20"/>
          <w:szCs w:val="20"/>
          <w:color w:val="auto"/>
        </w:rPr>
      </w:pPr>
    </w:p>
    <w:p>
      <w:pPr>
        <w:ind w:left="480" w:hanging="454"/>
        <w:spacing w:after="0"/>
        <w:tabs>
          <w:tab w:leader="none" w:pos="480" w:val="left"/>
        </w:tabs>
        <w:numPr>
          <w:ilvl w:val="0"/>
          <w:numId w:val="79"/>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11"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3"/>
          <w:szCs w:val="23"/>
          <w:b w:val="1"/>
          <w:bCs w:val="1"/>
          <w:color w:val="auto"/>
        </w:rPr>
        <w:t>Bonus Payout Factor</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fiscal year 2022, we based the bonus payout factor for the applicable quarterly bonus period on our OPBT margin and year-over-year revenue growth compared to the same quarter in the prior year. While our executive performance incentive plan contains quarterly performance targets, the Compensation and Talent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and Talent Committee reviews and approves our performance targets, and historically these targets have not been re-set during the performance period,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typically set annually, we measure performance against those targets on a quarterly basis, applying the corresponding bonus payout factor to base salary for that quarter, and pay the bonus amounts to our executive officers on a semi-annual basis following the end of the second and fourth fiscal quarters.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The Compensation and Talent Committee strives to set challenging growth targets that will remain in place for more than one year and are aligned with our long-term strategy. As part of our continued integration of ADI and Maxim compensation programs, at the beginning of the second half of fiscal 2022, we transitioned legacy ADI and Maxim employees onto a common bonus plan. To facilitate this transition, the Compensation and Talent Committee determined the first half of fiscal year 2022 OPBT margin and year-over-year revenue growth targets for the executive performance incentive plan would remain the same as fiscal year 2021 representing legacy ADI quarterly performance targets, which were consistent with the company’s long-term strategy at the time. Accordingly, the financial results for Maxim were also excluded when determining the bonus payout factors for the first and second quarters of fiscal 2022. For the second half of fiscal year 2022, the Compensation and Talent Committee increased both the OPBT margin and revenue growth targets to set new challenging targets to align with the updated financial profile and business strategy of the combined company and to incentivize employees to achieve industry-leading profit margins and long-term growth.</w:t>
      </w:r>
    </w:p>
    <w:p>
      <w:pPr>
        <w:spacing w:after="0" w:line="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Compensation and Talent Committee implemented the following targets for the executive performance incentive plan for the first half of fiscal year 2022 and second half of fiscal year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gridSpan w:val="4"/>
            <w:shd w:val="clear" w:color="auto" w:fill="0067B3"/>
          </w:tcPr>
          <w:p>
            <w:pPr>
              <w:jc w:val="center"/>
              <w:ind w:left="674"/>
              <w:spacing w:after="0"/>
              <w:rPr>
                <w:sz w:val="20"/>
                <w:szCs w:val="20"/>
                <w:color w:val="auto"/>
              </w:rPr>
            </w:pPr>
            <w:r>
              <w:rPr>
                <w:rFonts w:ascii="Arial" w:cs="Arial" w:eastAsia="Arial" w:hAnsi="Arial"/>
                <w:sz w:val="18"/>
                <w:szCs w:val="18"/>
                <w:color w:val="FFFFFF"/>
                <w:w w:val="97"/>
              </w:rPr>
              <w:t xml:space="preserve">1H FY22 ADI Bonus Plan Targets </w:t>
            </w:r>
            <w:r>
              <w:rPr>
                <w:rFonts w:ascii="Arial" w:cs="Arial" w:eastAsia="Arial" w:hAnsi="Arial"/>
                <w:sz w:val="23"/>
                <w:szCs w:val="23"/>
                <w:color w:val="FFFFFF"/>
                <w:w w:val="97"/>
                <w:vertAlign w:val="superscript"/>
              </w:rPr>
              <w:t>(1)</w:t>
            </w:r>
          </w:p>
        </w:tc>
        <w:tc>
          <w:tcPr>
            <w:tcW w:w="740" w:type="dxa"/>
            <w:vAlign w:val="bottom"/>
            <w:shd w:val="clear" w:color="auto" w:fill="0067B3"/>
          </w:tcPr>
          <w:p>
            <w:pPr>
              <w:spacing w:after="0"/>
              <w:rPr>
                <w:sz w:val="23"/>
                <w:szCs w:val="23"/>
                <w:color w:val="auto"/>
              </w:rPr>
            </w:pPr>
          </w:p>
        </w:tc>
        <w:tc>
          <w:tcPr>
            <w:tcW w:w="1660" w:type="dxa"/>
            <w:vAlign w:val="bottom"/>
          </w:tcPr>
          <w:p>
            <w:pPr>
              <w:spacing w:after="0"/>
              <w:rPr>
                <w:sz w:val="23"/>
                <w:szCs w:val="23"/>
                <w:color w:val="auto"/>
              </w:rPr>
            </w:pPr>
          </w:p>
        </w:tc>
        <w:tc>
          <w:tcPr>
            <w:tcW w:w="3740" w:type="dxa"/>
            <w:vAlign w:val="bottom"/>
            <w:gridSpan w:val="4"/>
            <w:shd w:val="clear" w:color="auto" w:fill="7292CB"/>
          </w:tcPr>
          <w:p>
            <w:pPr>
              <w:jc w:val="center"/>
              <w:ind w:left="654"/>
              <w:spacing w:after="0"/>
              <w:rPr>
                <w:sz w:val="20"/>
                <w:szCs w:val="20"/>
                <w:color w:val="auto"/>
              </w:rPr>
            </w:pPr>
            <w:r>
              <w:rPr>
                <w:rFonts w:ascii="Arial" w:cs="Arial" w:eastAsia="Arial" w:hAnsi="Arial"/>
                <w:sz w:val="18"/>
                <w:szCs w:val="18"/>
                <w:color w:val="FFFFFF"/>
                <w:w w:val="96"/>
              </w:rPr>
              <w:t xml:space="preserve">2H FY22 ADI Bonus Plan Targets </w:t>
            </w:r>
            <w:r>
              <w:rPr>
                <w:rFonts w:ascii="Arial" w:cs="Arial" w:eastAsia="Arial" w:hAnsi="Arial"/>
                <w:sz w:val="23"/>
                <w:szCs w:val="23"/>
                <w:color w:val="FFFFFF"/>
                <w:w w:val="96"/>
                <w:vertAlign w:val="superscript"/>
              </w:rPr>
              <w:t>(1)</w:t>
            </w:r>
          </w:p>
        </w:tc>
        <w:tc>
          <w:tcPr>
            <w:tcW w:w="740" w:type="dxa"/>
            <w:vAlign w:val="bottom"/>
            <w:shd w:val="clear" w:color="auto" w:fill="7292CB"/>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96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96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0067B3"/>
          </w:tcPr>
          <w:p>
            <w:pPr>
              <w:ind w:left="500"/>
              <w:spacing w:after="0"/>
              <w:rPr>
                <w:sz w:val="20"/>
                <w:szCs w:val="20"/>
                <w:color w:val="auto"/>
              </w:rPr>
            </w:pPr>
            <w:r>
              <w:rPr>
                <w:rFonts w:ascii="Arial" w:cs="Arial" w:eastAsia="Arial" w:hAnsi="Arial"/>
                <w:sz w:val="16"/>
                <w:szCs w:val="16"/>
                <w:color w:val="FFFFFF"/>
              </w:rPr>
              <w:t>OPBT Margin</w:t>
            </w:r>
          </w:p>
        </w:tc>
        <w:tc>
          <w:tcPr>
            <w:tcW w:w="340" w:type="dxa"/>
            <w:vAlign w:val="bottom"/>
          </w:tcPr>
          <w:p>
            <w:pPr>
              <w:spacing w:after="0"/>
              <w:rPr>
                <w:sz w:val="23"/>
                <w:szCs w:val="23"/>
                <w:color w:val="auto"/>
              </w:rPr>
            </w:pPr>
          </w:p>
        </w:tc>
        <w:tc>
          <w:tcPr>
            <w:tcW w:w="1440" w:type="dxa"/>
            <w:vAlign w:val="bottom"/>
            <w:shd w:val="clear" w:color="auto" w:fill="0067B3"/>
          </w:tcPr>
          <w:p>
            <w:pPr>
              <w:jc w:val="right"/>
              <w:spacing w:after="0"/>
              <w:rPr>
                <w:sz w:val="20"/>
                <w:szCs w:val="20"/>
                <w:color w:val="auto"/>
              </w:rPr>
            </w:pPr>
            <w:r>
              <w:rPr>
                <w:rFonts w:ascii="Arial" w:cs="Arial" w:eastAsia="Arial" w:hAnsi="Arial"/>
                <w:sz w:val="16"/>
                <w:szCs w:val="16"/>
                <w:color w:val="FFFFFF"/>
              </w:rPr>
              <w:t>Revenue</w:t>
            </w:r>
          </w:p>
        </w:tc>
        <w:tc>
          <w:tcPr>
            <w:tcW w:w="740" w:type="dxa"/>
            <w:vAlign w:val="bottom"/>
            <w:shd w:val="clear" w:color="auto" w:fill="0067B3"/>
          </w:tcPr>
          <w:p>
            <w:pPr>
              <w:spacing w:after="0"/>
              <w:rPr>
                <w:sz w:val="23"/>
                <w:szCs w:val="23"/>
                <w:color w:val="auto"/>
              </w:rPr>
            </w:pPr>
          </w:p>
        </w:tc>
        <w:tc>
          <w:tcPr>
            <w:tcW w:w="1660" w:type="dxa"/>
            <w:vAlign w:val="bottom"/>
          </w:tcPr>
          <w:p>
            <w:pPr>
              <w:spacing w:after="0"/>
              <w:rPr>
                <w:sz w:val="23"/>
                <w:szCs w:val="23"/>
                <w:color w:val="auto"/>
              </w:rPr>
            </w:pPr>
          </w:p>
        </w:tc>
        <w:tc>
          <w:tcPr>
            <w:tcW w:w="1960" w:type="dxa"/>
            <w:vAlign w:val="bottom"/>
            <w:gridSpan w:val="2"/>
            <w:shd w:val="clear" w:color="auto" w:fill="7292CB"/>
          </w:tcPr>
          <w:p>
            <w:pPr>
              <w:ind w:left="500"/>
              <w:spacing w:after="0"/>
              <w:rPr>
                <w:sz w:val="20"/>
                <w:szCs w:val="20"/>
                <w:color w:val="auto"/>
              </w:rPr>
            </w:pPr>
            <w:r>
              <w:rPr>
                <w:rFonts w:ascii="Arial" w:cs="Arial" w:eastAsia="Arial" w:hAnsi="Arial"/>
                <w:sz w:val="16"/>
                <w:szCs w:val="16"/>
                <w:color w:val="FFFFFF"/>
              </w:rPr>
              <w:t>OPBT Margin</w:t>
            </w:r>
          </w:p>
        </w:tc>
        <w:tc>
          <w:tcPr>
            <w:tcW w:w="340" w:type="dxa"/>
            <w:vAlign w:val="bottom"/>
          </w:tcPr>
          <w:p>
            <w:pPr>
              <w:spacing w:after="0"/>
              <w:rPr>
                <w:sz w:val="23"/>
                <w:szCs w:val="23"/>
                <w:color w:val="auto"/>
              </w:rPr>
            </w:pPr>
          </w:p>
        </w:tc>
        <w:tc>
          <w:tcPr>
            <w:tcW w:w="1440" w:type="dxa"/>
            <w:vAlign w:val="bottom"/>
            <w:shd w:val="clear" w:color="auto" w:fill="7292CB"/>
          </w:tcPr>
          <w:p>
            <w:pPr>
              <w:jc w:val="right"/>
              <w:spacing w:after="0"/>
              <w:rPr>
                <w:sz w:val="20"/>
                <w:szCs w:val="20"/>
                <w:color w:val="auto"/>
              </w:rPr>
            </w:pPr>
            <w:r>
              <w:rPr>
                <w:rFonts w:ascii="Arial" w:cs="Arial" w:eastAsia="Arial" w:hAnsi="Arial"/>
                <w:sz w:val="16"/>
                <w:szCs w:val="16"/>
                <w:color w:val="FFFFFF"/>
              </w:rPr>
              <w:t>Revenue</w:t>
            </w:r>
          </w:p>
        </w:tc>
        <w:tc>
          <w:tcPr>
            <w:tcW w:w="740" w:type="dxa"/>
            <w:vAlign w:val="bottom"/>
            <w:shd w:val="clear" w:color="auto" w:fill="7292CB"/>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0067B3"/>
          </w:tcPr>
          <w:p>
            <w:pPr>
              <w:jc w:val="center"/>
              <w:ind w:left="34"/>
              <w:spacing w:after="0"/>
              <w:rPr>
                <w:sz w:val="20"/>
                <w:szCs w:val="20"/>
                <w:color w:val="auto"/>
              </w:rPr>
            </w:pPr>
            <w:r>
              <w:rPr>
                <w:rFonts w:ascii="Arial" w:cs="Arial" w:eastAsia="Arial" w:hAnsi="Arial"/>
                <w:sz w:val="16"/>
                <w:szCs w:val="16"/>
                <w:color w:val="FFFFFF"/>
              </w:rPr>
              <w:t>OPBT</w:t>
            </w:r>
          </w:p>
        </w:tc>
        <w:tc>
          <w:tcPr>
            <w:tcW w:w="1040" w:type="dxa"/>
            <w:vAlign w:val="bottom"/>
            <w:shd w:val="clear" w:color="auto" w:fill="0067B3"/>
          </w:tcPr>
          <w:p>
            <w:pPr>
              <w:jc w:val="center"/>
              <w:ind w:left="53"/>
              <w:spacing w:after="0"/>
              <w:rPr>
                <w:sz w:val="20"/>
                <w:szCs w:val="20"/>
                <w:color w:val="auto"/>
              </w:rPr>
            </w:pPr>
            <w:r>
              <w:rPr>
                <w:rFonts w:ascii="Arial" w:cs="Arial" w:eastAsia="Arial" w:hAnsi="Arial"/>
                <w:sz w:val="16"/>
                <w:szCs w:val="16"/>
                <w:color w:val="FFFFFF"/>
              </w:rPr>
              <w:t>Bonus</w:t>
            </w:r>
          </w:p>
        </w:tc>
        <w:tc>
          <w:tcPr>
            <w:tcW w:w="340" w:type="dxa"/>
            <w:vAlign w:val="bottom"/>
          </w:tcPr>
          <w:p>
            <w:pPr>
              <w:spacing w:after="0"/>
              <w:rPr>
                <w:sz w:val="18"/>
                <w:szCs w:val="18"/>
                <w:color w:val="auto"/>
              </w:rPr>
            </w:pPr>
          </w:p>
        </w:tc>
        <w:tc>
          <w:tcPr>
            <w:tcW w:w="1440" w:type="dxa"/>
            <w:vAlign w:val="bottom"/>
            <w:vMerge w:val="restart"/>
            <w:shd w:val="clear" w:color="auto" w:fill="0067B3"/>
          </w:tcPr>
          <w:p>
            <w:pPr>
              <w:jc w:val="right"/>
              <w:ind w:right="294"/>
              <w:spacing w:after="0"/>
              <w:rPr>
                <w:sz w:val="20"/>
                <w:szCs w:val="20"/>
                <w:color w:val="auto"/>
              </w:rPr>
            </w:pPr>
            <w:r>
              <w:rPr>
                <w:rFonts w:ascii="Arial" w:cs="Arial" w:eastAsia="Arial" w:hAnsi="Arial"/>
                <w:sz w:val="16"/>
                <w:szCs w:val="16"/>
                <w:color w:val="FFFFFF"/>
              </w:rPr>
              <w:t>YTY Growth</w:t>
            </w:r>
          </w:p>
        </w:tc>
        <w:tc>
          <w:tcPr>
            <w:tcW w:w="740" w:type="dxa"/>
            <w:vAlign w:val="bottom"/>
            <w:shd w:val="clear" w:color="auto" w:fill="0067B3"/>
          </w:tcPr>
          <w:p>
            <w:pPr>
              <w:jc w:val="center"/>
              <w:ind w:right="114"/>
              <w:spacing w:after="0"/>
              <w:rPr>
                <w:sz w:val="20"/>
                <w:szCs w:val="20"/>
                <w:color w:val="auto"/>
              </w:rPr>
            </w:pPr>
            <w:r>
              <w:rPr>
                <w:rFonts w:ascii="Arial" w:cs="Arial" w:eastAsia="Arial" w:hAnsi="Arial"/>
                <w:sz w:val="16"/>
                <w:szCs w:val="16"/>
                <w:color w:val="FFFFFF"/>
              </w:rPr>
              <w:t>Bonus</w:t>
            </w:r>
          </w:p>
        </w:tc>
        <w:tc>
          <w:tcPr>
            <w:tcW w:w="1660" w:type="dxa"/>
            <w:vAlign w:val="bottom"/>
          </w:tcPr>
          <w:p>
            <w:pPr>
              <w:spacing w:after="0"/>
              <w:rPr>
                <w:sz w:val="18"/>
                <w:szCs w:val="18"/>
                <w:color w:val="auto"/>
              </w:rPr>
            </w:pPr>
          </w:p>
        </w:tc>
        <w:tc>
          <w:tcPr>
            <w:tcW w:w="920" w:type="dxa"/>
            <w:vAlign w:val="bottom"/>
            <w:shd w:val="clear" w:color="auto" w:fill="7292CB"/>
          </w:tcPr>
          <w:p>
            <w:pPr>
              <w:jc w:val="center"/>
              <w:ind w:left="34"/>
              <w:spacing w:after="0"/>
              <w:rPr>
                <w:sz w:val="20"/>
                <w:szCs w:val="20"/>
                <w:color w:val="auto"/>
              </w:rPr>
            </w:pPr>
            <w:r>
              <w:rPr>
                <w:rFonts w:ascii="Arial" w:cs="Arial" w:eastAsia="Arial" w:hAnsi="Arial"/>
                <w:sz w:val="16"/>
                <w:szCs w:val="16"/>
                <w:color w:val="FFFFFF"/>
              </w:rPr>
              <w:t>OPBT</w:t>
            </w:r>
          </w:p>
        </w:tc>
        <w:tc>
          <w:tcPr>
            <w:tcW w:w="1040" w:type="dxa"/>
            <w:vAlign w:val="bottom"/>
            <w:shd w:val="clear" w:color="auto" w:fill="7292CB"/>
          </w:tcPr>
          <w:p>
            <w:pPr>
              <w:jc w:val="center"/>
              <w:ind w:left="53"/>
              <w:spacing w:after="0"/>
              <w:rPr>
                <w:sz w:val="20"/>
                <w:szCs w:val="20"/>
                <w:color w:val="auto"/>
              </w:rPr>
            </w:pPr>
            <w:r>
              <w:rPr>
                <w:rFonts w:ascii="Arial" w:cs="Arial" w:eastAsia="Arial" w:hAnsi="Arial"/>
                <w:sz w:val="16"/>
                <w:szCs w:val="16"/>
                <w:color w:val="FFFFFF"/>
              </w:rPr>
              <w:t>Bonus</w:t>
            </w:r>
          </w:p>
        </w:tc>
        <w:tc>
          <w:tcPr>
            <w:tcW w:w="340" w:type="dxa"/>
            <w:vAlign w:val="bottom"/>
          </w:tcPr>
          <w:p>
            <w:pPr>
              <w:spacing w:after="0"/>
              <w:rPr>
                <w:sz w:val="18"/>
                <w:szCs w:val="18"/>
                <w:color w:val="auto"/>
              </w:rPr>
            </w:pPr>
          </w:p>
        </w:tc>
        <w:tc>
          <w:tcPr>
            <w:tcW w:w="1440" w:type="dxa"/>
            <w:vAlign w:val="bottom"/>
            <w:vMerge w:val="restart"/>
            <w:shd w:val="clear" w:color="auto" w:fill="7292CB"/>
          </w:tcPr>
          <w:p>
            <w:pPr>
              <w:jc w:val="right"/>
              <w:ind w:right="294"/>
              <w:spacing w:after="0"/>
              <w:rPr>
                <w:sz w:val="20"/>
                <w:szCs w:val="20"/>
                <w:color w:val="auto"/>
              </w:rPr>
            </w:pPr>
            <w:r>
              <w:rPr>
                <w:rFonts w:ascii="Arial" w:cs="Arial" w:eastAsia="Arial" w:hAnsi="Arial"/>
                <w:sz w:val="16"/>
                <w:szCs w:val="16"/>
                <w:color w:val="FFFFFF"/>
              </w:rPr>
              <w:t>YTY Growth</w:t>
            </w:r>
          </w:p>
        </w:tc>
        <w:tc>
          <w:tcPr>
            <w:tcW w:w="740" w:type="dxa"/>
            <w:vAlign w:val="bottom"/>
            <w:shd w:val="clear" w:color="auto" w:fill="7292CB"/>
          </w:tcPr>
          <w:p>
            <w:pPr>
              <w:jc w:val="center"/>
              <w:ind w:right="94"/>
              <w:spacing w:after="0"/>
              <w:rPr>
                <w:sz w:val="20"/>
                <w:szCs w:val="20"/>
                <w:color w:val="auto"/>
              </w:rPr>
            </w:pPr>
            <w:r>
              <w:rPr>
                <w:rFonts w:ascii="Arial" w:cs="Arial" w:eastAsia="Arial" w:hAnsi="Arial"/>
                <w:sz w:val="16"/>
                <w:szCs w:val="16"/>
                <w:color w:val="FFFFFF"/>
                <w:w w:val="96"/>
              </w:rPr>
              <w:t>Bonus</w:t>
            </w:r>
          </w:p>
        </w:tc>
        <w:tc>
          <w:tcPr>
            <w:tcW w:w="0" w:type="dxa"/>
            <w:vAlign w:val="bottom"/>
          </w:tcPr>
          <w:p>
            <w:pPr>
              <w:spacing w:after="0"/>
              <w:rPr>
                <w:sz w:val="1"/>
                <w:szCs w:val="1"/>
                <w:color w:val="auto"/>
              </w:rPr>
            </w:pPr>
          </w:p>
        </w:tc>
      </w:tr>
      <w:tr>
        <w:trPr>
          <w:trHeight w:val="189"/>
        </w:trPr>
        <w:tc>
          <w:tcPr>
            <w:tcW w:w="920" w:type="dxa"/>
            <w:vAlign w:val="bottom"/>
            <w:shd w:val="clear" w:color="auto" w:fill="0067B3"/>
          </w:tcPr>
          <w:p>
            <w:pPr>
              <w:jc w:val="center"/>
              <w:ind w:left="34"/>
              <w:spacing w:after="0"/>
              <w:rPr>
                <w:sz w:val="20"/>
                <w:szCs w:val="20"/>
                <w:color w:val="auto"/>
              </w:rPr>
            </w:pPr>
            <w:r>
              <w:rPr>
                <w:rFonts w:ascii="Arial" w:cs="Arial" w:eastAsia="Arial" w:hAnsi="Arial"/>
                <w:sz w:val="16"/>
                <w:szCs w:val="16"/>
                <w:color w:val="FFFFFF"/>
              </w:rPr>
              <w:t>Margin by</w:t>
            </w:r>
          </w:p>
        </w:tc>
        <w:tc>
          <w:tcPr>
            <w:tcW w:w="1040" w:type="dxa"/>
            <w:vAlign w:val="bottom"/>
            <w:shd w:val="clear" w:color="auto" w:fill="0067B3"/>
          </w:tcPr>
          <w:p>
            <w:pPr>
              <w:jc w:val="center"/>
              <w:ind w:left="53"/>
              <w:spacing w:after="0"/>
              <w:rPr>
                <w:sz w:val="20"/>
                <w:szCs w:val="20"/>
                <w:color w:val="auto"/>
              </w:rPr>
            </w:pPr>
            <w:r>
              <w:rPr>
                <w:rFonts w:ascii="Arial" w:cs="Arial" w:eastAsia="Arial" w:hAnsi="Arial"/>
                <w:sz w:val="16"/>
                <w:szCs w:val="16"/>
                <w:color w:val="FFFFFF"/>
              </w:rPr>
              <w:t>Payout</w:t>
            </w:r>
          </w:p>
        </w:tc>
        <w:tc>
          <w:tcPr>
            <w:tcW w:w="340" w:type="dxa"/>
            <w:vAlign w:val="bottom"/>
          </w:tcPr>
          <w:p>
            <w:pPr>
              <w:spacing w:after="0"/>
              <w:rPr>
                <w:sz w:val="16"/>
                <w:szCs w:val="16"/>
                <w:color w:val="auto"/>
              </w:rPr>
            </w:pPr>
          </w:p>
        </w:tc>
        <w:tc>
          <w:tcPr>
            <w:tcW w:w="1440" w:type="dxa"/>
            <w:vAlign w:val="bottom"/>
            <w:vMerge w:val="continue"/>
            <w:shd w:val="clear" w:color="auto" w:fill="0067B3"/>
          </w:tcPr>
          <w:p>
            <w:pPr>
              <w:spacing w:after="0"/>
              <w:rPr>
                <w:sz w:val="16"/>
                <w:szCs w:val="16"/>
                <w:color w:val="auto"/>
              </w:rPr>
            </w:pPr>
          </w:p>
        </w:tc>
        <w:tc>
          <w:tcPr>
            <w:tcW w:w="740" w:type="dxa"/>
            <w:vAlign w:val="bottom"/>
            <w:shd w:val="clear" w:color="auto" w:fill="0067B3"/>
          </w:tcPr>
          <w:p>
            <w:pPr>
              <w:jc w:val="center"/>
              <w:ind w:right="114"/>
              <w:spacing w:after="0"/>
              <w:rPr>
                <w:sz w:val="20"/>
                <w:szCs w:val="20"/>
                <w:color w:val="auto"/>
              </w:rPr>
            </w:pPr>
            <w:r>
              <w:rPr>
                <w:rFonts w:ascii="Arial" w:cs="Arial" w:eastAsia="Arial" w:hAnsi="Arial"/>
                <w:sz w:val="16"/>
                <w:szCs w:val="16"/>
                <w:color w:val="FFFFFF"/>
              </w:rPr>
              <w:t>Payout</w:t>
            </w:r>
          </w:p>
        </w:tc>
        <w:tc>
          <w:tcPr>
            <w:tcW w:w="1660" w:type="dxa"/>
            <w:vAlign w:val="bottom"/>
          </w:tcPr>
          <w:p>
            <w:pPr>
              <w:spacing w:after="0"/>
              <w:rPr>
                <w:sz w:val="16"/>
                <w:szCs w:val="16"/>
                <w:color w:val="auto"/>
              </w:rPr>
            </w:pPr>
          </w:p>
        </w:tc>
        <w:tc>
          <w:tcPr>
            <w:tcW w:w="920" w:type="dxa"/>
            <w:vAlign w:val="bottom"/>
            <w:shd w:val="clear" w:color="auto" w:fill="7292CB"/>
          </w:tcPr>
          <w:p>
            <w:pPr>
              <w:jc w:val="center"/>
              <w:ind w:left="34"/>
              <w:spacing w:after="0"/>
              <w:rPr>
                <w:sz w:val="20"/>
                <w:szCs w:val="20"/>
                <w:color w:val="auto"/>
              </w:rPr>
            </w:pPr>
            <w:r>
              <w:rPr>
                <w:rFonts w:ascii="Arial" w:cs="Arial" w:eastAsia="Arial" w:hAnsi="Arial"/>
                <w:sz w:val="16"/>
                <w:szCs w:val="16"/>
                <w:color w:val="FFFFFF"/>
              </w:rPr>
              <w:t>Margin by</w:t>
            </w:r>
          </w:p>
        </w:tc>
        <w:tc>
          <w:tcPr>
            <w:tcW w:w="1040" w:type="dxa"/>
            <w:vAlign w:val="bottom"/>
            <w:shd w:val="clear" w:color="auto" w:fill="7292CB"/>
          </w:tcPr>
          <w:p>
            <w:pPr>
              <w:jc w:val="center"/>
              <w:ind w:left="53"/>
              <w:spacing w:after="0"/>
              <w:rPr>
                <w:sz w:val="20"/>
                <w:szCs w:val="20"/>
                <w:color w:val="auto"/>
              </w:rPr>
            </w:pPr>
            <w:r>
              <w:rPr>
                <w:rFonts w:ascii="Arial" w:cs="Arial" w:eastAsia="Arial" w:hAnsi="Arial"/>
                <w:sz w:val="16"/>
                <w:szCs w:val="16"/>
                <w:color w:val="FFFFFF"/>
              </w:rPr>
              <w:t>Payout</w:t>
            </w:r>
          </w:p>
        </w:tc>
        <w:tc>
          <w:tcPr>
            <w:tcW w:w="340" w:type="dxa"/>
            <w:vAlign w:val="bottom"/>
          </w:tcPr>
          <w:p>
            <w:pPr>
              <w:spacing w:after="0"/>
              <w:rPr>
                <w:sz w:val="16"/>
                <w:szCs w:val="16"/>
                <w:color w:val="auto"/>
              </w:rPr>
            </w:pPr>
          </w:p>
        </w:tc>
        <w:tc>
          <w:tcPr>
            <w:tcW w:w="1440" w:type="dxa"/>
            <w:vAlign w:val="bottom"/>
            <w:vMerge w:val="continue"/>
            <w:shd w:val="clear" w:color="auto" w:fill="7292CB"/>
          </w:tcPr>
          <w:p>
            <w:pPr>
              <w:spacing w:after="0"/>
              <w:rPr>
                <w:sz w:val="16"/>
                <w:szCs w:val="16"/>
                <w:color w:val="auto"/>
              </w:rPr>
            </w:pPr>
          </w:p>
        </w:tc>
        <w:tc>
          <w:tcPr>
            <w:tcW w:w="740" w:type="dxa"/>
            <w:vAlign w:val="bottom"/>
            <w:shd w:val="clear" w:color="auto" w:fill="7292CB"/>
          </w:tcPr>
          <w:p>
            <w:pPr>
              <w:jc w:val="center"/>
              <w:ind w:right="94"/>
              <w:spacing w:after="0"/>
              <w:rPr>
                <w:sz w:val="20"/>
                <w:szCs w:val="20"/>
                <w:color w:val="auto"/>
              </w:rPr>
            </w:pPr>
            <w:r>
              <w:rPr>
                <w:rFonts w:ascii="Arial" w:cs="Arial" w:eastAsia="Arial" w:hAnsi="Arial"/>
                <w:sz w:val="16"/>
                <w:szCs w:val="16"/>
                <w:color w:val="FFFFFF"/>
              </w:rPr>
              <w:t>Payout</w:t>
            </w:r>
          </w:p>
        </w:tc>
        <w:tc>
          <w:tcPr>
            <w:tcW w:w="0" w:type="dxa"/>
            <w:vAlign w:val="bottom"/>
          </w:tcPr>
          <w:p>
            <w:pPr>
              <w:spacing w:after="0"/>
              <w:rPr>
                <w:sz w:val="1"/>
                <w:szCs w:val="1"/>
                <w:color w:val="auto"/>
              </w:rPr>
            </w:pPr>
          </w:p>
        </w:tc>
      </w:tr>
      <w:tr>
        <w:trPr>
          <w:trHeight w:val="230"/>
        </w:trPr>
        <w:tc>
          <w:tcPr>
            <w:tcW w:w="920" w:type="dxa"/>
            <w:vAlign w:val="bottom"/>
            <w:shd w:val="clear" w:color="auto" w:fill="0067B3"/>
          </w:tcPr>
          <w:p>
            <w:pPr>
              <w:jc w:val="center"/>
              <w:ind w:left="54"/>
              <w:spacing w:after="0"/>
              <w:rPr>
                <w:sz w:val="20"/>
                <w:szCs w:val="20"/>
                <w:color w:val="auto"/>
              </w:rPr>
            </w:pPr>
            <w:r>
              <w:rPr>
                <w:rFonts w:ascii="Arial" w:cs="Arial" w:eastAsia="Arial" w:hAnsi="Arial"/>
                <w:sz w:val="16"/>
                <w:szCs w:val="16"/>
                <w:color w:val="FFFFFF"/>
                <w:w w:val="97"/>
              </w:rPr>
              <w:t>Qtr.</w:t>
            </w:r>
          </w:p>
        </w:tc>
        <w:tc>
          <w:tcPr>
            <w:tcW w:w="1040" w:type="dxa"/>
            <w:vAlign w:val="bottom"/>
            <w:shd w:val="clear" w:color="auto" w:fill="0067B3"/>
          </w:tcPr>
          <w:p>
            <w:pPr>
              <w:jc w:val="center"/>
              <w:ind w:left="53"/>
              <w:spacing w:after="0"/>
              <w:rPr>
                <w:sz w:val="20"/>
                <w:szCs w:val="20"/>
                <w:color w:val="auto"/>
              </w:rPr>
            </w:pPr>
            <w:r>
              <w:rPr>
                <w:rFonts w:ascii="Arial" w:cs="Arial" w:eastAsia="Arial" w:hAnsi="Arial"/>
                <w:sz w:val="16"/>
                <w:szCs w:val="16"/>
                <w:color w:val="FFFFFF"/>
              </w:rPr>
              <w:t>Factor</w:t>
            </w:r>
          </w:p>
        </w:tc>
        <w:tc>
          <w:tcPr>
            <w:tcW w:w="340" w:type="dxa"/>
            <w:vAlign w:val="bottom"/>
          </w:tcPr>
          <w:p>
            <w:pPr>
              <w:spacing w:after="0"/>
              <w:rPr>
                <w:sz w:val="20"/>
                <w:szCs w:val="20"/>
                <w:color w:val="auto"/>
              </w:rPr>
            </w:pPr>
          </w:p>
        </w:tc>
        <w:tc>
          <w:tcPr>
            <w:tcW w:w="1440" w:type="dxa"/>
            <w:vAlign w:val="bottom"/>
            <w:shd w:val="clear" w:color="auto" w:fill="0067B3"/>
          </w:tcPr>
          <w:p>
            <w:pPr>
              <w:jc w:val="right"/>
              <w:ind w:right="494"/>
              <w:spacing w:after="0"/>
              <w:rPr>
                <w:sz w:val="20"/>
                <w:szCs w:val="20"/>
                <w:color w:val="auto"/>
              </w:rPr>
            </w:pPr>
            <w:r>
              <w:rPr>
                <w:rFonts w:ascii="Arial" w:cs="Arial" w:eastAsia="Arial" w:hAnsi="Arial"/>
                <w:sz w:val="16"/>
                <w:szCs w:val="16"/>
                <w:color w:val="FFFFFF"/>
              </w:rPr>
              <w:t>by Qtr.</w:t>
            </w:r>
          </w:p>
        </w:tc>
        <w:tc>
          <w:tcPr>
            <w:tcW w:w="740" w:type="dxa"/>
            <w:vAlign w:val="bottom"/>
            <w:shd w:val="clear" w:color="auto" w:fill="0067B3"/>
          </w:tcPr>
          <w:p>
            <w:pPr>
              <w:jc w:val="center"/>
              <w:ind w:right="114"/>
              <w:spacing w:after="0"/>
              <w:rPr>
                <w:sz w:val="20"/>
                <w:szCs w:val="20"/>
                <w:color w:val="auto"/>
              </w:rPr>
            </w:pPr>
            <w:r>
              <w:rPr>
                <w:rFonts w:ascii="Arial" w:cs="Arial" w:eastAsia="Arial" w:hAnsi="Arial"/>
                <w:sz w:val="16"/>
                <w:szCs w:val="16"/>
                <w:color w:val="FFFFFF"/>
              </w:rPr>
              <w:t>Factor</w:t>
            </w:r>
          </w:p>
        </w:tc>
        <w:tc>
          <w:tcPr>
            <w:tcW w:w="1660" w:type="dxa"/>
            <w:vAlign w:val="bottom"/>
          </w:tcPr>
          <w:p>
            <w:pPr>
              <w:spacing w:after="0"/>
              <w:rPr>
                <w:sz w:val="20"/>
                <w:szCs w:val="20"/>
                <w:color w:val="auto"/>
              </w:rPr>
            </w:pPr>
          </w:p>
        </w:tc>
        <w:tc>
          <w:tcPr>
            <w:tcW w:w="920" w:type="dxa"/>
            <w:vAlign w:val="bottom"/>
            <w:shd w:val="clear" w:color="auto" w:fill="7292CB"/>
          </w:tcPr>
          <w:p>
            <w:pPr>
              <w:jc w:val="center"/>
              <w:ind w:left="14"/>
              <w:spacing w:after="0"/>
              <w:rPr>
                <w:sz w:val="20"/>
                <w:szCs w:val="20"/>
                <w:color w:val="auto"/>
              </w:rPr>
            </w:pPr>
            <w:r>
              <w:rPr>
                <w:rFonts w:ascii="Arial" w:cs="Arial" w:eastAsia="Arial" w:hAnsi="Arial"/>
                <w:sz w:val="16"/>
                <w:szCs w:val="16"/>
                <w:color w:val="FFFFFF"/>
                <w:w w:val="97"/>
              </w:rPr>
              <w:t>Qtr.</w:t>
            </w:r>
          </w:p>
        </w:tc>
        <w:tc>
          <w:tcPr>
            <w:tcW w:w="1040" w:type="dxa"/>
            <w:vAlign w:val="bottom"/>
            <w:shd w:val="clear" w:color="auto" w:fill="7292CB"/>
          </w:tcPr>
          <w:p>
            <w:pPr>
              <w:jc w:val="center"/>
              <w:ind w:left="53"/>
              <w:spacing w:after="0"/>
              <w:rPr>
                <w:sz w:val="20"/>
                <w:szCs w:val="20"/>
                <w:color w:val="auto"/>
              </w:rPr>
            </w:pPr>
            <w:r>
              <w:rPr>
                <w:rFonts w:ascii="Arial" w:cs="Arial" w:eastAsia="Arial" w:hAnsi="Arial"/>
                <w:sz w:val="16"/>
                <w:szCs w:val="16"/>
                <w:color w:val="FFFFFF"/>
              </w:rPr>
              <w:t>Factor</w:t>
            </w:r>
          </w:p>
        </w:tc>
        <w:tc>
          <w:tcPr>
            <w:tcW w:w="340" w:type="dxa"/>
            <w:vAlign w:val="bottom"/>
          </w:tcPr>
          <w:p>
            <w:pPr>
              <w:spacing w:after="0"/>
              <w:rPr>
                <w:sz w:val="20"/>
                <w:szCs w:val="20"/>
                <w:color w:val="auto"/>
              </w:rPr>
            </w:pPr>
          </w:p>
        </w:tc>
        <w:tc>
          <w:tcPr>
            <w:tcW w:w="1440" w:type="dxa"/>
            <w:vAlign w:val="bottom"/>
            <w:shd w:val="clear" w:color="auto" w:fill="7292CB"/>
          </w:tcPr>
          <w:p>
            <w:pPr>
              <w:jc w:val="right"/>
              <w:ind w:right="494"/>
              <w:spacing w:after="0"/>
              <w:rPr>
                <w:sz w:val="20"/>
                <w:szCs w:val="20"/>
                <w:color w:val="auto"/>
              </w:rPr>
            </w:pPr>
            <w:r>
              <w:rPr>
                <w:rFonts w:ascii="Arial" w:cs="Arial" w:eastAsia="Arial" w:hAnsi="Arial"/>
                <w:sz w:val="16"/>
                <w:szCs w:val="16"/>
                <w:color w:val="FFFFFF"/>
              </w:rPr>
              <w:t>by Qtr.</w:t>
            </w:r>
          </w:p>
        </w:tc>
        <w:tc>
          <w:tcPr>
            <w:tcW w:w="740" w:type="dxa"/>
            <w:vAlign w:val="bottom"/>
            <w:shd w:val="clear" w:color="auto" w:fill="7292CB"/>
          </w:tcPr>
          <w:p>
            <w:pPr>
              <w:jc w:val="center"/>
              <w:ind w:right="94"/>
              <w:spacing w:after="0"/>
              <w:rPr>
                <w:sz w:val="20"/>
                <w:szCs w:val="20"/>
                <w:color w:val="auto"/>
              </w:rPr>
            </w:pPr>
            <w:r>
              <w:rPr>
                <w:rFonts w:ascii="Arial" w:cs="Arial" w:eastAsia="Arial" w:hAnsi="Arial"/>
                <w:sz w:val="16"/>
                <w:szCs w:val="16"/>
                <w:color w:val="FFFFFF"/>
                <w:w w:val="96"/>
              </w:rPr>
              <w:t>Factor</w:t>
            </w:r>
          </w:p>
        </w:tc>
        <w:tc>
          <w:tcPr>
            <w:tcW w:w="0" w:type="dxa"/>
            <w:vAlign w:val="bottom"/>
          </w:tcPr>
          <w:p>
            <w:pPr>
              <w:spacing w:after="0"/>
              <w:rPr>
                <w:sz w:val="1"/>
                <w:szCs w:val="1"/>
                <w:color w:val="auto"/>
              </w:rPr>
            </w:pPr>
          </w:p>
        </w:tc>
      </w:tr>
      <w:tr>
        <w:trPr>
          <w:trHeight w:val="263"/>
        </w:trPr>
        <w:tc>
          <w:tcPr>
            <w:tcW w:w="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8"/>
                <w:szCs w:val="18"/>
                <w:color w:val="auto"/>
              </w:rPr>
              <w:t>≤ 36.0%</w:t>
            </w:r>
          </w:p>
        </w:tc>
        <w:tc>
          <w:tcPr>
            <w:tcW w:w="1040" w:type="dxa"/>
            <w:vAlign w:val="bottom"/>
            <w:tcBorders>
              <w:bottom w:val="single" w:sz="8" w:color="E6E7E8"/>
            </w:tcBorders>
            <w:shd w:val="clear" w:color="auto" w:fill="E6E7E8"/>
          </w:tcPr>
          <w:p>
            <w:pPr>
              <w:jc w:val="center"/>
              <w:ind w:left="93"/>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22"/>
                <w:szCs w:val="22"/>
                <w:color w:val="auto"/>
              </w:rPr>
            </w:pPr>
          </w:p>
        </w:tc>
        <w:tc>
          <w:tcPr>
            <w:tcW w:w="1440" w:type="dxa"/>
            <w:vAlign w:val="bottom"/>
            <w:tcBorders>
              <w:bottom w:val="single" w:sz="8" w:color="E6E7E8"/>
            </w:tcBorders>
            <w:shd w:val="clear" w:color="auto" w:fill="E6E7E8"/>
          </w:tcPr>
          <w:p>
            <w:pPr>
              <w:jc w:val="right"/>
              <w:ind w:right="334"/>
              <w:spacing w:after="0"/>
              <w:rPr>
                <w:sz w:val="20"/>
                <w:szCs w:val="20"/>
                <w:color w:val="auto"/>
              </w:rPr>
            </w:pPr>
            <w:r>
              <w:rPr>
                <w:rFonts w:ascii="Arial" w:cs="Arial" w:eastAsia="Arial" w:hAnsi="Arial"/>
                <w:sz w:val="18"/>
                <w:szCs w:val="18"/>
                <w:color w:val="auto"/>
              </w:rPr>
              <w:t>≤ 0%</w:t>
            </w:r>
          </w:p>
        </w:tc>
        <w:tc>
          <w:tcPr>
            <w:tcW w:w="740" w:type="dxa"/>
            <w:vAlign w:val="bottom"/>
            <w:tcBorders>
              <w:bottom w:val="single" w:sz="8" w:color="E6E7E8"/>
            </w:tcBorders>
            <w:shd w:val="clear" w:color="auto" w:fill="E6E7E8"/>
          </w:tcPr>
          <w:p>
            <w:pPr>
              <w:jc w:val="center"/>
              <w:ind w:right="34"/>
              <w:spacing w:after="0"/>
              <w:rPr>
                <w:sz w:val="20"/>
                <w:szCs w:val="20"/>
                <w:color w:val="auto"/>
              </w:rPr>
            </w:pPr>
            <w:r>
              <w:rPr>
                <w:rFonts w:ascii="Arial" w:cs="Arial" w:eastAsia="Arial" w:hAnsi="Arial"/>
                <w:sz w:val="18"/>
                <w:szCs w:val="18"/>
                <w:color w:val="auto"/>
                <w:w w:val="99"/>
              </w:rPr>
              <w:t>0</w:t>
            </w:r>
          </w:p>
        </w:tc>
        <w:tc>
          <w:tcPr>
            <w:tcW w:w="1660" w:type="dxa"/>
            <w:vAlign w:val="bottom"/>
          </w:tcPr>
          <w:p>
            <w:pPr>
              <w:spacing w:after="0"/>
              <w:rPr>
                <w:sz w:val="22"/>
                <w:szCs w:val="22"/>
                <w:color w:val="auto"/>
              </w:rPr>
            </w:pPr>
          </w:p>
        </w:tc>
        <w:tc>
          <w:tcPr>
            <w:tcW w:w="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8"/>
                <w:szCs w:val="18"/>
                <w:color w:val="auto"/>
              </w:rPr>
              <w:t>≤ 40.0%</w:t>
            </w:r>
          </w:p>
        </w:tc>
        <w:tc>
          <w:tcPr>
            <w:tcW w:w="1040" w:type="dxa"/>
            <w:vAlign w:val="bottom"/>
            <w:tcBorders>
              <w:bottom w:val="single" w:sz="8" w:color="E6E7E8"/>
            </w:tcBorders>
            <w:shd w:val="clear" w:color="auto" w:fill="E6E7E8"/>
          </w:tcPr>
          <w:p>
            <w:pPr>
              <w:jc w:val="center"/>
              <w:ind w:left="93"/>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22"/>
                <w:szCs w:val="22"/>
                <w:color w:val="auto"/>
              </w:rPr>
            </w:pPr>
          </w:p>
        </w:tc>
        <w:tc>
          <w:tcPr>
            <w:tcW w:w="1440" w:type="dxa"/>
            <w:vAlign w:val="bottom"/>
            <w:tcBorders>
              <w:bottom w:val="single" w:sz="8" w:color="E6E7E8"/>
            </w:tcBorders>
            <w:shd w:val="clear" w:color="auto" w:fill="E6E7E8"/>
          </w:tcPr>
          <w:p>
            <w:pPr>
              <w:jc w:val="right"/>
              <w:ind w:right="334"/>
              <w:spacing w:after="0"/>
              <w:rPr>
                <w:sz w:val="20"/>
                <w:szCs w:val="20"/>
                <w:color w:val="auto"/>
              </w:rPr>
            </w:pPr>
            <w:r>
              <w:rPr>
                <w:rFonts w:ascii="Arial" w:cs="Arial" w:eastAsia="Arial" w:hAnsi="Arial"/>
                <w:sz w:val="18"/>
                <w:szCs w:val="18"/>
                <w:color w:val="auto"/>
              </w:rPr>
              <w:t>≤ 0%</w:t>
            </w:r>
          </w:p>
        </w:tc>
        <w:tc>
          <w:tcPr>
            <w:tcW w:w="740" w:type="dxa"/>
            <w:vAlign w:val="bottom"/>
            <w:tcBorders>
              <w:bottom w:val="single" w:sz="8" w:color="E6E7E8"/>
            </w:tcBorders>
            <w:shd w:val="clear" w:color="auto" w:fill="E6E7E8"/>
          </w:tcPr>
          <w:p>
            <w:pPr>
              <w:jc w:val="center"/>
              <w:ind w:right="3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84"/>
        </w:trPr>
        <w:tc>
          <w:tcPr>
            <w:tcW w:w="920" w:type="dxa"/>
            <w:vAlign w:val="bottom"/>
            <w:shd w:val="clear" w:color="auto" w:fill="CAD3EC"/>
          </w:tcPr>
          <w:p>
            <w:pPr>
              <w:jc w:val="right"/>
              <w:spacing w:after="0"/>
              <w:rPr>
                <w:sz w:val="20"/>
                <w:szCs w:val="20"/>
                <w:color w:val="auto"/>
              </w:rPr>
            </w:pPr>
            <w:r>
              <w:rPr>
                <w:rFonts w:ascii="Arial" w:cs="Arial" w:eastAsia="Arial" w:hAnsi="Arial"/>
                <w:sz w:val="18"/>
                <w:szCs w:val="18"/>
                <w:b w:val="1"/>
                <w:bCs w:val="1"/>
                <w:color w:val="auto"/>
              </w:rPr>
              <w:t>39.0%</w:t>
            </w:r>
          </w:p>
        </w:tc>
        <w:tc>
          <w:tcPr>
            <w:tcW w:w="1040" w:type="dxa"/>
            <w:vAlign w:val="bottom"/>
            <w:shd w:val="clear" w:color="auto" w:fill="CAD3EC"/>
          </w:tcPr>
          <w:p>
            <w:pPr>
              <w:jc w:val="center"/>
              <w:ind w:left="53"/>
              <w:spacing w:after="0"/>
              <w:rPr>
                <w:sz w:val="20"/>
                <w:szCs w:val="20"/>
                <w:color w:val="auto"/>
              </w:rPr>
            </w:pPr>
            <w:r>
              <w:rPr>
                <w:rFonts w:ascii="Arial" w:cs="Arial" w:eastAsia="Arial" w:hAnsi="Arial"/>
                <w:sz w:val="18"/>
                <w:szCs w:val="18"/>
                <w:b w:val="1"/>
                <w:bCs w:val="1"/>
                <w:color w:val="auto"/>
                <w:w w:val="96"/>
              </w:rPr>
              <w:t>1.0x</w:t>
            </w:r>
          </w:p>
        </w:tc>
        <w:tc>
          <w:tcPr>
            <w:tcW w:w="340" w:type="dxa"/>
            <w:vAlign w:val="bottom"/>
          </w:tcPr>
          <w:p>
            <w:pPr>
              <w:spacing w:after="0"/>
              <w:rPr>
                <w:sz w:val="24"/>
                <w:szCs w:val="24"/>
                <w:color w:val="auto"/>
              </w:rPr>
            </w:pPr>
          </w:p>
        </w:tc>
        <w:tc>
          <w:tcPr>
            <w:tcW w:w="1440" w:type="dxa"/>
            <w:vAlign w:val="bottom"/>
            <w:shd w:val="clear" w:color="auto" w:fill="CAD3EC"/>
          </w:tcPr>
          <w:p>
            <w:pPr>
              <w:jc w:val="right"/>
              <w:ind w:right="334"/>
              <w:spacing w:after="0"/>
              <w:rPr>
                <w:sz w:val="20"/>
                <w:szCs w:val="20"/>
                <w:color w:val="auto"/>
              </w:rPr>
            </w:pPr>
            <w:r>
              <w:rPr>
                <w:rFonts w:ascii="Arial" w:cs="Arial" w:eastAsia="Arial" w:hAnsi="Arial"/>
                <w:sz w:val="18"/>
                <w:szCs w:val="18"/>
                <w:b w:val="1"/>
                <w:bCs w:val="1"/>
                <w:color w:val="auto"/>
              </w:rPr>
              <w:t>5.0%</w:t>
            </w:r>
          </w:p>
        </w:tc>
        <w:tc>
          <w:tcPr>
            <w:tcW w:w="740" w:type="dxa"/>
            <w:vAlign w:val="bottom"/>
            <w:shd w:val="clear" w:color="auto" w:fill="CAD3EC"/>
          </w:tcPr>
          <w:p>
            <w:pPr>
              <w:jc w:val="center"/>
              <w:ind w:right="94"/>
              <w:spacing w:after="0"/>
              <w:rPr>
                <w:sz w:val="20"/>
                <w:szCs w:val="20"/>
                <w:color w:val="auto"/>
              </w:rPr>
            </w:pPr>
            <w:r>
              <w:rPr>
                <w:rFonts w:ascii="Arial" w:cs="Arial" w:eastAsia="Arial" w:hAnsi="Arial"/>
                <w:sz w:val="18"/>
                <w:szCs w:val="18"/>
                <w:b w:val="1"/>
                <w:bCs w:val="1"/>
                <w:color w:val="auto"/>
              </w:rPr>
              <w:t>1.0x</w:t>
            </w:r>
          </w:p>
        </w:tc>
        <w:tc>
          <w:tcPr>
            <w:tcW w:w="1660" w:type="dxa"/>
            <w:vAlign w:val="bottom"/>
          </w:tcPr>
          <w:p>
            <w:pPr>
              <w:spacing w:after="0"/>
              <w:rPr>
                <w:sz w:val="24"/>
                <w:szCs w:val="24"/>
                <w:color w:val="auto"/>
              </w:rPr>
            </w:pPr>
          </w:p>
        </w:tc>
        <w:tc>
          <w:tcPr>
            <w:tcW w:w="920" w:type="dxa"/>
            <w:vAlign w:val="bottom"/>
            <w:shd w:val="clear" w:color="auto" w:fill="CAD3EC"/>
          </w:tcPr>
          <w:p>
            <w:pPr>
              <w:jc w:val="right"/>
              <w:spacing w:after="0"/>
              <w:rPr>
                <w:sz w:val="20"/>
                <w:szCs w:val="20"/>
                <w:color w:val="auto"/>
              </w:rPr>
            </w:pPr>
            <w:r>
              <w:rPr>
                <w:rFonts w:ascii="Arial" w:cs="Arial" w:eastAsia="Arial" w:hAnsi="Arial"/>
                <w:sz w:val="18"/>
                <w:szCs w:val="18"/>
                <w:b w:val="1"/>
                <w:bCs w:val="1"/>
                <w:color w:val="auto"/>
              </w:rPr>
              <w:t>42.0%</w:t>
            </w:r>
          </w:p>
        </w:tc>
        <w:tc>
          <w:tcPr>
            <w:tcW w:w="1040" w:type="dxa"/>
            <w:vAlign w:val="bottom"/>
            <w:shd w:val="clear" w:color="auto" w:fill="CAD3EC"/>
          </w:tcPr>
          <w:p>
            <w:pPr>
              <w:jc w:val="center"/>
              <w:ind w:left="53"/>
              <w:spacing w:after="0"/>
              <w:rPr>
                <w:sz w:val="20"/>
                <w:szCs w:val="20"/>
                <w:color w:val="auto"/>
              </w:rPr>
            </w:pPr>
            <w:r>
              <w:rPr>
                <w:rFonts w:ascii="Arial" w:cs="Arial" w:eastAsia="Arial" w:hAnsi="Arial"/>
                <w:sz w:val="18"/>
                <w:szCs w:val="18"/>
                <w:b w:val="1"/>
                <w:bCs w:val="1"/>
                <w:color w:val="auto"/>
                <w:w w:val="96"/>
              </w:rPr>
              <w:t>1.0x</w:t>
            </w:r>
          </w:p>
        </w:tc>
        <w:tc>
          <w:tcPr>
            <w:tcW w:w="340" w:type="dxa"/>
            <w:vAlign w:val="bottom"/>
          </w:tcPr>
          <w:p>
            <w:pPr>
              <w:spacing w:after="0"/>
              <w:rPr>
                <w:sz w:val="24"/>
                <w:szCs w:val="24"/>
                <w:color w:val="auto"/>
              </w:rPr>
            </w:pPr>
          </w:p>
        </w:tc>
        <w:tc>
          <w:tcPr>
            <w:tcW w:w="1440" w:type="dxa"/>
            <w:vAlign w:val="bottom"/>
            <w:shd w:val="clear" w:color="auto" w:fill="CAD3EC"/>
          </w:tcPr>
          <w:p>
            <w:pPr>
              <w:jc w:val="right"/>
              <w:ind w:right="334"/>
              <w:spacing w:after="0"/>
              <w:rPr>
                <w:sz w:val="20"/>
                <w:szCs w:val="20"/>
                <w:color w:val="auto"/>
              </w:rPr>
            </w:pPr>
            <w:r>
              <w:rPr>
                <w:rFonts w:ascii="Arial" w:cs="Arial" w:eastAsia="Arial" w:hAnsi="Arial"/>
                <w:sz w:val="18"/>
                <w:szCs w:val="18"/>
                <w:b w:val="1"/>
                <w:bCs w:val="1"/>
                <w:color w:val="auto"/>
              </w:rPr>
              <w:t>8.0%</w:t>
            </w:r>
          </w:p>
        </w:tc>
        <w:tc>
          <w:tcPr>
            <w:tcW w:w="740" w:type="dxa"/>
            <w:vAlign w:val="bottom"/>
            <w:shd w:val="clear" w:color="auto" w:fill="CAD3EC"/>
          </w:tcPr>
          <w:p>
            <w:pPr>
              <w:jc w:val="center"/>
              <w:ind w:right="94"/>
              <w:spacing w:after="0"/>
              <w:rPr>
                <w:sz w:val="20"/>
                <w:szCs w:val="20"/>
                <w:color w:val="auto"/>
              </w:rPr>
            </w:pPr>
            <w:r>
              <w:rPr>
                <w:rFonts w:ascii="Arial" w:cs="Arial" w:eastAsia="Arial" w:hAnsi="Arial"/>
                <w:sz w:val="18"/>
                <w:szCs w:val="18"/>
                <w:b w:val="1"/>
                <w:bCs w:val="1"/>
                <w:color w:val="auto"/>
              </w:rPr>
              <w:t>1.0x</w:t>
            </w:r>
          </w:p>
        </w:tc>
        <w:tc>
          <w:tcPr>
            <w:tcW w:w="0" w:type="dxa"/>
            <w:vAlign w:val="bottom"/>
          </w:tcPr>
          <w:p>
            <w:pPr>
              <w:spacing w:after="0"/>
              <w:rPr>
                <w:sz w:val="1"/>
                <w:szCs w:val="1"/>
                <w:color w:val="auto"/>
              </w:rPr>
            </w:pPr>
          </w:p>
        </w:tc>
      </w:tr>
      <w:tr>
        <w:trPr>
          <w:trHeight w:val="263"/>
        </w:trPr>
        <w:tc>
          <w:tcPr>
            <w:tcW w:w="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8"/>
                <w:szCs w:val="18"/>
                <w:color w:val="auto"/>
              </w:rPr>
              <w:t>42.0%</w:t>
            </w:r>
          </w:p>
        </w:tc>
        <w:tc>
          <w:tcPr>
            <w:tcW w:w="1040" w:type="dxa"/>
            <w:vAlign w:val="bottom"/>
            <w:tcBorders>
              <w:bottom w:val="single" w:sz="8" w:color="E6E7E8"/>
            </w:tcBorders>
            <w:shd w:val="clear" w:color="auto" w:fill="E6E7E8"/>
          </w:tcPr>
          <w:p>
            <w:pPr>
              <w:jc w:val="center"/>
              <w:ind w:left="53"/>
              <w:spacing w:after="0"/>
              <w:rPr>
                <w:sz w:val="20"/>
                <w:szCs w:val="20"/>
                <w:color w:val="auto"/>
              </w:rPr>
            </w:pPr>
            <w:r>
              <w:rPr>
                <w:rFonts w:ascii="Arial" w:cs="Arial" w:eastAsia="Arial" w:hAnsi="Arial"/>
                <w:sz w:val="18"/>
                <w:szCs w:val="18"/>
                <w:color w:val="auto"/>
                <w:w w:val="99"/>
              </w:rPr>
              <w:t>2.0x</w:t>
            </w:r>
          </w:p>
        </w:tc>
        <w:tc>
          <w:tcPr>
            <w:tcW w:w="340" w:type="dxa"/>
            <w:vAlign w:val="bottom"/>
          </w:tcPr>
          <w:p>
            <w:pPr>
              <w:spacing w:after="0"/>
              <w:rPr>
                <w:sz w:val="22"/>
                <w:szCs w:val="22"/>
                <w:color w:val="auto"/>
              </w:rPr>
            </w:pPr>
          </w:p>
        </w:tc>
        <w:tc>
          <w:tcPr>
            <w:tcW w:w="1440" w:type="dxa"/>
            <w:vAlign w:val="bottom"/>
            <w:tcBorders>
              <w:bottom w:val="single" w:sz="8" w:color="E6E7E8"/>
            </w:tcBorders>
            <w:shd w:val="clear" w:color="auto" w:fill="E6E7E8"/>
          </w:tcPr>
          <w:p>
            <w:pPr>
              <w:jc w:val="right"/>
              <w:ind w:right="334"/>
              <w:spacing w:after="0"/>
              <w:rPr>
                <w:sz w:val="20"/>
                <w:szCs w:val="20"/>
                <w:color w:val="auto"/>
              </w:rPr>
            </w:pPr>
            <w:r>
              <w:rPr>
                <w:rFonts w:ascii="Arial" w:cs="Arial" w:eastAsia="Arial" w:hAnsi="Arial"/>
                <w:sz w:val="18"/>
                <w:szCs w:val="18"/>
                <w:color w:val="auto"/>
              </w:rPr>
              <w:t>10.0%</w:t>
            </w:r>
          </w:p>
        </w:tc>
        <w:tc>
          <w:tcPr>
            <w:tcW w:w="740" w:type="dxa"/>
            <w:vAlign w:val="bottom"/>
            <w:tcBorders>
              <w:bottom w:val="single" w:sz="8" w:color="E6E7E8"/>
            </w:tcBorders>
            <w:shd w:val="clear" w:color="auto" w:fill="E6E7E8"/>
          </w:tcPr>
          <w:p>
            <w:pPr>
              <w:jc w:val="center"/>
              <w:ind w:right="114"/>
              <w:spacing w:after="0"/>
              <w:rPr>
                <w:sz w:val="20"/>
                <w:szCs w:val="20"/>
                <w:color w:val="auto"/>
              </w:rPr>
            </w:pPr>
            <w:r>
              <w:rPr>
                <w:rFonts w:ascii="Arial" w:cs="Arial" w:eastAsia="Arial" w:hAnsi="Arial"/>
                <w:sz w:val="18"/>
                <w:szCs w:val="18"/>
                <w:color w:val="auto"/>
                <w:w w:val="99"/>
              </w:rPr>
              <w:t>2.0x</w:t>
            </w:r>
          </w:p>
        </w:tc>
        <w:tc>
          <w:tcPr>
            <w:tcW w:w="1660" w:type="dxa"/>
            <w:vAlign w:val="bottom"/>
          </w:tcPr>
          <w:p>
            <w:pPr>
              <w:spacing w:after="0"/>
              <w:rPr>
                <w:sz w:val="22"/>
                <w:szCs w:val="22"/>
                <w:color w:val="auto"/>
              </w:rPr>
            </w:pPr>
          </w:p>
        </w:tc>
        <w:tc>
          <w:tcPr>
            <w:tcW w:w="9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8"/>
                <w:szCs w:val="18"/>
                <w:color w:val="auto"/>
              </w:rPr>
              <w:t>45.0%</w:t>
            </w:r>
          </w:p>
        </w:tc>
        <w:tc>
          <w:tcPr>
            <w:tcW w:w="1040" w:type="dxa"/>
            <w:vAlign w:val="bottom"/>
            <w:tcBorders>
              <w:bottom w:val="single" w:sz="8" w:color="E6E7E8"/>
            </w:tcBorders>
            <w:shd w:val="clear" w:color="auto" w:fill="E6E7E8"/>
          </w:tcPr>
          <w:p>
            <w:pPr>
              <w:jc w:val="center"/>
              <w:ind w:left="53"/>
              <w:spacing w:after="0"/>
              <w:rPr>
                <w:sz w:val="20"/>
                <w:szCs w:val="20"/>
                <w:color w:val="auto"/>
              </w:rPr>
            </w:pPr>
            <w:r>
              <w:rPr>
                <w:rFonts w:ascii="Arial" w:cs="Arial" w:eastAsia="Arial" w:hAnsi="Arial"/>
                <w:sz w:val="18"/>
                <w:szCs w:val="18"/>
                <w:color w:val="auto"/>
                <w:w w:val="99"/>
              </w:rPr>
              <w:t>2.0x</w:t>
            </w:r>
          </w:p>
        </w:tc>
        <w:tc>
          <w:tcPr>
            <w:tcW w:w="340" w:type="dxa"/>
            <w:vAlign w:val="bottom"/>
          </w:tcPr>
          <w:p>
            <w:pPr>
              <w:spacing w:after="0"/>
              <w:rPr>
                <w:sz w:val="22"/>
                <w:szCs w:val="22"/>
                <w:color w:val="auto"/>
              </w:rPr>
            </w:pPr>
          </w:p>
        </w:tc>
        <w:tc>
          <w:tcPr>
            <w:tcW w:w="1440" w:type="dxa"/>
            <w:vAlign w:val="bottom"/>
            <w:tcBorders>
              <w:bottom w:val="single" w:sz="8" w:color="E6E7E8"/>
            </w:tcBorders>
            <w:shd w:val="clear" w:color="auto" w:fill="E6E7E8"/>
          </w:tcPr>
          <w:p>
            <w:pPr>
              <w:jc w:val="right"/>
              <w:ind w:right="334"/>
              <w:spacing w:after="0"/>
              <w:rPr>
                <w:sz w:val="20"/>
                <w:szCs w:val="20"/>
                <w:color w:val="auto"/>
              </w:rPr>
            </w:pPr>
            <w:r>
              <w:rPr>
                <w:rFonts w:ascii="Arial" w:cs="Arial" w:eastAsia="Arial" w:hAnsi="Arial"/>
                <w:sz w:val="18"/>
                <w:szCs w:val="18"/>
                <w:color w:val="auto"/>
              </w:rPr>
              <w:t>15.0%</w:t>
            </w:r>
          </w:p>
        </w:tc>
        <w:tc>
          <w:tcPr>
            <w:tcW w:w="740" w:type="dxa"/>
            <w:vAlign w:val="bottom"/>
            <w:tcBorders>
              <w:bottom w:val="single" w:sz="8" w:color="E6E7E8"/>
            </w:tcBorders>
            <w:shd w:val="clear" w:color="auto" w:fill="E6E7E8"/>
          </w:tcPr>
          <w:p>
            <w:pPr>
              <w:jc w:val="center"/>
              <w:ind w:right="74"/>
              <w:spacing w:after="0"/>
              <w:rPr>
                <w:sz w:val="20"/>
                <w:szCs w:val="20"/>
                <w:color w:val="auto"/>
              </w:rPr>
            </w:pPr>
            <w:r>
              <w:rPr>
                <w:rFonts w:ascii="Arial" w:cs="Arial" w:eastAsia="Arial" w:hAnsi="Arial"/>
                <w:sz w:val="18"/>
                <w:szCs w:val="18"/>
                <w:color w:val="auto"/>
                <w:w w:val="99"/>
              </w:rPr>
              <w:t>2.0x</w:t>
            </w:r>
          </w:p>
        </w:tc>
        <w:tc>
          <w:tcPr>
            <w:tcW w:w="0" w:type="dxa"/>
            <w:vAlign w:val="bottom"/>
          </w:tcPr>
          <w:p>
            <w:pPr>
              <w:spacing w:after="0"/>
              <w:rPr>
                <w:sz w:val="1"/>
                <w:szCs w:val="1"/>
                <w:color w:val="auto"/>
              </w:rPr>
            </w:pPr>
          </w:p>
        </w:tc>
      </w:tr>
      <w:tr>
        <w:trPr>
          <w:trHeight w:val="263"/>
        </w:trPr>
        <w:tc>
          <w:tcPr>
            <w:tcW w:w="920" w:type="dxa"/>
            <w:vAlign w:val="bottom"/>
            <w:tcBorders>
              <w:bottom w:val="single" w:sz="8" w:color="BCBEC0"/>
            </w:tcBorders>
            <w:shd w:val="clear" w:color="auto" w:fill="BCBEC0"/>
          </w:tcPr>
          <w:p>
            <w:pPr>
              <w:jc w:val="right"/>
              <w:spacing w:after="0"/>
              <w:rPr>
                <w:sz w:val="20"/>
                <w:szCs w:val="20"/>
                <w:color w:val="auto"/>
              </w:rPr>
            </w:pPr>
            <w:r>
              <w:rPr>
                <w:rFonts w:ascii="Arial" w:cs="Arial" w:eastAsia="Arial" w:hAnsi="Arial"/>
                <w:sz w:val="18"/>
                <w:szCs w:val="18"/>
                <w:color w:val="auto"/>
              </w:rPr>
              <w:t>≥ 45.0%</w:t>
            </w:r>
          </w:p>
        </w:tc>
        <w:tc>
          <w:tcPr>
            <w:tcW w:w="1040" w:type="dxa"/>
            <w:vAlign w:val="bottom"/>
            <w:tcBorders>
              <w:bottom w:val="single" w:sz="8" w:color="BCBEC0"/>
            </w:tcBorders>
            <w:shd w:val="clear" w:color="auto" w:fill="BCBEC0"/>
          </w:tcPr>
          <w:p>
            <w:pPr>
              <w:jc w:val="center"/>
              <w:ind w:left="53"/>
              <w:spacing w:after="0"/>
              <w:rPr>
                <w:sz w:val="20"/>
                <w:szCs w:val="20"/>
                <w:color w:val="auto"/>
              </w:rPr>
            </w:pPr>
            <w:r>
              <w:rPr>
                <w:rFonts w:ascii="Arial" w:cs="Arial" w:eastAsia="Arial" w:hAnsi="Arial"/>
                <w:sz w:val="18"/>
                <w:szCs w:val="18"/>
                <w:color w:val="auto"/>
                <w:w w:val="99"/>
              </w:rPr>
              <w:t>3.0x</w:t>
            </w:r>
          </w:p>
        </w:tc>
        <w:tc>
          <w:tcPr>
            <w:tcW w:w="340" w:type="dxa"/>
            <w:vAlign w:val="bottom"/>
          </w:tcPr>
          <w:p>
            <w:pPr>
              <w:spacing w:after="0"/>
              <w:rPr>
                <w:sz w:val="22"/>
                <w:szCs w:val="22"/>
                <w:color w:val="auto"/>
              </w:rPr>
            </w:pPr>
          </w:p>
        </w:tc>
        <w:tc>
          <w:tcPr>
            <w:tcW w:w="1440" w:type="dxa"/>
            <w:vAlign w:val="bottom"/>
            <w:tcBorders>
              <w:bottom w:val="single" w:sz="8" w:color="BCBEC0"/>
            </w:tcBorders>
            <w:shd w:val="clear" w:color="auto" w:fill="BCBEC0"/>
          </w:tcPr>
          <w:p>
            <w:pPr>
              <w:jc w:val="right"/>
              <w:ind w:right="334"/>
              <w:spacing w:after="0"/>
              <w:rPr>
                <w:sz w:val="20"/>
                <w:szCs w:val="20"/>
                <w:color w:val="auto"/>
              </w:rPr>
            </w:pPr>
            <w:r>
              <w:rPr>
                <w:rFonts w:ascii="Arial" w:cs="Arial" w:eastAsia="Arial" w:hAnsi="Arial"/>
                <w:sz w:val="18"/>
                <w:szCs w:val="18"/>
                <w:color w:val="auto"/>
              </w:rPr>
              <w:t>≥ 15%</w:t>
            </w:r>
          </w:p>
        </w:tc>
        <w:tc>
          <w:tcPr>
            <w:tcW w:w="740" w:type="dxa"/>
            <w:vAlign w:val="bottom"/>
            <w:tcBorders>
              <w:bottom w:val="single" w:sz="8" w:color="BCBEC0"/>
            </w:tcBorders>
            <w:shd w:val="clear" w:color="auto" w:fill="BCBEC0"/>
          </w:tcPr>
          <w:p>
            <w:pPr>
              <w:jc w:val="center"/>
              <w:ind w:right="114"/>
              <w:spacing w:after="0"/>
              <w:rPr>
                <w:sz w:val="20"/>
                <w:szCs w:val="20"/>
                <w:color w:val="auto"/>
              </w:rPr>
            </w:pPr>
            <w:r>
              <w:rPr>
                <w:rFonts w:ascii="Arial" w:cs="Arial" w:eastAsia="Arial" w:hAnsi="Arial"/>
                <w:sz w:val="18"/>
                <w:szCs w:val="18"/>
                <w:color w:val="auto"/>
                <w:w w:val="99"/>
              </w:rPr>
              <w:t>3.0x</w:t>
            </w:r>
          </w:p>
        </w:tc>
        <w:tc>
          <w:tcPr>
            <w:tcW w:w="1660" w:type="dxa"/>
            <w:vAlign w:val="bottom"/>
          </w:tcPr>
          <w:p>
            <w:pPr>
              <w:spacing w:after="0"/>
              <w:rPr>
                <w:sz w:val="22"/>
                <w:szCs w:val="22"/>
                <w:color w:val="auto"/>
              </w:rPr>
            </w:pPr>
          </w:p>
        </w:tc>
        <w:tc>
          <w:tcPr>
            <w:tcW w:w="920" w:type="dxa"/>
            <w:vAlign w:val="bottom"/>
            <w:tcBorders>
              <w:bottom w:val="single" w:sz="8" w:color="BCBEC0"/>
            </w:tcBorders>
            <w:shd w:val="clear" w:color="auto" w:fill="BCBEC0"/>
          </w:tcPr>
          <w:p>
            <w:pPr>
              <w:jc w:val="right"/>
              <w:spacing w:after="0"/>
              <w:rPr>
                <w:sz w:val="20"/>
                <w:szCs w:val="20"/>
                <w:color w:val="auto"/>
              </w:rPr>
            </w:pPr>
            <w:r>
              <w:rPr>
                <w:rFonts w:ascii="Arial" w:cs="Arial" w:eastAsia="Arial" w:hAnsi="Arial"/>
                <w:sz w:val="18"/>
                <w:szCs w:val="18"/>
                <w:color w:val="auto"/>
              </w:rPr>
              <w:t>≥ 50.0%</w:t>
            </w:r>
          </w:p>
        </w:tc>
        <w:tc>
          <w:tcPr>
            <w:tcW w:w="1040" w:type="dxa"/>
            <w:vAlign w:val="bottom"/>
            <w:tcBorders>
              <w:bottom w:val="single" w:sz="8" w:color="BCBEC0"/>
            </w:tcBorders>
            <w:shd w:val="clear" w:color="auto" w:fill="BCBEC0"/>
          </w:tcPr>
          <w:p>
            <w:pPr>
              <w:jc w:val="center"/>
              <w:ind w:left="53"/>
              <w:spacing w:after="0"/>
              <w:rPr>
                <w:sz w:val="20"/>
                <w:szCs w:val="20"/>
                <w:color w:val="auto"/>
              </w:rPr>
            </w:pPr>
            <w:r>
              <w:rPr>
                <w:rFonts w:ascii="Arial" w:cs="Arial" w:eastAsia="Arial" w:hAnsi="Arial"/>
                <w:sz w:val="18"/>
                <w:szCs w:val="18"/>
                <w:color w:val="auto"/>
                <w:w w:val="99"/>
              </w:rPr>
              <w:t>3.0x</w:t>
            </w:r>
          </w:p>
        </w:tc>
        <w:tc>
          <w:tcPr>
            <w:tcW w:w="340" w:type="dxa"/>
            <w:vAlign w:val="bottom"/>
          </w:tcPr>
          <w:p>
            <w:pPr>
              <w:spacing w:after="0"/>
              <w:rPr>
                <w:sz w:val="22"/>
                <w:szCs w:val="22"/>
                <w:color w:val="auto"/>
              </w:rPr>
            </w:pPr>
          </w:p>
        </w:tc>
        <w:tc>
          <w:tcPr>
            <w:tcW w:w="1440" w:type="dxa"/>
            <w:vAlign w:val="bottom"/>
            <w:tcBorders>
              <w:bottom w:val="single" w:sz="8" w:color="BCBEC0"/>
            </w:tcBorders>
            <w:shd w:val="clear" w:color="auto" w:fill="BCBEC0"/>
          </w:tcPr>
          <w:p>
            <w:pPr>
              <w:jc w:val="right"/>
              <w:ind w:right="334"/>
              <w:spacing w:after="0"/>
              <w:rPr>
                <w:sz w:val="20"/>
                <w:szCs w:val="20"/>
                <w:color w:val="auto"/>
              </w:rPr>
            </w:pPr>
            <w:r>
              <w:rPr>
                <w:rFonts w:ascii="Arial" w:cs="Arial" w:eastAsia="Arial" w:hAnsi="Arial"/>
                <w:sz w:val="18"/>
                <w:szCs w:val="18"/>
                <w:color w:val="auto"/>
              </w:rPr>
              <w:t>≥ 22%</w:t>
            </w:r>
          </w:p>
        </w:tc>
        <w:tc>
          <w:tcPr>
            <w:tcW w:w="740" w:type="dxa"/>
            <w:vAlign w:val="bottom"/>
            <w:tcBorders>
              <w:bottom w:val="single" w:sz="8" w:color="BCBEC0"/>
            </w:tcBorders>
            <w:shd w:val="clear" w:color="auto" w:fill="BCBEC0"/>
          </w:tcPr>
          <w:p>
            <w:pPr>
              <w:jc w:val="center"/>
              <w:ind w:right="74"/>
              <w:spacing w:after="0"/>
              <w:rPr>
                <w:sz w:val="20"/>
                <w:szCs w:val="20"/>
                <w:color w:val="auto"/>
              </w:rPr>
            </w:pPr>
            <w:r>
              <w:rPr>
                <w:rFonts w:ascii="Arial" w:cs="Arial" w:eastAsia="Arial" w:hAnsi="Arial"/>
                <w:sz w:val="18"/>
                <w:szCs w:val="18"/>
                <w:color w:val="auto"/>
                <w:w w:val="99"/>
              </w:rPr>
              <w:t>3.0x</w:t>
            </w:r>
          </w:p>
        </w:tc>
        <w:tc>
          <w:tcPr>
            <w:tcW w:w="0" w:type="dxa"/>
            <w:vAlign w:val="bottom"/>
          </w:tcPr>
          <w:p>
            <w:pPr>
              <w:spacing w:after="0"/>
              <w:rPr>
                <w:sz w:val="1"/>
                <w:szCs w:val="1"/>
                <w:color w:val="auto"/>
              </w:rPr>
            </w:pPr>
          </w:p>
        </w:tc>
      </w:tr>
      <w:tr>
        <w:trPr>
          <w:trHeight w:val="278"/>
        </w:trPr>
        <w:tc>
          <w:tcPr>
            <w:tcW w:w="4480" w:type="dxa"/>
            <w:vAlign w:val="bottom"/>
            <w:gridSpan w:val="5"/>
          </w:tcPr>
          <w:p>
            <w:pPr>
              <w:jc w:val="center"/>
              <w:spacing w:after="0"/>
              <w:rPr>
                <w:sz w:val="20"/>
                <w:szCs w:val="20"/>
                <w:color w:val="auto"/>
              </w:rPr>
            </w:pPr>
            <w:r>
              <w:rPr>
                <w:rFonts w:ascii="Arial" w:cs="Arial" w:eastAsia="Arial" w:hAnsi="Arial"/>
                <w:sz w:val="18"/>
                <w:szCs w:val="18"/>
                <w:color w:val="auto"/>
              </w:rPr>
              <w:t>If OPBT margin &lt;=36% the entire bonus will pay at 0%</w:t>
            </w:r>
          </w:p>
        </w:tc>
        <w:tc>
          <w:tcPr>
            <w:tcW w:w="1660" w:type="dxa"/>
            <w:vAlign w:val="bottom"/>
          </w:tcPr>
          <w:p>
            <w:pPr>
              <w:spacing w:after="0"/>
              <w:rPr>
                <w:sz w:val="24"/>
                <w:szCs w:val="24"/>
                <w:color w:val="auto"/>
              </w:rPr>
            </w:pPr>
          </w:p>
        </w:tc>
        <w:tc>
          <w:tcPr>
            <w:tcW w:w="4480" w:type="dxa"/>
            <w:vAlign w:val="bottom"/>
            <w:gridSpan w:val="5"/>
          </w:tcPr>
          <w:p>
            <w:pPr>
              <w:jc w:val="center"/>
              <w:spacing w:after="0"/>
              <w:rPr>
                <w:sz w:val="20"/>
                <w:szCs w:val="20"/>
                <w:color w:val="auto"/>
              </w:rPr>
            </w:pPr>
            <w:r>
              <w:rPr>
                <w:rFonts w:ascii="Arial" w:cs="Arial" w:eastAsia="Arial" w:hAnsi="Arial"/>
                <w:sz w:val="18"/>
                <w:szCs w:val="18"/>
                <w:color w:val="auto"/>
              </w:rPr>
              <w:t>If OPBT margin &lt;=40% the entire bonus will pay at 0%</w:t>
            </w: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2820" w:type="dxa"/>
            <w:vAlign w:val="bottom"/>
            <w:gridSpan w:val="3"/>
          </w:tcPr>
          <w:p>
            <w:pPr>
              <w:jc w:val="center"/>
              <w:ind w:right="94"/>
              <w:spacing w:after="0"/>
              <w:rPr>
                <w:sz w:val="20"/>
                <w:szCs w:val="20"/>
                <w:color w:val="auto"/>
              </w:rPr>
            </w:pPr>
            <w:r>
              <w:rPr>
                <w:rFonts w:ascii="Arial" w:cs="Arial" w:eastAsia="Arial" w:hAnsi="Arial"/>
                <w:sz w:val="18"/>
                <w:szCs w:val="18"/>
                <w:color w:val="auto"/>
              </w:rPr>
              <w:t>regardless of revenue attainment</w:t>
            </w: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gridSpan w:val="3"/>
          </w:tcPr>
          <w:p>
            <w:pPr>
              <w:jc w:val="center"/>
              <w:ind w:right="94"/>
              <w:spacing w:after="0"/>
              <w:rPr>
                <w:sz w:val="20"/>
                <w:szCs w:val="20"/>
                <w:color w:val="auto"/>
              </w:rPr>
            </w:pPr>
            <w:r>
              <w:rPr>
                <w:rFonts w:ascii="Arial" w:cs="Arial" w:eastAsia="Arial" w:hAnsi="Arial"/>
                <w:sz w:val="18"/>
                <w:szCs w:val="18"/>
                <w:color w:val="auto"/>
              </w:rPr>
              <w:t>regardless of revenue attainment</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-1450340</wp:posOffset>
            </wp:positionV>
            <wp:extent cx="6737985" cy="11226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7985" cy="1122680"/>
                    </a:xfrm>
                    <a:prstGeom prst="rect">
                      <a:avLst/>
                    </a:prstGeom>
                    <a:noFill/>
                  </pic:spPr>
                </pic:pic>
              </a:graphicData>
            </a:graphic>
          </wp:anchor>
        </w:drawing>
      </w:r>
    </w:p>
    <w:p>
      <w:pPr>
        <w:spacing w:after="0" w:line="191" w:lineRule="exact"/>
        <w:rPr>
          <w:sz w:val="20"/>
          <w:szCs w:val="20"/>
          <w:color w:val="auto"/>
        </w:rPr>
      </w:pPr>
    </w:p>
    <w:p>
      <w:pPr>
        <w:ind w:left="200" w:right="20" w:hanging="192"/>
        <w:spacing w:after="0" w:line="248" w:lineRule="auto"/>
        <w:tabs>
          <w:tab w:leader="none" w:pos="215"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OPBT margin is equivalent to our Adjusted Operating Margin as reported in our annual and quarterly earnings releases excluding the financial results for Maxim when determining the bonus payout factors for the first and second quarters of fiscal year 2022. For the first and second quarters of fiscal year 2022, the financial results of Maxim were excluded when determining the bonus payout factors. The Compensation and Talent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and Talent Committee may, in its discretion, exclude these items in order to prevent payments under the plan from being adversely or advantageously affected by special items. For purposes of determining the bonus payout factor for each quarter of fiscal year 2022, OPBT margin was adjusted to exclude acquisition-related expenses, acquisition-related transaction costs, and special charges, consistent with the non-GAAP adjustments included in our quarterly earnings releases.</w:t>
      </w:r>
    </w:p>
    <w:p>
      <w:pPr>
        <w:spacing w:after="0" w:line="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 floor on the OPBT margin target so that profitability at or below the minimum listed OPBT margin will result in no bonus payments for that performance period, regardless of revenue growth levels. The bonus payout factor is determined using linear interpolation between the values specified in the tables above.</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fiscal year 2022, the calculated OPBT margin, year-over-year revenue growth and bonus payout factor under our executive performance incentive plan for each quarter were as follows:</w:t>
      </w:r>
    </w:p>
    <w:p>
      <w:pPr>
        <w:sectPr>
          <w:pgSz w:w="11900" w:h="16838" w:orient="portrait"/>
          <w:cols w:equalWidth="0" w:num="1">
            <w:col w:w="11240"/>
          </w:cols>
          <w:pgMar w:left="320" w:top="1240" w:right="339" w:bottom="1440" w:gutter="0" w:footer="0" w:header="0"/>
        </w:sectPr>
      </w:pPr>
    </w:p>
    <w:p>
      <w:pPr>
        <w:spacing w:after="0" w:line="297"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59</w:t>
      </w:r>
    </w:p>
    <w:p>
      <w:pPr>
        <w:sectPr>
          <w:pgSz w:w="11900" w:h="16838" w:orient="portrait"/>
          <w:cols w:equalWidth="0" w:num="1">
            <w:col w:w="11240"/>
          </w:cols>
          <w:pgMar w:left="320" w:top="1240"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43"/>
        </w:trPr>
        <w:tc>
          <w:tcPr>
            <w:tcW w:w="2380" w:type="dxa"/>
            <w:vAlign w:val="bottom"/>
            <w:shd w:val="clear" w:color="auto" w:fill="0067B3"/>
          </w:tcPr>
          <w:p>
            <w:pPr>
              <w:spacing w:after="0"/>
              <w:rPr>
                <w:sz w:val="21"/>
                <w:szCs w:val="21"/>
                <w:color w:val="auto"/>
              </w:rPr>
            </w:pPr>
          </w:p>
        </w:tc>
        <w:tc>
          <w:tcPr>
            <w:tcW w:w="3420" w:type="dxa"/>
            <w:vAlign w:val="bottom"/>
            <w:gridSpan w:val="2"/>
            <w:shd w:val="clear" w:color="auto" w:fill="0067B3"/>
          </w:tcPr>
          <w:p>
            <w:pPr>
              <w:ind w:left="580"/>
              <w:spacing w:after="0"/>
              <w:rPr>
                <w:sz w:val="20"/>
                <w:szCs w:val="20"/>
                <w:color w:val="auto"/>
              </w:rPr>
            </w:pPr>
            <w:r>
              <w:rPr>
                <w:rFonts w:ascii="Arial" w:cs="Arial" w:eastAsia="Arial" w:hAnsi="Arial"/>
                <w:sz w:val="16"/>
                <w:szCs w:val="16"/>
                <w:b w:val="1"/>
                <w:bCs w:val="1"/>
                <w:color w:val="FFFFFF"/>
              </w:rPr>
              <w:t>OPBT Margin (50% weight)</w:t>
            </w:r>
          </w:p>
        </w:tc>
        <w:tc>
          <w:tcPr>
            <w:tcW w:w="3440" w:type="dxa"/>
            <w:vAlign w:val="bottom"/>
            <w:gridSpan w:val="2"/>
            <w:shd w:val="clear" w:color="auto" w:fill="0067B3"/>
          </w:tcPr>
          <w:p>
            <w:pPr>
              <w:ind w:left="700"/>
              <w:spacing w:after="0"/>
              <w:rPr>
                <w:sz w:val="20"/>
                <w:szCs w:val="20"/>
                <w:color w:val="auto"/>
              </w:rPr>
            </w:pPr>
            <w:r>
              <w:rPr>
                <w:rFonts w:ascii="Arial" w:cs="Arial" w:eastAsia="Arial" w:hAnsi="Arial"/>
                <w:sz w:val="16"/>
                <w:szCs w:val="16"/>
                <w:b w:val="1"/>
                <w:bCs w:val="1"/>
                <w:color w:val="FFFFFF"/>
              </w:rPr>
              <w:t>Revenue Growth (50% weight)</w:t>
            </w:r>
          </w:p>
        </w:tc>
        <w:tc>
          <w:tcPr>
            <w:tcW w:w="2000" w:type="dxa"/>
            <w:vAlign w:val="bottom"/>
            <w:shd w:val="clear" w:color="auto" w:fill="0067B3"/>
          </w:tcPr>
          <w:p>
            <w:pPr>
              <w:spacing w:after="0"/>
              <w:rPr>
                <w:sz w:val="21"/>
                <w:szCs w:val="21"/>
                <w:color w:val="auto"/>
              </w:rPr>
            </w:pPr>
          </w:p>
        </w:tc>
      </w:tr>
      <w:tr>
        <w:trPr>
          <w:trHeight w:val="229"/>
        </w:trPr>
        <w:tc>
          <w:tcPr>
            <w:tcW w:w="2380" w:type="dxa"/>
            <w:vAlign w:val="bottom"/>
            <w:shd w:val="clear" w:color="auto" w:fill="0067B3"/>
          </w:tcPr>
          <w:p>
            <w:pPr>
              <w:spacing w:after="0"/>
              <w:rPr>
                <w:sz w:val="19"/>
                <w:szCs w:val="19"/>
                <w:color w:val="auto"/>
              </w:rPr>
            </w:pPr>
          </w:p>
        </w:tc>
        <w:tc>
          <w:tcPr>
            <w:tcW w:w="1520" w:type="dxa"/>
            <w:vAlign w:val="bottom"/>
            <w:shd w:val="clear" w:color="auto" w:fill="0067B3"/>
          </w:tcPr>
          <w:p>
            <w:pPr>
              <w:jc w:val="center"/>
              <w:ind w:left="34"/>
              <w:spacing w:after="0"/>
              <w:rPr>
                <w:sz w:val="20"/>
                <w:szCs w:val="20"/>
                <w:color w:val="auto"/>
              </w:rPr>
            </w:pPr>
            <w:r>
              <w:rPr>
                <w:rFonts w:ascii="Arial" w:cs="Arial" w:eastAsia="Arial" w:hAnsi="Arial"/>
                <w:sz w:val="16"/>
                <w:szCs w:val="16"/>
                <w:b w:val="1"/>
                <w:bCs w:val="1"/>
                <w:color w:val="FFFFFF"/>
              </w:rPr>
              <w:t>OPBT Margin</w:t>
            </w:r>
          </w:p>
        </w:tc>
        <w:tc>
          <w:tcPr>
            <w:tcW w:w="19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Bonus Payout</w:t>
            </w:r>
          </w:p>
        </w:tc>
        <w:tc>
          <w:tcPr>
            <w:tcW w:w="1840" w:type="dxa"/>
            <w:vAlign w:val="bottom"/>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YOY Revenue</w:t>
            </w:r>
          </w:p>
        </w:tc>
        <w:tc>
          <w:tcPr>
            <w:tcW w:w="16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Bonus Payout</w:t>
            </w:r>
          </w:p>
        </w:tc>
        <w:tc>
          <w:tcPr>
            <w:tcW w:w="200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Quarterly Bonus</w:t>
            </w:r>
          </w:p>
        </w:tc>
      </w:tr>
      <w:tr>
        <w:trPr>
          <w:trHeight w:val="226"/>
        </w:trPr>
        <w:tc>
          <w:tcPr>
            <w:tcW w:w="23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Quarter</w:t>
            </w:r>
          </w:p>
        </w:tc>
        <w:tc>
          <w:tcPr>
            <w:tcW w:w="1520" w:type="dxa"/>
            <w:vAlign w:val="bottom"/>
            <w:tcBorders>
              <w:bottom w:val="single" w:sz="8" w:color="auto"/>
            </w:tcBorders>
            <w:shd w:val="clear" w:color="auto" w:fill="0067B3"/>
          </w:tcPr>
          <w:p>
            <w:pPr>
              <w:jc w:val="center"/>
              <w:ind w:left="54"/>
              <w:spacing w:after="0"/>
              <w:rPr>
                <w:sz w:val="20"/>
                <w:szCs w:val="20"/>
                <w:color w:val="auto"/>
              </w:rPr>
            </w:pPr>
            <w:r>
              <w:rPr>
                <w:rFonts w:ascii="Arial" w:cs="Arial" w:eastAsia="Arial" w:hAnsi="Arial"/>
                <w:sz w:val="16"/>
                <w:szCs w:val="16"/>
                <w:b w:val="1"/>
                <w:bCs w:val="1"/>
                <w:color w:val="FFFFFF"/>
              </w:rPr>
              <w:t>(by quarter)</w:t>
            </w:r>
          </w:p>
        </w:tc>
        <w:tc>
          <w:tcPr>
            <w:tcW w:w="1900" w:type="dxa"/>
            <w:vAlign w:val="bottom"/>
            <w:tcBorders>
              <w:bottom w:val="single" w:sz="8" w:color="auto"/>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1840" w:type="dxa"/>
            <w:vAlign w:val="bottom"/>
            <w:tcBorders>
              <w:bottom w:val="single" w:sz="8" w:color="auto"/>
            </w:tcBorders>
            <w:shd w:val="clear" w:color="auto" w:fill="0067B3"/>
          </w:tcPr>
          <w:p>
            <w:pPr>
              <w:jc w:val="center"/>
              <w:ind w:left="94"/>
              <w:spacing w:after="0"/>
              <w:rPr>
                <w:sz w:val="20"/>
                <w:szCs w:val="20"/>
                <w:color w:val="auto"/>
              </w:rPr>
            </w:pPr>
            <w:r>
              <w:rPr>
                <w:rFonts w:ascii="Arial" w:cs="Arial" w:eastAsia="Arial" w:hAnsi="Arial"/>
                <w:sz w:val="16"/>
                <w:szCs w:val="16"/>
                <w:b w:val="1"/>
                <w:bCs w:val="1"/>
                <w:color w:val="FFFFFF"/>
              </w:rPr>
              <w:t>Growth (by quarter)</w:t>
            </w:r>
          </w:p>
        </w:tc>
        <w:tc>
          <w:tcPr>
            <w:tcW w:w="1600" w:type="dxa"/>
            <w:vAlign w:val="bottom"/>
            <w:tcBorders>
              <w:bottom w:val="single" w:sz="8" w:color="auto"/>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Factor (by quarter)</w:t>
            </w:r>
          </w:p>
        </w:tc>
        <w:tc>
          <w:tcPr>
            <w:tcW w:w="2000" w:type="dxa"/>
            <w:vAlign w:val="bottom"/>
            <w:tcBorders>
              <w:bottom w:val="single" w:sz="8" w:color="auto"/>
            </w:tcBorders>
            <w:shd w:val="clear" w:color="auto" w:fill="0067B3"/>
          </w:tcPr>
          <w:p>
            <w:pPr>
              <w:jc w:val="center"/>
              <w:spacing w:after="0"/>
              <w:rPr>
                <w:sz w:val="20"/>
                <w:szCs w:val="20"/>
                <w:color w:val="auto"/>
              </w:rPr>
            </w:pPr>
            <w:r>
              <w:rPr>
                <w:rFonts w:ascii="Arial" w:cs="Arial" w:eastAsia="Arial" w:hAnsi="Arial"/>
                <w:sz w:val="16"/>
                <w:szCs w:val="16"/>
                <w:b w:val="1"/>
                <w:bCs w:val="1"/>
                <w:color w:val="FFFFFF"/>
              </w:rPr>
              <w:t>Payout Factor (average)</w:t>
            </w:r>
          </w:p>
        </w:tc>
      </w:tr>
      <w:tr>
        <w:trPr>
          <w:trHeight w:val="267"/>
        </w:trPr>
        <w:tc>
          <w:tcPr>
            <w:tcW w:w="2380" w:type="dxa"/>
            <w:vAlign w:val="bottom"/>
            <w:tcBorders>
              <w:bottom w:val="single" w:sz="8" w:color="939598"/>
            </w:tcBorders>
            <w:shd w:val="clear" w:color="auto" w:fill="E2E6F4"/>
          </w:tcPr>
          <w:p>
            <w:pPr>
              <w:ind w:left="20"/>
              <w:spacing w:after="0" w:line="266" w:lineRule="exact"/>
              <w:rPr>
                <w:sz w:val="20"/>
                <w:szCs w:val="20"/>
                <w:color w:val="auto"/>
              </w:rPr>
            </w:pPr>
            <w:r>
              <w:rPr>
                <w:rFonts w:ascii="Arial" w:cs="Arial" w:eastAsia="Arial" w:hAnsi="Arial"/>
                <w:sz w:val="30"/>
                <w:szCs w:val="30"/>
                <w:color w:val="auto"/>
                <w:vertAlign w:val="subscript"/>
              </w:rPr>
              <w:t>Q1</w:t>
            </w:r>
            <w:r>
              <w:rPr>
                <w:rFonts w:ascii="Arial" w:cs="Arial" w:eastAsia="Arial" w:hAnsi="Arial"/>
                <w:sz w:val="11"/>
                <w:szCs w:val="11"/>
                <w:color w:val="auto"/>
              </w:rPr>
              <w:t>(1)</w:t>
            </w:r>
          </w:p>
        </w:tc>
        <w:tc>
          <w:tcPr>
            <w:tcW w:w="1520" w:type="dxa"/>
            <w:vAlign w:val="bottom"/>
            <w:tcBorders>
              <w:bottom w:val="single" w:sz="8" w:color="939598"/>
            </w:tcBorders>
            <w:shd w:val="clear" w:color="auto" w:fill="E2E6F4"/>
          </w:tcPr>
          <w:p>
            <w:pPr>
              <w:jc w:val="center"/>
              <w:ind w:left="34"/>
              <w:spacing w:after="0"/>
              <w:rPr>
                <w:sz w:val="20"/>
                <w:szCs w:val="20"/>
                <w:color w:val="auto"/>
              </w:rPr>
            </w:pPr>
            <w:r>
              <w:rPr>
                <w:rFonts w:ascii="Arial" w:cs="Arial" w:eastAsia="Arial" w:hAnsi="Arial"/>
                <w:sz w:val="18"/>
                <w:szCs w:val="18"/>
                <w:color w:val="auto"/>
              </w:rPr>
              <w:t>43.3%</w:t>
            </w:r>
          </w:p>
        </w:tc>
        <w:tc>
          <w:tcPr>
            <w:tcW w:w="19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244%</w:t>
            </w:r>
          </w:p>
        </w:tc>
        <w:tc>
          <w:tcPr>
            <w:tcW w:w="1840" w:type="dxa"/>
            <w:vAlign w:val="bottom"/>
            <w:tcBorders>
              <w:bottom w:val="single" w:sz="8" w:color="939598"/>
            </w:tcBorders>
            <w:shd w:val="clear" w:color="auto" w:fill="E2E6F4"/>
          </w:tcPr>
          <w:p>
            <w:pPr>
              <w:jc w:val="center"/>
              <w:ind w:left="94"/>
              <w:spacing w:after="0"/>
              <w:rPr>
                <w:sz w:val="20"/>
                <w:szCs w:val="20"/>
                <w:color w:val="auto"/>
              </w:rPr>
            </w:pPr>
            <w:r>
              <w:rPr>
                <w:rFonts w:ascii="Arial" w:cs="Arial" w:eastAsia="Arial" w:hAnsi="Arial"/>
                <w:sz w:val="18"/>
                <w:szCs w:val="18"/>
                <w:color w:val="auto"/>
                <w:w w:val="97"/>
              </w:rPr>
              <w:t>19.5%</w:t>
            </w:r>
          </w:p>
        </w:tc>
        <w:tc>
          <w:tcPr>
            <w:tcW w:w="16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300%</w:t>
            </w:r>
          </w:p>
        </w:tc>
        <w:tc>
          <w:tcPr>
            <w:tcW w:w="20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272%</w:t>
            </w:r>
          </w:p>
        </w:tc>
      </w:tr>
      <w:tr>
        <w:trPr>
          <w:trHeight w:val="264"/>
        </w:trPr>
        <w:tc>
          <w:tcPr>
            <w:tcW w:w="2380" w:type="dxa"/>
            <w:vAlign w:val="bottom"/>
            <w:tcBorders>
              <w:bottom w:val="single" w:sz="8" w:color="939598"/>
            </w:tcBorders>
          </w:tcPr>
          <w:p>
            <w:pPr>
              <w:ind w:left="20"/>
              <w:spacing w:after="0" w:line="264" w:lineRule="exact"/>
              <w:rPr>
                <w:sz w:val="20"/>
                <w:szCs w:val="20"/>
                <w:color w:val="auto"/>
              </w:rPr>
            </w:pPr>
            <w:r>
              <w:rPr>
                <w:rFonts w:ascii="Arial" w:cs="Arial" w:eastAsia="Arial" w:hAnsi="Arial"/>
                <w:sz w:val="30"/>
                <w:szCs w:val="30"/>
                <w:color w:val="auto"/>
                <w:vertAlign w:val="subscript"/>
              </w:rPr>
              <w:t>Q2</w:t>
            </w:r>
            <w:r>
              <w:rPr>
                <w:rFonts w:ascii="Arial" w:cs="Arial" w:eastAsia="Arial" w:hAnsi="Arial"/>
                <w:sz w:val="11"/>
                <w:szCs w:val="11"/>
                <w:color w:val="auto"/>
              </w:rPr>
              <w:t>(1)</w:t>
            </w:r>
          </w:p>
        </w:tc>
        <w:tc>
          <w:tcPr>
            <w:tcW w:w="1520" w:type="dxa"/>
            <w:vAlign w:val="bottom"/>
            <w:tcBorders>
              <w:bottom w:val="single" w:sz="8" w:color="939598"/>
            </w:tcBorders>
          </w:tcPr>
          <w:p>
            <w:pPr>
              <w:jc w:val="center"/>
              <w:ind w:left="34"/>
              <w:spacing w:after="0"/>
              <w:rPr>
                <w:sz w:val="20"/>
                <w:szCs w:val="20"/>
                <w:color w:val="auto"/>
              </w:rPr>
            </w:pPr>
            <w:r>
              <w:rPr>
                <w:rFonts w:ascii="Arial" w:cs="Arial" w:eastAsia="Arial" w:hAnsi="Arial"/>
                <w:sz w:val="18"/>
                <w:szCs w:val="18"/>
                <w:color w:val="auto"/>
              </w:rPr>
              <w:t>48.5%</w:t>
            </w:r>
          </w:p>
        </w:tc>
        <w:tc>
          <w:tcPr>
            <w:tcW w:w="1900" w:type="dxa"/>
            <w:vAlign w:val="bottom"/>
            <w:tcBorders>
              <w:bottom w:val="single" w:sz="8" w:color="939598"/>
            </w:tcBorders>
          </w:tcPr>
          <w:p>
            <w:pPr>
              <w:jc w:val="center"/>
              <w:spacing w:after="0"/>
              <w:rPr>
                <w:sz w:val="20"/>
                <w:szCs w:val="20"/>
                <w:color w:val="auto"/>
              </w:rPr>
            </w:pPr>
            <w:r>
              <w:rPr>
                <w:rFonts w:ascii="Arial" w:cs="Arial" w:eastAsia="Arial" w:hAnsi="Arial"/>
                <w:sz w:val="18"/>
                <w:szCs w:val="18"/>
                <w:color w:val="auto"/>
                <w:w w:val="99"/>
              </w:rPr>
              <w:t>300%</w:t>
            </w:r>
          </w:p>
        </w:tc>
        <w:tc>
          <w:tcPr>
            <w:tcW w:w="1840" w:type="dxa"/>
            <w:vAlign w:val="bottom"/>
            <w:tcBorders>
              <w:bottom w:val="single" w:sz="8" w:color="939598"/>
            </w:tcBorders>
          </w:tcPr>
          <w:p>
            <w:pPr>
              <w:jc w:val="center"/>
              <w:ind w:left="94"/>
              <w:spacing w:after="0"/>
              <w:rPr>
                <w:sz w:val="20"/>
                <w:szCs w:val="20"/>
                <w:color w:val="auto"/>
              </w:rPr>
            </w:pPr>
            <w:r>
              <w:rPr>
                <w:rFonts w:ascii="Arial" w:cs="Arial" w:eastAsia="Arial" w:hAnsi="Arial"/>
                <w:sz w:val="18"/>
                <w:szCs w:val="18"/>
                <w:color w:val="auto"/>
                <w:w w:val="97"/>
              </w:rPr>
              <w:t>24.5%</w:t>
            </w:r>
          </w:p>
        </w:tc>
        <w:tc>
          <w:tcPr>
            <w:tcW w:w="1600" w:type="dxa"/>
            <w:vAlign w:val="bottom"/>
            <w:tcBorders>
              <w:bottom w:val="single" w:sz="8" w:color="939598"/>
            </w:tcBorders>
          </w:tcPr>
          <w:p>
            <w:pPr>
              <w:jc w:val="center"/>
              <w:spacing w:after="0"/>
              <w:rPr>
                <w:sz w:val="20"/>
                <w:szCs w:val="20"/>
                <w:color w:val="auto"/>
              </w:rPr>
            </w:pPr>
            <w:r>
              <w:rPr>
                <w:rFonts w:ascii="Arial" w:cs="Arial" w:eastAsia="Arial" w:hAnsi="Arial"/>
                <w:sz w:val="18"/>
                <w:szCs w:val="18"/>
                <w:color w:val="auto"/>
                <w:w w:val="99"/>
              </w:rPr>
              <w:t>300%</w:t>
            </w:r>
          </w:p>
        </w:tc>
        <w:tc>
          <w:tcPr>
            <w:tcW w:w="2000" w:type="dxa"/>
            <w:vAlign w:val="bottom"/>
            <w:tcBorders>
              <w:bottom w:val="single" w:sz="8" w:color="939598"/>
            </w:tcBorders>
          </w:tcPr>
          <w:p>
            <w:pPr>
              <w:jc w:val="center"/>
              <w:spacing w:after="0"/>
              <w:rPr>
                <w:sz w:val="20"/>
                <w:szCs w:val="20"/>
                <w:color w:val="auto"/>
              </w:rPr>
            </w:pPr>
            <w:r>
              <w:rPr>
                <w:rFonts w:ascii="Arial" w:cs="Arial" w:eastAsia="Arial" w:hAnsi="Arial"/>
                <w:sz w:val="18"/>
                <w:szCs w:val="18"/>
                <w:color w:val="auto"/>
                <w:w w:val="99"/>
              </w:rPr>
              <w:t>300%</w:t>
            </w:r>
          </w:p>
        </w:tc>
      </w:tr>
      <w:tr>
        <w:trPr>
          <w:trHeight w:val="263"/>
        </w:trPr>
        <w:tc>
          <w:tcPr>
            <w:tcW w:w="2380" w:type="dxa"/>
            <w:vAlign w:val="bottom"/>
            <w:tcBorders>
              <w:bottom w:val="single" w:sz="8" w:color="939598"/>
            </w:tcBorders>
            <w:shd w:val="clear" w:color="auto" w:fill="E2E6F4"/>
          </w:tcPr>
          <w:p>
            <w:pPr>
              <w:ind w:left="20"/>
              <w:spacing w:after="0" w:line="264" w:lineRule="exact"/>
              <w:rPr>
                <w:sz w:val="20"/>
                <w:szCs w:val="20"/>
                <w:color w:val="auto"/>
              </w:rPr>
            </w:pPr>
            <w:r>
              <w:rPr>
                <w:rFonts w:ascii="Arial" w:cs="Arial" w:eastAsia="Arial" w:hAnsi="Arial"/>
                <w:sz w:val="30"/>
                <w:szCs w:val="30"/>
                <w:color w:val="auto"/>
                <w:vertAlign w:val="subscript"/>
              </w:rPr>
              <w:t>Q3</w:t>
            </w:r>
            <w:r>
              <w:rPr>
                <w:rFonts w:ascii="Arial" w:cs="Arial" w:eastAsia="Arial" w:hAnsi="Arial"/>
                <w:sz w:val="11"/>
                <w:szCs w:val="11"/>
                <w:color w:val="auto"/>
              </w:rPr>
              <w:t>(2)</w:t>
            </w:r>
          </w:p>
        </w:tc>
        <w:tc>
          <w:tcPr>
            <w:tcW w:w="1520" w:type="dxa"/>
            <w:vAlign w:val="bottom"/>
            <w:tcBorders>
              <w:bottom w:val="single" w:sz="8" w:color="939598"/>
            </w:tcBorders>
            <w:shd w:val="clear" w:color="auto" w:fill="E2E6F4"/>
          </w:tcPr>
          <w:p>
            <w:pPr>
              <w:jc w:val="center"/>
              <w:ind w:left="34"/>
              <w:spacing w:after="0"/>
              <w:rPr>
                <w:sz w:val="20"/>
                <w:szCs w:val="20"/>
                <w:color w:val="auto"/>
              </w:rPr>
            </w:pPr>
            <w:r>
              <w:rPr>
                <w:rFonts w:ascii="Arial" w:cs="Arial" w:eastAsia="Arial" w:hAnsi="Arial"/>
                <w:sz w:val="18"/>
                <w:szCs w:val="18"/>
                <w:color w:val="auto"/>
              </w:rPr>
              <w:t>50.1%</w:t>
            </w:r>
          </w:p>
        </w:tc>
        <w:tc>
          <w:tcPr>
            <w:tcW w:w="19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300%</w:t>
            </w:r>
          </w:p>
        </w:tc>
        <w:tc>
          <w:tcPr>
            <w:tcW w:w="1840" w:type="dxa"/>
            <w:vAlign w:val="bottom"/>
            <w:tcBorders>
              <w:bottom w:val="single" w:sz="8" w:color="939598"/>
            </w:tcBorders>
            <w:shd w:val="clear" w:color="auto" w:fill="E2E6F4"/>
          </w:tcPr>
          <w:p>
            <w:pPr>
              <w:jc w:val="center"/>
              <w:ind w:left="114"/>
              <w:spacing w:after="0"/>
              <w:rPr>
                <w:sz w:val="20"/>
                <w:szCs w:val="20"/>
                <w:color w:val="auto"/>
              </w:rPr>
            </w:pPr>
            <w:r>
              <w:rPr>
                <w:rFonts w:ascii="Arial" w:cs="Arial" w:eastAsia="Arial" w:hAnsi="Arial"/>
                <w:sz w:val="18"/>
                <w:szCs w:val="18"/>
                <w:color w:val="auto"/>
                <w:w w:val="99"/>
              </w:rPr>
              <w:t>24%</w:t>
            </w:r>
          </w:p>
        </w:tc>
        <w:tc>
          <w:tcPr>
            <w:tcW w:w="16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300%</w:t>
            </w:r>
          </w:p>
        </w:tc>
        <w:tc>
          <w:tcPr>
            <w:tcW w:w="2000" w:type="dxa"/>
            <w:vAlign w:val="bottom"/>
            <w:tcBorders>
              <w:bottom w:val="single" w:sz="8" w:color="939598"/>
            </w:tcBorders>
            <w:shd w:val="clear" w:color="auto" w:fill="E2E6F4"/>
          </w:tcPr>
          <w:p>
            <w:pPr>
              <w:jc w:val="center"/>
              <w:spacing w:after="0"/>
              <w:rPr>
                <w:sz w:val="20"/>
                <w:szCs w:val="20"/>
                <w:color w:val="auto"/>
              </w:rPr>
            </w:pPr>
            <w:r>
              <w:rPr>
                <w:rFonts w:ascii="Arial" w:cs="Arial" w:eastAsia="Arial" w:hAnsi="Arial"/>
                <w:sz w:val="18"/>
                <w:szCs w:val="18"/>
                <w:color w:val="auto"/>
                <w:w w:val="99"/>
              </w:rPr>
              <w:t>300%</w:t>
            </w:r>
          </w:p>
        </w:tc>
      </w:tr>
      <w:tr>
        <w:trPr>
          <w:trHeight w:val="263"/>
        </w:trPr>
        <w:tc>
          <w:tcPr>
            <w:tcW w:w="2380" w:type="dxa"/>
            <w:vAlign w:val="bottom"/>
            <w:tcBorders>
              <w:bottom w:val="single" w:sz="8" w:color="0067B3"/>
            </w:tcBorders>
          </w:tcPr>
          <w:p>
            <w:pPr>
              <w:ind w:left="20"/>
              <w:spacing w:after="0" w:line="264" w:lineRule="exact"/>
              <w:rPr>
                <w:sz w:val="20"/>
                <w:szCs w:val="20"/>
                <w:color w:val="auto"/>
              </w:rPr>
            </w:pPr>
            <w:r>
              <w:rPr>
                <w:rFonts w:ascii="Arial" w:cs="Arial" w:eastAsia="Arial" w:hAnsi="Arial"/>
                <w:sz w:val="30"/>
                <w:szCs w:val="30"/>
                <w:color w:val="auto"/>
                <w:vertAlign w:val="subscript"/>
              </w:rPr>
              <w:t>Q4</w:t>
            </w:r>
            <w:r>
              <w:rPr>
                <w:rFonts w:ascii="Arial" w:cs="Arial" w:eastAsia="Arial" w:hAnsi="Arial"/>
                <w:sz w:val="11"/>
                <w:szCs w:val="11"/>
                <w:color w:val="auto"/>
              </w:rPr>
              <w:t>(2)</w:t>
            </w:r>
          </w:p>
        </w:tc>
        <w:tc>
          <w:tcPr>
            <w:tcW w:w="1520" w:type="dxa"/>
            <w:vAlign w:val="bottom"/>
            <w:tcBorders>
              <w:bottom w:val="single" w:sz="8" w:color="0067B3"/>
            </w:tcBorders>
          </w:tcPr>
          <w:p>
            <w:pPr>
              <w:jc w:val="center"/>
              <w:ind w:left="34"/>
              <w:spacing w:after="0"/>
              <w:rPr>
                <w:sz w:val="20"/>
                <w:szCs w:val="20"/>
                <w:color w:val="auto"/>
              </w:rPr>
            </w:pPr>
            <w:r>
              <w:rPr>
                <w:rFonts w:ascii="Arial" w:cs="Arial" w:eastAsia="Arial" w:hAnsi="Arial"/>
                <w:sz w:val="18"/>
                <w:szCs w:val="18"/>
                <w:color w:val="auto"/>
              </w:rPr>
              <w:t>51.1%</w:t>
            </w:r>
          </w:p>
        </w:tc>
        <w:tc>
          <w:tcPr>
            <w:tcW w:w="1900" w:type="dxa"/>
            <w:vAlign w:val="bottom"/>
            <w:tcBorders>
              <w:bottom w:val="single" w:sz="8" w:color="0067B3"/>
            </w:tcBorders>
          </w:tcPr>
          <w:p>
            <w:pPr>
              <w:jc w:val="center"/>
              <w:spacing w:after="0"/>
              <w:rPr>
                <w:sz w:val="20"/>
                <w:szCs w:val="20"/>
                <w:color w:val="auto"/>
              </w:rPr>
            </w:pPr>
            <w:r>
              <w:rPr>
                <w:rFonts w:ascii="Arial" w:cs="Arial" w:eastAsia="Arial" w:hAnsi="Arial"/>
                <w:sz w:val="18"/>
                <w:szCs w:val="18"/>
                <w:color w:val="auto"/>
                <w:w w:val="99"/>
              </w:rPr>
              <w:t>300%</w:t>
            </w:r>
          </w:p>
        </w:tc>
        <w:tc>
          <w:tcPr>
            <w:tcW w:w="1840" w:type="dxa"/>
            <w:vAlign w:val="bottom"/>
            <w:tcBorders>
              <w:bottom w:val="single" w:sz="8" w:color="0067B3"/>
            </w:tcBorders>
          </w:tcPr>
          <w:p>
            <w:pPr>
              <w:jc w:val="center"/>
              <w:ind w:left="94"/>
              <w:spacing w:after="0"/>
              <w:rPr>
                <w:sz w:val="20"/>
                <w:szCs w:val="20"/>
                <w:color w:val="auto"/>
              </w:rPr>
            </w:pPr>
            <w:r>
              <w:rPr>
                <w:rFonts w:ascii="Arial" w:cs="Arial" w:eastAsia="Arial" w:hAnsi="Arial"/>
                <w:sz w:val="18"/>
                <w:szCs w:val="18"/>
                <w:color w:val="auto"/>
                <w:w w:val="97"/>
              </w:rPr>
              <w:t>28.1%</w:t>
            </w:r>
          </w:p>
        </w:tc>
        <w:tc>
          <w:tcPr>
            <w:tcW w:w="1600" w:type="dxa"/>
            <w:vAlign w:val="bottom"/>
            <w:tcBorders>
              <w:bottom w:val="single" w:sz="8" w:color="0067B3"/>
            </w:tcBorders>
          </w:tcPr>
          <w:p>
            <w:pPr>
              <w:jc w:val="center"/>
              <w:spacing w:after="0"/>
              <w:rPr>
                <w:sz w:val="20"/>
                <w:szCs w:val="20"/>
                <w:color w:val="auto"/>
              </w:rPr>
            </w:pPr>
            <w:r>
              <w:rPr>
                <w:rFonts w:ascii="Arial" w:cs="Arial" w:eastAsia="Arial" w:hAnsi="Arial"/>
                <w:sz w:val="18"/>
                <w:szCs w:val="18"/>
                <w:color w:val="auto"/>
                <w:w w:val="99"/>
              </w:rPr>
              <w:t>300%</w:t>
            </w:r>
          </w:p>
        </w:tc>
        <w:tc>
          <w:tcPr>
            <w:tcW w:w="2000" w:type="dxa"/>
            <w:vAlign w:val="bottom"/>
            <w:tcBorders>
              <w:bottom w:val="single" w:sz="8" w:color="0067B3"/>
            </w:tcBorders>
          </w:tcPr>
          <w:p>
            <w:pPr>
              <w:jc w:val="center"/>
              <w:spacing w:after="0"/>
              <w:rPr>
                <w:sz w:val="20"/>
                <w:szCs w:val="20"/>
                <w:color w:val="auto"/>
              </w:rPr>
            </w:pPr>
            <w:r>
              <w:rPr>
                <w:rFonts w:ascii="Arial" w:cs="Arial" w:eastAsia="Arial" w:hAnsi="Arial"/>
                <w:sz w:val="18"/>
                <w:szCs w:val="18"/>
                <w:color w:val="auto"/>
                <w:w w:val="99"/>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-1019175</wp:posOffset>
            </wp:positionV>
            <wp:extent cx="43891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42"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Results do not include results of Maxim as discussed above.</w:t>
      </w:r>
    </w:p>
    <w:p>
      <w:pPr>
        <w:spacing w:after="0" w:line="70" w:lineRule="exact"/>
        <w:rPr>
          <w:rFonts w:ascii="Arial" w:cs="Arial" w:eastAsia="Arial" w:hAnsi="Arial"/>
          <w:sz w:val="21"/>
          <w:szCs w:val="21"/>
          <w:color w:val="auto"/>
          <w:vertAlign w:val="superscript"/>
        </w:rPr>
      </w:pPr>
    </w:p>
    <w:p>
      <w:pPr>
        <w:ind w:left="200" w:right="260" w:hanging="192"/>
        <w:spacing w:after="0" w:line="232" w:lineRule="auto"/>
        <w:tabs>
          <w:tab w:leader="none" w:pos="215"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Year-over-year revenue trends are on a combined basis. For Maxim the information includes revenues that would have been reported on a standalone basis aligned to the fiscal quarters of ADI. Revenue prior to August 26, 2021 (the date of acquisition) from Maxim is included for bonus calculation purposes, but has not been included in ADI’s income statement.</w:t>
      </w:r>
    </w:p>
    <w:p>
      <w:pPr>
        <w:spacing w:after="0" w:line="7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fiscal year 2022 we delivered record financial results for both revenue and operating profit. As a result aggregate payments under our executive performance incentive plan were made at 293% of target in fiscal year 2022, compared to 253% in fiscal year 2021 and 77% in fiscal year 2020.</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 and Individual Target Bonus Percentages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2022, as part of our standard annual review cycle, the Compensation and Talent Committee reviewed the base salaries and individual target bonus percentages for Mr. Roche and our other executive officers, including our NEOs. They considered several factors, including each executive officer’s performance, experience, tenure, job responsibilities including expansion of responsibilities given that ADI was a much larger company following the acquisition of Maxim, and market benchmark information from our peer group. As a result of this review, the Compensation and Talent Committee increased the base salary and target bonus percentages for each of our NEOs in fiscal year 2022, effective May 1, 2022. Mr. Bryant, who joined ADI in March 2022, maintained the same base salary and target bonus percentage.</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Compensation and Talent Committee approved base salaries and target bonus percentages for our NEOs during fiscal year 2022 as specified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1080" w:type="dxa"/>
            <w:vAlign w:val="bottom"/>
            <w:shd w:val="clear" w:color="auto" w:fill="0067B3"/>
          </w:tcPr>
          <w:p>
            <w:pPr>
              <w:spacing w:after="0"/>
              <w:rPr>
                <w:sz w:val="17"/>
                <w:szCs w:val="17"/>
                <w:color w:val="auto"/>
              </w:rPr>
            </w:pP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2021</w:t>
            </w:r>
          </w:p>
        </w:tc>
        <w:tc>
          <w:tcPr>
            <w:tcW w:w="1460" w:type="dxa"/>
            <w:vAlign w:val="bottom"/>
            <w:shd w:val="clear" w:color="auto" w:fill="0067B3"/>
          </w:tcPr>
          <w:p>
            <w:pPr>
              <w:jc w:val="right"/>
              <w:ind w:right="195"/>
              <w:spacing w:after="0"/>
              <w:rPr>
                <w:sz w:val="20"/>
                <w:szCs w:val="20"/>
                <w:color w:val="auto"/>
              </w:rPr>
            </w:pPr>
            <w:r>
              <w:rPr>
                <w:rFonts w:ascii="Arial" w:cs="Arial" w:eastAsia="Arial" w:hAnsi="Arial"/>
                <w:sz w:val="16"/>
                <w:szCs w:val="16"/>
                <w:b w:val="1"/>
                <w:bCs w:val="1"/>
                <w:color w:val="FFFFFF"/>
              </w:rPr>
              <w:t>2022</w:t>
            </w:r>
          </w:p>
        </w:tc>
        <w:tc>
          <w:tcPr>
            <w:tcW w:w="960" w:type="dxa"/>
            <w:vAlign w:val="bottom"/>
            <w:shd w:val="clear" w:color="auto" w:fill="0067B3"/>
          </w:tcPr>
          <w:p>
            <w:pPr>
              <w:spacing w:after="0"/>
              <w:rPr>
                <w:sz w:val="17"/>
                <w:szCs w:val="17"/>
                <w:color w:val="auto"/>
              </w:rPr>
            </w:pPr>
          </w:p>
        </w:tc>
      </w:tr>
      <w:tr>
        <w:trPr>
          <w:trHeight w:val="203"/>
        </w:trPr>
        <w:tc>
          <w:tcPr>
            <w:tcW w:w="388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96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1080" w:type="dxa"/>
            <w:vAlign w:val="bottom"/>
            <w:shd w:val="clear" w:color="auto" w:fill="0067B3"/>
          </w:tcPr>
          <w:p>
            <w:pPr>
              <w:spacing w:after="0"/>
              <w:rPr>
                <w:sz w:val="17"/>
                <w:szCs w:val="17"/>
                <w:color w:val="auto"/>
              </w:rPr>
            </w:pP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Individual</w:t>
            </w:r>
          </w:p>
        </w:tc>
        <w:tc>
          <w:tcPr>
            <w:tcW w:w="1460" w:type="dxa"/>
            <w:vAlign w:val="bottom"/>
            <w:shd w:val="clear" w:color="auto" w:fill="0067B3"/>
          </w:tcPr>
          <w:p>
            <w:pPr>
              <w:jc w:val="right"/>
              <w:ind w:right="195"/>
              <w:spacing w:after="0"/>
              <w:rPr>
                <w:sz w:val="20"/>
                <w:szCs w:val="20"/>
                <w:color w:val="auto"/>
              </w:rPr>
            </w:pPr>
            <w:r>
              <w:rPr>
                <w:rFonts w:ascii="Arial" w:cs="Arial" w:eastAsia="Arial" w:hAnsi="Arial"/>
                <w:sz w:val="16"/>
                <w:szCs w:val="16"/>
                <w:b w:val="1"/>
                <w:bCs w:val="1"/>
                <w:color w:val="FFFFFF"/>
              </w:rPr>
              <w:t>Individual</w:t>
            </w:r>
          </w:p>
        </w:tc>
        <w:tc>
          <w:tcPr>
            <w:tcW w:w="960" w:type="dxa"/>
            <w:vAlign w:val="bottom"/>
            <w:shd w:val="clear" w:color="auto" w:fill="0067B3"/>
          </w:tcPr>
          <w:p>
            <w:pPr>
              <w:spacing w:after="0"/>
              <w:rPr>
                <w:sz w:val="17"/>
                <w:szCs w:val="17"/>
                <w:color w:val="auto"/>
              </w:rPr>
            </w:pPr>
          </w:p>
        </w:tc>
      </w:tr>
      <w:tr>
        <w:trPr>
          <w:trHeight w:val="189"/>
        </w:trPr>
        <w:tc>
          <w:tcPr>
            <w:tcW w:w="388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2021</w:t>
            </w:r>
          </w:p>
        </w:tc>
        <w:tc>
          <w:tcPr>
            <w:tcW w:w="1280" w:type="dxa"/>
            <w:vAlign w:val="bottom"/>
            <w:shd w:val="clear" w:color="auto" w:fill="0067B3"/>
          </w:tcPr>
          <w:p>
            <w:pPr>
              <w:jc w:val="right"/>
              <w:ind w:right="133"/>
              <w:spacing w:after="0"/>
              <w:rPr>
                <w:sz w:val="20"/>
                <w:szCs w:val="20"/>
                <w:color w:val="auto"/>
              </w:rPr>
            </w:pPr>
            <w:r>
              <w:rPr>
                <w:rFonts w:ascii="Arial" w:cs="Arial" w:eastAsia="Arial" w:hAnsi="Arial"/>
                <w:sz w:val="16"/>
                <w:szCs w:val="16"/>
                <w:b w:val="1"/>
                <w:bCs w:val="1"/>
                <w:color w:val="FFFFFF"/>
              </w:rPr>
              <w:t>2022</w:t>
            </w:r>
          </w:p>
        </w:tc>
        <w:tc>
          <w:tcPr>
            <w:tcW w:w="1080" w:type="dxa"/>
            <w:vAlign w:val="bottom"/>
            <w:shd w:val="clear" w:color="auto" w:fill="0067B3"/>
          </w:tcPr>
          <w:p>
            <w:pPr>
              <w:spacing w:after="0"/>
              <w:rPr>
                <w:sz w:val="16"/>
                <w:szCs w:val="16"/>
                <w:color w:val="auto"/>
              </w:rPr>
            </w:pP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Target Bonus</w:t>
            </w:r>
          </w:p>
        </w:tc>
        <w:tc>
          <w:tcPr>
            <w:tcW w:w="1460" w:type="dxa"/>
            <w:vAlign w:val="bottom"/>
            <w:shd w:val="clear" w:color="auto" w:fill="0067B3"/>
          </w:tcPr>
          <w:p>
            <w:pPr>
              <w:jc w:val="right"/>
              <w:ind w:right="195"/>
              <w:spacing w:after="0"/>
              <w:rPr>
                <w:sz w:val="20"/>
                <w:szCs w:val="20"/>
                <w:color w:val="auto"/>
              </w:rPr>
            </w:pPr>
            <w:r>
              <w:rPr>
                <w:rFonts w:ascii="Arial" w:cs="Arial" w:eastAsia="Arial" w:hAnsi="Arial"/>
                <w:sz w:val="16"/>
                <w:szCs w:val="16"/>
                <w:b w:val="1"/>
                <w:bCs w:val="1"/>
                <w:color w:val="FFFFFF"/>
              </w:rPr>
              <w:t>Target Bonus</w:t>
            </w:r>
          </w:p>
        </w:tc>
        <w:tc>
          <w:tcPr>
            <w:tcW w:w="960" w:type="dxa"/>
            <w:vAlign w:val="bottom"/>
            <w:shd w:val="clear" w:color="auto" w:fill="0067B3"/>
          </w:tcPr>
          <w:p>
            <w:pPr>
              <w:spacing w:after="0"/>
              <w:rPr>
                <w:sz w:val="16"/>
                <w:szCs w:val="16"/>
                <w:color w:val="auto"/>
              </w:rPr>
            </w:pPr>
          </w:p>
        </w:tc>
      </w:tr>
      <w:tr>
        <w:trPr>
          <w:trHeight w:val="189"/>
        </w:trPr>
        <w:tc>
          <w:tcPr>
            <w:tcW w:w="3880" w:type="dxa"/>
            <w:vAlign w:val="bottom"/>
            <w:shd w:val="clear" w:color="auto" w:fill="0067B3"/>
          </w:tcPr>
          <w:p>
            <w:pPr>
              <w:spacing w:after="0"/>
              <w:rPr>
                <w:sz w:val="16"/>
                <w:szCs w:val="16"/>
                <w:color w:val="auto"/>
              </w:rPr>
            </w:pPr>
          </w:p>
        </w:tc>
        <w:tc>
          <w:tcPr>
            <w:tcW w:w="280" w:type="dxa"/>
            <w:vAlign w:val="bottom"/>
            <w:shd w:val="clear" w:color="auto" w:fill="0067B3"/>
          </w:tcPr>
          <w:p>
            <w:pPr>
              <w:spacing w:after="0"/>
              <w:rPr>
                <w:sz w:val="16"/>
                <w:szCs w:val="16"/>
                <w:color w:val="auto"/>
              </w:rPr>
            </w:pPr>
          </w:p>
        </w:tc>
        <w:tc>
          <w:tcPr>
            <w:tcW w:w="9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Base</w:t>
            </w:r>
          </w:p>
        </w:tc>
        <w:tc>
          <w:tcPr>
            <w:tcW w:w="1280" w:type="dxa"/>
            <w:vAlign w:val="bottom"/>
            <w:shd w:val="clear" w:color="auto" w:fill="0067B3"/>
          </w:tcPr>
          <w:p>
            <w:pPr>
              <w:jc w:val="right"/>
              <w:ind w:right="133"/>
              <w:spacing w:after="0"/>
              <w:rPr>
                <w:sz w:val="20"/>
                <w:szCs w:val="20"/>
                <w:color w:val="auto"/>
              </w:rPr>
            </w:pPr>
            <w:r>
              <w:rPr>
                <w:rFonts w:ascii="Arial" w:cs="Arial" w:eastAsia="Arial" w:hAnsi="Arial"/>
                <w:sz w:val="16"/>
                <w:szCs w:val="16"/>
                <w:b w:val="1"/>
                <w:bCs w:val="1"/>
                <w:color w:val="FFFFFF"/>
              </w:rPr>
              <w:t>Base</w:t>
            </w:r>
          </w:p>
        </w:tc>
        <w:tc>
          <w:tcPr>
            <w:tcW w:w="108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as % of</w:t>
            </w:r>
          </w:p>
        </w:tc>
        <w:tc>
          <w:tcPr>
            <w:tcW w:w="1460" w:type="dxa"/>
            <w:vAlign w:val="bottom"/>
            <w:shd w:val="clear" w:color="auto" w:fill="0067B3"/>
          </w:tcPr>
          <w:p>
            <w:pPr>
              <w:jc w:val="right"/>
              <w:ind w:right="195"/>
              <w:spacing w:after="0"/>
              <w:rPr>
                <w:sz w:val="20"/>
                <w:szCs w:val="20"/>
                <w:color w:val="auto"/>
              </w:rPr>
            </w:pPr>
            <w:r>
              <w:rPr>
                <w:rFonts w:ascii="Arial" w:cs="Arial" w:eastAsia="Arial" w:hAnsi="Arial"/>
                <w:sz w:val="16"/>
                <w:szCs w:val="16"/>
                <w:b w:val="1"/>
                <w:bCs w:val="1"/>
                <w:color w:val="FFFFFF"/>
              </w:rPr>
              <w:t>as % of</w:t>
            </w: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r>
      <w:tr>
        <w:trPr>
          <w:trHeight w:val="240"/>
        </w:trPr>
        <w:tc>
          <w:tcPr>
            <w:tcW w:w="38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 of Executive</w:t>
            </w:r>
          </w:p>
        </w:tc>
        <w:tc>
          <w:tcPr>
            <w:tcW w:w="280" w:type="dxa"/>
            <w:vAlign w:val="bottom"/>
            <w:tcBorders>
              <w:bottom w:val="single" w:sz="8" w:color="auto"/>
            </w:tcBorders>
            <w:shd w:val="clear" w:color="auto" w:fill="0067B3"/>
          </w:tcPr>
          <w:p>
            <w:pPr>
              <w:spacing w:after="0"/>
              <w:rPr>
                <w:sz w:val="20"/>
                <w:szCs w:val="20"/>
                <w:color w:val="auto"/>
              </w:rPr>
            </w:pPr>
          </w:p>
        </w:tc>
        <w:tc>
          <w:tcPr>
            <w:tcW w:w="960" w:type="dxa"/>
            <w:vAlign w:val="bottom"/>
            <w:tcBorders>
              <w:bottom w:val="single" w:sz="8" w:color="auto"/>
            </w:tcBorders>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Salary</w:t>
            </w:r>
          </w:p>
        </w:tc>
        <w:tc>
          <w:tcPr>
            <w:tcW w:w="1280" w:type="dxa"/>
            <w:vAlign w:val="bottom"/>
            <w:tcBorders>
              <w:bottom w:val="single" w:sz="8" w:color="auto"/>
            </w:tcBorders>
            <w:shd w:val="clear" w:color="auto" w:fill="0067B3"/>
          </w:tcPr>
          <w:p>
            <w:pPr>
              <w:jc w:val="right"/>
              <w:ind w:right="133"/>
              <w:spacing w:after="0"/>
              <w:rPr>
                <w:sz w:val="20"/>
                <w:szCs w:val="20"/>
                <w:color w:val="auto"/>
              </w:rPr>
            </w:pPr>
            <w:r>
              <w:rPr>
                <w:rFonts w:ascii="Arial" w:cs="Arial" w:eastAsia="Arial" w:hAnsi="Arial"/>
                <w:sz w:val="16"/>
                <w:szCs w:val="16"/>
                <w:b w:val="1"/>
                <w:bCs w:val="1"/>
                <w:color w:val="FFFFFF"/>
              </w:rPr>
              <w:t>Salary</w:t>
            </w:r>
          </w:p>
        </w:tc>
        <w:tc>
          <w:tcPr>
            <w:tcW w:w="1080" w:type="dxa"/>
            <w:vAlign w:val="bottom"/>
            <w:tcBorders>
              <w:bottom w:val="single" w:sz="8" w:color="auto"/>
            </w:tcBorders>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Increase</w:t>
            </w:r>
          </w:p>
        </w:tc>
        <w:tc>
          <w:tcPr>
            <w:tcW w:w="1340" w:type="dxa"/>
            <w:vAlign w:val="bottom"/>
            <w:tcBorders>
              <w:bottom w:val="single" w:sz="8" w:color="auto"/>
            </w:tcBorders>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Base Salary</w:t>
            </w:r>
          </w:p>
        </w:tc>
        <w:tc>
          <w:tcPr>
            <w:tcW w:w="1460" w:type="dxa"/>
            <w:vAlign w:val="bottom"/>
            <w:tcBorders>
              <w:bottom w:val="single" w:sz="8" w:color="auto"/>
            </w:tcBorders>
            <w:shd w:val="clear" w:color="auto" w:fill="0067B3"/>
          </w:tcPr>
          <w:p>
            <w:pPr>
              <w:jc w:val="right"/>
              <w:ind w:right="195"/>
              <w:spacing w:after="0"/>
              <w:rPr>
                <w:sz w:val="20"/>
                <w:szCs w:val="20"/>
                <w:color w:val="auto"/>
              </w:rPr>
            </w:pPr>
            <w:r>
              <w:rPr>
                <w:rFonts w:ascii="Arial" w:cs="Arial" w:eastAsia="Arial" w:hAnsi="Arial"/>
                <w:sz w:val="16"/>
                <w:szCs w:val="16"/>
                <w:b w:val="1"/>
                <w:bCs w:val="1"/>
                <w:color w:val="FFFFFF"/>
              </w:rPr>
              <w:t>Base Salary</w:t>
            </w:r>
          </w:p>
        </w:tc>
        <w:tc>
          <w:tcPr>
            <w:tcW w:w="9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Increase</w:t>
            </w:r>
          </w:p>
        </w:tc>
      </w:tr>
      <w:tr>
        <w:trPr>
          <w:trHeight w:val="221"/>
        </w:trPr>
        <w:tc>
          <w:tcPr>
            <w:tcW w:w="38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w w:val="97"/>
              </w:rPr>
              <w:t>1,050,000</w:t>
            </w:r>
          </w:p>
        </w:tc>
        <w:tc>
          <w:tcPr>
            <w:tcW w:w="1280" w:type="dxa"/>
            <w:vAlign w:val="bottom"/>
            <w:shd w:val="clear" w:color="auto" w:fill="E2E6F4"/>
          </w:tcPr>
          <w:p>
            <w:pPr>
              <w:jc w:val="right"/>
              <w:ind w:right="193"/>
              <w:spacing w:after="0"/>
              <w:rPr>
                <w:sz w:val="20"/>
                <w:szCs w:val="20"/>
                <w:color w:val="auto"/>
              </w:rPr>
            </w:pPr>
            <w:r>
              <w:rPr>
                <w:rFonts w:ascii="Arial" w:cs="Arial" w:eastAsia="Arial" w:hAnsi="Arial"/>
                <w:sz w:val="18"/>
                <w:szCs w:val="18"/>
                <w:color w:val="auto"/>
              </w:rPr>
              <w:t>$1,100,000</w:t>
            </w:r>
          </w:p>
        </w:tc>
        <w:tc>
          <w:tcPr>
            <w:tcW w:w="10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4.76 %</w:t>
            </w:r>
          </w:p>
        </w:tc>
        <w:tc>
          <w:tcPr>
            <w:tcW w:w="13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rPr>
              <w:t>150 %</w:t>
            </w:r>
          </w:p>
        </w:tc>
        <w:tc>
          <w:tcPr>
            <w:tcW w:w="146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200 %</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388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and</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128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134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r>
      <w:tr>
        <w:trPr>
          <w:trHeight w:val="267"/>
        </w:trPr>
        <w:tc>
          <w:tcPr>
            <w:tcW w:w="38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Chair of the Board of Directors</w:t>
            </w:r>
          </w:p>
        </w:tc>
        <w:tc>
          <w:tcPr>
            <w:tcW w:w="280" w:type="dxa"/>
            <w:vAlign w:val="bottom"/>
            <w:tcBorders>
              <w:bottom w:val="single" w:sz="8" w:color="E2E6F4"/>
            </w:tcBorders>
            <w:shd w:val="clear" w:color="auto" w:fill="E2E6F4"/>
          </w:tcPr>
          <w:p>
            <w:pPr>
              <w:spacing w:after="0"/>
              <w:rPr>
                <w:sz w:val="22"/>
                <w:szCs w:val="22"/>
                <w:color w:val="auto"/>
              </w:rPr>
            </w:pPr>
          </w:p>
        </w:tc>
        <w:tc>
          <w:tcPr>
            <w:tcW w:w="960" w:type="dxa"/>
            <w:vAlign w:val="bottom"/>
            <w:tcBorders>
              <w:bottom w:val="single" w:sz="8" w:color="E2E6F4"/>
            </w:tcBorders>
            <w:shd w:val="clear" w:color="auto" w:fill="E2E6F4"/>
          </w:tcPr>
          <w:p>
            <w:pPr>
              <w:spacing w:after="0"/>
              <w:rPr>
                <w:sz w:val="22"/>
                <w:szCs w:val="22"/>
                <w:color w:val="auto"/>
              </w:rPr>
            </w:pPr>
          </w:p>
        </w:tc>
        <w:tc>
          <w:tcPr>
            <w:tcW w:w="1280" w:type="dxa"/>
            <w:vAlign w:val="bottom"/>
            <w:tcBorders>
              <w:bottom w:val="single" w:sz="8" w:color="E2E6F4"/>
            </w:tcBorders>
            <w:shd w:val="clear" w:color="auto" w:fill="E2E6F4"/>
          </w:tcPr>
          <w:p>
            <w:pPr>
              <w:spacing w:after="0"/>
              <w:rPr>
                <w:sz w:val="22"/>
                <w:szCs w:val="22"/>
                <w:color w:val="auto"/>
              </w:rPr>
            </w:pPr>
          </w:p>
        </w:tc>
        <w:tc>
          <w:tcPr>
            <w:tcW w:w="1080" w:type="dxa"/>
            <w:vAlign w:val="bottom"/>
            <w:tcBorders>
              <w:bottom w:val="single" w:sz="8" w:color="E2E6F4"/>
            </w:tcBorders>
            <w:shd w:val="clear" w:color="auto" w:fill="E2E6F4"/>
          </w:tcPr>
          <w:p>
            <w:pPr>
              <w:spacing w:after="0"/>
              <w:rPr>
                <w:sz w:val="22"/>
                <w:szCs w:val="22"/>
                <w:color w:val="auto"/>
              </w:rPr>
            </w:pPr>
          </w:p>
        </w:tc>
        <w:tc>
          <w:tcPr>
            <w:tcW w:w="1340" w:type="dxa"/>
            <w:vAlign w:val="bottom"/>
            <w:tcBorders>
              <w:bottom w:val="single" w:sz="8" w:color="E2E6F4"/>
            </w:tcBorders>
            <w:shd w:val="clear" w:color="auto" w:fill="E2E6F4"/>
          </w:tcPr>
          <w:p>
            <w:pPr>
              <w:spacing w:after="0"/>
              <w:rPr>
                <w:sz w:val="22"/>
                <w:szCs w:val="22"/>
                <w:color w:val="auto"/>
              </w:rPr>
            </w:pPr>
          </w:p>
        </w:tc>
        <w:tc>
          <w:tcPr>
            <w:tcW w:w="1460" w:type="dxa"/>
            <w:vAlign w:val="bottom"/>
            <w:tcBorders>
              <w:bottom w:val="single" w:sz="8" w:color="E2E6F4"/>
            </w:tcBorders>
            <w:shd w:val="clear" w:color="auto" w:fill="E2E6F4"/>
          </w:tcPr>
          <w:p>
            <w:pPr>
              <w:spacing w:after="0"/>
              <w:rPr>
                <w:sz w:val="22"/>
                <w:szCs w:val="22"/>
                <w:color w:val="auto"/>
              </w:rPr>
            </w:pPr>
          </w:p>
        </w:tc>
        <w:tc>
          <w:tcPr>
            <w:tcW w:w="960" w:type="dxa"/>
            <w:vAlign w:val="bottom"/>
            <w:tcBorders>
              <w:bottom w:val="single" w:sz="8" w:color="E2E6F4"/>
            </w:tcBorders>
            <w:shd w:val="clear" w:color="auto" w:fill="E2E6F4"/>
          </w:tcPr>
          <w:p>
            <w:pPr>
              <w:spacing w:after="0"/>
              <w:rPr>
                <w:sz w:val="22"/>
                <w:szCs w:val="22"/>
                <w:color w:val="auto"/>
              </w:rPr>
            </w:pPr>
          </w:p>
        </w:tc>
      </w:tr>
      <w:tr>
        <w:trPr>
          <w:trHeight w:val="218"/>
        </w:trPr>
        <w:tc>
          <w:tcPr>
            <w:tcW w:w="3880" w:type="dxa"/>
            <w:vAlign w:val="bottom"/>
            <w:tcBorders>
              <w:top w:val="single" w:sz="8" w:color="939598"/>
            </w:tcBorders>
          </w:tcPr>
          <w:p>
            <w:pPr>
              <w:ind w:left="20"/>
              <w:spacing w:after="0"/>
              <w:rPr>
                <w:sz w:val="20"/>
                <w:szCs w:val="20"/>
                <w:color w:val="auto"/>
              </w:rPr>
            </w:pPr>
            <w:r>
              <w:rPr>
                <w:rFonts w:ascii="Arial" w:cs="Arial" w:eastAsia="Arial" w:hAnsi="Arial"/>
                <w:sz w:val="18"/>
                <w:szCs w:val="18"/>
                <w:b w:val="1"/>
                <w:bCs w:val="1"/>
                <w:color w:val="0067B3"/>
              </w:rPr>
              <w:t>Prashanth Mahendra-Rajah</w:t>
            </w:r>
          </w:p>
        </w:tc>
        <w:tc>
          <w:tcPr>
            <w:tcW w:w="28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939598"/>
            </w:tcBorders>
          </w:tcPr>
          <w:p>
            <w:pPr>
              <w:jc w:val="right"/>
              <w:ind w:right="73"/>
              <w:spacing w:after="0"/>
              <w:rPr>
                <w:sz w:val="20"/>
                <w:szCs w:val="20"/>
                <w:color w:val="auto"/>
              </w:rPr>
            </w:pPr>
            <w:r>
              <w:rPr>
                <w:rFonts w:ascii="Arial" w:cs="Arial" w:eastAsia="Arial" w:hAnsi="Arial"/>
                <w:sz w:val="18"/>
                <w:szCs w:val="18"/>
                <w:color w:val="auto"/>
              </w:rPr>
              <w:t>575,000</w:t>
            </w:r>
          </w:p>
        </w:tc>
        <w:tc>
          <w:tcPr>
            <w:tcW w:w="1280" w:type="dxa"/>
            <w:vAlign w:val="bottom"/>
            <w:tcBorders>
              <w:top w:val="single" w:sz="8" w:color="939598"/>
            </w:tcBorders>
          </w:tcPr>
          <w:p>
            <w:pPr>
              <w:jc w:val="right"/>
              <w:ind w:right="193"/>
              <w:spacing w:after="0"/>
              <w:rPr>
                <w:sz w:val="20"/>
                <w:szCs w:val="20"/>
                <w:color w:val="auto"/>
              </w:rPr>
            </w:pPr>
            <w:r>
              <w:rPr>
                <w:rFonts w:ascii="Arial" w:cs="Arial" w:eastAsia="Arial" w:hAnsi="Arial"/>
                <w:sz w:val="18"/>
                <w:szCs w:val="18"/>
                <w:color w:val="auto"/>
              </w:rPr>
              <w:t>$670,000</w:t>
            </w:r>
          </w:p>
        </w:tc>
        <w:tc>
          <w:tcPr>
            <w:tcW w:w="1080" w:type="dxa"/>
            <w:vAlign w:val="bottom"/>
            <w:tcBorders>
              <w:top w:val="single" w:sz="8" w:color="939598"/>
            </w:tcBorders>
          </w:tcPr>
          <w:p>
            <w:pPr>
              <w:jc w:val="right"/>
              <w:ind w:right="113"/>
              <w:spacing w:after="0"/>
              <w:rPr>
                <w:sz w:val="20"/>
                <w:szCs w:val="20"/>
                <w:color w:val="auto"/>
              </w:rPr>
            </w:pPr>
            <w:r>
              <w:rPr>
                <w:rFonts w:ascii="Arial" w:cs="Arial" w:eastAsia="Arial" w:hAnsi="Arial"/>
                <w:sz w:val="18"/>
                <w:szCs w:val="18"/>
                <w:color w:val="auto"/>
              </w:rPr>
              <w:t>16.52 %</w:t>
            </w:r>
          </w:p>
        </w:tc>
        <w:tc>
          <w:tcPr>
            <w:tcW w:w="1340" w:type="dxa"/>
            <w:vAlign w:val="bottom"/>
            <w:tcBorders>
              <w:top w:val="single" w:sz="8" w:color="939598"/>
            </w:tcBorders>
          </w:tcPr>
          <w:p>
            <w:pPr>
              <w:jc w:val="right"/>
              <w:ind w:right="55"/>
              <w:spacing w:after="0"/>
              <w:rPr>
                <w:sz w:val="20"/>
                <w:szCs w:val="20"/>
                <w:color w:val="auto"/>
              </w:rPr>
            </w:pPr>
            <w:r>
              <w:rPr>
                <w:rFonts w:ascii="Arial" w:cs="Arial" w:eastAsia="Arial" w:hAnsi="Arial"/>
                <w:sz w:val="18"/>
                <w:szCs w:val="18"/>
                <w:color w:val="auto"/>
              </w:rPr>
              <w:t>100 %</w:t>
            </w:r>
          </w:p>
        </w:tc>
        <w:tc>
          <w:tcPr>
            <w:tcW w:w="1460" w:type="dxa"/>
            <w:vAlign w:val="bottom"/>
            <w:tcBorders>
              <w:top w:val="single" w:sz="8" w:color="939598"/>
            </w:tcBorders>
          </w:tcPr>
          <w:p>
            <w:pPr>
              <w:jc w:val="right"/>
              <w:ind w:right="215"/>
              <w:spacing w:after="0"/>
              <w:rPr>
                <w:sz w:val="20"/>
                <w:szCs w:val="20"/>
                <w:color w:val="auto"/>
              </w:rPr>
            </w:pPr>
            <w:r>
              <w:rPr>
                <w:rFonts w:ascii="Arial" w:cs="Arial" w:eastAsia="Arial" w:hAnsi="Arial"/>
                <w:sz w:val="18"/>
                <w:szCs w:val="18"/>
                <w:color w:val="auto"/>
              </w:rPr>
              <w:t>125 %</w:t>
            </w:r>
          </w:p>
        </w:tc>
        <w:tc>
          <w:tcPr>
            <w:tcW w:w="96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9"/>
        </w:trPr>
        <w:tc>
          <w:tcPr>
            <w:tcW w:w="3880" w:type="dxa"/>
            <w:vAlign w:val="bottom"/>
          </w:tcPr>
          <w:p>
            <w:pPr>
              <w:ind w:left="20"/>
              <w:spacing w:after="0"/>
              <w:rPr>
                <w:sz w:val="20"/>
                <w:szCs w:val="20"/>
                <w:color w:val="auto"/>
              </w:rPr>
            </w:pPr>
            <w:r>
              <w:rPr>
                <w:rFonts w:ascii="Arial" w:cs="Arial" w:eastAsia="Arial" w:hAnsi="Arial"/>
                <w:sz w:val="18"/>
                <w:szCs w:val="18"/>
                <w:color w:val="auto"/>
              </w:rPr>
              <w:t>Finance and Chief Financial Officer</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38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134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8"/>
        </w:trPr>
        <w:tc>
          <w:tcPr>
            <w:tcW w:w="3880" w:type="dxa"/>
            <w:vAlign w:val="bottom"/>
            <w:shd w:val="clear" w:color="auto" w:fill="E2E6F4"/>
          </w:tcPr>
          <w:p>
            <w:pPr>
              <w:ind w:left="20"/>
              <w:spacing w:after="0" w:line="218" w:lineRule="exact"/>
              <w:rPr>
                <w:sz w:val="20"/>
                <w:szCs w:val="20"/>
                <w:color w:val="auto"/>
              </w:rPr>
            </w:pPr>
            <w:r>
              <w:rPr>
                <w:rFonts w:ascii="Arial" w:cs="Arial" w:eastAsia="Arial" w:hAnsi="Arial"/>
                <w:sz w:val="18"/>
                <w:szCs w:val="18"/>
                <w:b w:val="1"/>
                <w:bCs w:val="1"/>
                <w:color w:val="0067B3"/>
              </w:rPr>
              <w:t>Gregory Bryant</w:t>
            </w:r>
            <w:r>
              <w:rPr>
                <w:rFonts w:ascii="Arial" w:cs="Arial" w:eastAsia="Arial" w:hAnsi="Arial"/>
                <w:sz w:val="23"/>
                <w:szCs w:val="23"/>
                <w:b w:val="1"/>
                <w:bCs w:val="1"/>
                <w:color w:val="0067B3"/>
                <w:vertAlign w:val="superscript"/>
              </w:rPr>
              <w:t>(1)</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ind w:right="193"/>
              <w:spacing w:after="0"/>
              <w:rPr>
                <w:sz w:val="20"/>
                <w:szCs w:val="20"/>
                <w:color w:val="auto"/>
              </w:rPr>
            </w:pPr>
            <w:r>
              <w:rPr>
                <w:rFonts w:ascii="Arial" w:cs="Arial" w:eastAsia="Arial" w:hAnsi="Arial"/>
                <w:sz w:val="18"/>
                <w:szCs w:val="18"/>
                <w:color w:val="auto"/>
              </w:rPr>
              <w:t>$750,000</w:t>
            </w:r>
          </w:p>
        </w:tc>
        <w:tc>
          <w:tcPr>
            <w:tcW w:w="10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 %</w:t>
            </w:r>
          </w:p>
        </w:tc>
        <w:tc>
          <w:tcPr>
            <w:tcW w:w="13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rPr>
              <w:t>— %</w:t>
            </w:r>
          </w:p>
        </w:tc>
        <w:tc>
          <w:tcPr>
            <w:tcW w:w="146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150 %</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8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Executive Vice President and President of</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128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134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r>
      <w:tr>
        <w:trPr>
          <w:trHeight w:val="267"/>
        </w:trPr>
        <w:tc>
          <w:tcPr>
            <w:tcW w:w="38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Business Units</w:t>
            </w:r>
          </w:p>
        </w:tc>
        <w:tc>
          <w:tcPr>
            <w:tcW w:w="280" w:type="dxa"/>
            <w:vAlign w:val="bottom"/>
            <w:tcBorders>
              <w:bottom w:val="single" w:sz="8" w:color="E2E6F4"/>
            </w:tcBorders>
            <w:shd w:val="clear" w:color="auto" w:fill="E2E6F4"/>
          </w:tcPr>
          <w:p>
            <w:pPr>
              <w:spacing w:after="0"/>
              <w:rPr>
                <w:sz w:val="22"/>
                <w:szCs w:val="22"/>
                <w:color w:val="auto"/>
              </w:rPr>
            </w:pPr>
          </w:p>
        </w:tc>
        <w:tc>
          <w:tcPr>
            <w:tcW w:w="960" w:type="dxa"/>
            <w:vAlign w:val="bottom"/>
            <w:tcBorders>
              <w:bottom w:val="single" w:sz="8" w:color="E2E6F4"/>
            </w:tcBorders>
            <w:shd w:val="clear" w:color="auto" w:fill="E2E6F4"/>
          </w:tcPr>
          <w:p>
            <w:pPr>
              <w:spacing w:after="0"/>
              <w:rPr>
                <w:sz w:val="22"/>
                <w:szCs w:val="22"/>
                <w:color w:val="auto"/>
              </w:rPr>
            </w:pPr>
          </w:p>
        </w:tc>
        <w:tc>
          <w:tcPr>
            <w:tcW w:w="1280" w:type="dxa"/>
            <w:vAlign w:val="bottom"/>
            <w:tcBorders>
              <w:bottom w:val="single" w:sz="8" w:color="E2E6F4"/>
            </w:tcBorders>
            <w:shd w:val="clear" w:color="auto" w:fill="E2E6F4"/>
          </w:tcPr>
          <w:p>
            <w:pPr>
              <w:spacing w:after="0"/>
              <w:rPr>
                <w:sz w:val="22"/>
                <w:szCs w:val="22"/>
                <w:color w:val="auto"/>
              </w:rPr>
            </w:pPr>
          </w:p>
        </w:tc>
        <w:tc>
          <w:tcPr>
            <w:tcW w:w="1080" w:type="dxa"/>
            <w:vAlign w:val="bottom"/>
            <w:tcBorders>
              <w:bottom w:val="single" w:sz="8" w:color="E2E6F4"/>
            </w:tcBorders>
            <w:shd w:val="clear" w:color="auto" w:fill="E2E6F4"/>
          </w:tcPr>
          <w:p>
            <w:pPr>
              <w:spacing w:after="0"/>
              <w:rPr>
                <w:sz w:val="22"/>
                <w:szCs w:val="22"/>
                <w:color w:val="auto"/>
              </w:rPr>
            </w:pPr>
          </w:p>
        </w:tc>
        <w:tc>
          <w:tcPr>
            <w:tcW w:w="1340" w:type="dxa"/>
            <w:vAlign w:val="bottom"/>
            <w:tcBorders>
              <w:bottom w:val="single" w:sz="8" w:color="E2E6F4"/>
            </w:tcBorders>
            <w:shd w:val="clear" w:color="auto" w:fill="E2E6F4"/>
          </w:tcPr>
          <w:p>
            <w:pPr>
              <w:spacing w:after="0"/>
              <w:rPr>
                <w:sz w:val="22"/>
                <w:szCs w:val="22"/>
                <w:color w:val="auto"/>
              </w:rPr>
            </w:pPr>
          </w:p>
        </w:tc>
        <w:tc>
          <w:tcPr>
            <w:tcW w:w="1460" w:type="dxa"/>
            <w:vAlign w:val="bottom"/>
            <w:tcBorders>
              <w:bottom w:val="single" w:sz="8" w:color="E2E6F4"/>
            </w:tcBorders>
            <w:shd w:val="clear" w:color="auto" w:fill="E2E6F4"/>
          </w:tcPr>
          <w:p>
            <w:pPr>
              <w:spacing w:after="0"/>
              <w:rPr>
                <w:sz w:val="22"/>
                <w:szCs w:val="22"/>
                <w:color w:val="auto"/>
              </w:rPr>
            </w:pPr>
          </w:p>
        </w:tc>
        <w:tc>
          <w:tcPr>
            <w:tcW w:w="960" w:type="dxa"/>
            <w:vAlign w:val="bottom"/>
            <w:tcBorders>
              <w:bottom w:val="single" w:sz="8" w:color="E2E6F4"/>
            </w:tcBorders>
            <w:shd w:val="clear" w:color="auto" w:fill="E2E6F4"/>
          </w:tcPr>
          <w:p>
            <w:pPr>
              <w:spacing w:after="0"/>
              <w:rPr>
                <w:sz w:val="22"/>
                <w:szCs w:val="22"/>
                <w:color w:val="auto"/>
              </w:rPr>
            </w:pPr>
          </w:p>
        </w:tc>
      </w:tr>
      <w:tr>
        <w:trPr>
          <w:trHeight w:val="218"/>
        </w:trPr>
        <w:tc>
          <w:tcPr>
            <w:tcW w:w="3880" w:type="dxa"/>
            <w:vAlign w:val="bottom"/>
            <w:tcBorders>
              <w:top w:val="single" w:sz="8" w:color="939598"/>
            </w:tcBorders>
          </w:tcPr>
          <w:p>
            <w:pPr>
              <w:ind w:left="20"/>
              <w:spacing w:after="0"/>
              <w:rPr>
                <w:sz w:val="20"/>
                <w:szCs w:val="20"/>
                <w:color w:val="auto"/>
              </w:rPr>
            </w:pPr>
            <w:r>
              <w:rPr>
                <w:rFonts w:ascii="Arial" w:cs="Arial" w:eastAsia="Arial" w:hAnsi="Arial"/>
                <w:sz w:val="18"/>
                <w:szCs w:val="18"/>
                <w:b w:val="1"/>
                <w:bCs w:val="1"/>
                <w:color w:val="0067B3"/>
              </w:rPr>
              <w:t>Vivek Jain</w:t>
            </w:r>
          </w:p>
        </w:tc>
        <w:tc>
          <w:tcPr>
            <w:tcW w:w="28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939598"/>
            </w:tcBorders>
          </w:tcPr>
          <w:p>
            <w:pPr>
              <w:jc w:val="right"/>
              <w:ind w:right="73"/>
              <w:spacing w:after="0"/>
              <w:rPr>
                <w:sz w:val="20"/>
                <w:szCs w:val="20"/>
                <w:color w:val="auto"/>
              </w:rPr>
            </w:pPr>
            <w:r>
              <w:rPr>
                <w:rFonts w:ascii="Arial" w:cs="Arial" w:eastAsia="Arial" w:hAnsi="Arial"/>
                <w:sz w:val="18"/>
                <w:szCs w:val="18"/>
                <w:color w:val="auto"/>
              </w:rPr>
              <w:t>525,000</w:t>
            </w:r>
          </w:p>
        </w:tc>
        <w:tc>
          <w:tcPr>
            <w:tcW w:w="1280" w:type="dxa"/>
            <w:vAlign w:val="bottom"/>
            <w:tcBorders>
              <w:top w:val="single" w:sz="8" w:color="939598"/>
            </w:tcBorders>
          </w:tcPr>
          <w:p>
            <w:pPr>
              <w:jc w:val="right"/>
              <w:ind w:right="193"/>
              <w:spacing w:after="0"/>
              <w:rPr>
                <w:sz w:val="20"/>
                <w:szCs w:val="20"/>
                <w:color w:val="auto"/>
              </w:rPr>
            </w:pPr>
            <w:r>
              <w:rPr>
                <w:rFonts w:ascii="Arial" w:cs="Arial" w:eastAsia="Arial" w:hAnsi="Arial"/>
                <w:sz w:val="18"/>
                <w:szCs w:val="18"/>
                <w:color w:val="auto"/>
              </w:rPr>
              <w:t>$625,000</w:t>
            </w:r>
          </w:p>
        </w:tc>
        <w:tc>
          <w:tcPr>
            <w:tcW w:w="1080" w:type="dxa"/>
            <w:vAlign w:val="bottom"/>
            <w:tcBorders>
              <w:top w:val="single" w:sz="8" w:color="939598"/>
            </w:tcBorders>
          </w:tcPr>
          <w:p>
            <w:pPr>
              <w:jc w:val="right"/>
              <w:ind w:right="113"/>
              <w:spacing w:after="0"/>
              <w:rPr>
                <w:sz w:val="20"/>
                <w:szCs w:val="20"/>
                <w:color w:val="auto"/>
              </w:rPr>
            </w:pPr>
            <w:r>
              <w:rPr>
                <w:rFonts w:ascii="Arial" w:cs="Arial" w:eastAsia="Arial" w:hAnsi="Arial"/>
                <w:sz w:val="18"/>
                <w:szCs w:val="18"/>
                <w:color w:val="auto"/>
              </w:rPr>
              <w:t>19.05 %</w:t>
            </w:r>
          </w:p>
        </w:tc>
        <w:tc>
          <w:tcPr>
            <w:tcW w:w="1340" w:type="dxa"/>
            <w:vAlign w:val="bottom"/>
            <w:tcBorders>
              <w:top w:val="single" w:sz="8" w:color="939598"/>
            </w:tcBorders>
          </w:tcPr>
          <w:p>
            <w:pPr>
              <w:jc w:val="right"/>
              <w:ind w:right="55"/>
              <w:spacing w:after="0"/>
              <w:rPr>
                <w:sz w:val="20"/>
                <w:szCs w:val="20"/>
                <w:color w:val="auto"/>
              </w:rPr>
            </w:pPr>
            <w:r>
              <w:rPr>
                <w:rFonts w:ascii="Arial" w:cs="Arial" w:eastAsia="Arial" w:hAnsi="Arial"/>
                <w:sz w:val="18"/>
                <w:szCs w:val="18"/>
                <w:color w:val="auto"/>
              </w:rPr>
              <w:t>100 %</w:t>
            </w:r>
          </w:p>
        </w:tc>
        <w:tc>
          <w:tcPr>
            <w:tcW w:w="1460" w:type="dxa"/>
            <w:vAlign w:val="bottom"/>
            <w:tcBorders>
              <w:top w:val="single" w:sz="8" w:color="939598"/>
            </w:tcBorders>
          </w:tcPr>
          <w:p>
            <w:pPr>
              <w:jc w:val="right"/>
              <w:ind w:right="215"/>
              <w:spacing w:after="0"/>
              <w:rPr>
                <w:sz w:val="20"/>
                <w:szCs w:val="20"/>
                <w:color w:val="auto"/>
              </w:rPr>
            </w:pPr>
            <w:r>
              <w:rPr>
                <w:rFonts w:ascii="Arial" w:cs="Arial" w:eastAsia="Arial" w:hAnsi="Arial"/>
                <w:sz w:val="18"/>
                <w:szCs w:val="18"/>
                <w:color w:val="auto"/>
              </w:rPr>
              <w:t>125 %</w:t>
            </w:r>
          </w:p>
        </w:tc>
        <w:tc>
          <w:tcPr>
            <w:tcW w:w="96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Executive Vice President of Global Operations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9"/>
        </w:trPr>
        <w:tc>
          <w:tcPr>
            <w:tcW w:w="3880" w:type="dxa"/>
            <w:vAlign w:val="bottom"/>
          </w:tcPr>
          <w:p>
            <w:pPr>
              <w:ind w:left="20"/>
              <w:spacing w:after="0"/>
              <w:rPr>
                <w:sz w:val="20"/>
                <w:szCs w:val="20"/>
                <w:color w:val="auto"/>
              </w:rPr>
            </w:pPr>
            <w:r>
              <w:rPr>
                <w:rFonts w:ascii="Arial" w:cs="Arial" w:eastAsia="Arial" w:hAnsi="Arial"/>
                <w:sz w:val="18"/>
                <w:szCs w:val="18"/>
                <w:color w:val="auto"/>
              </w:rPr>
              <w:t>and Technology</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38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134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8"/>
        </w:trPr>
        <w:tc>
          <w:tcPr>
            <w:tcW w:w="38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425,000</w:t>
            </w:r>
          </w:p>
        </w:tc>
        <w:tc>
          <w:tcPr>
            <w:tcW w:w="1280" w:type="dxa"/>
            <w:vAlign w:val="bottom"/>
            <w:shd w:val="clear" w:color="auto" w:fill="E2E6F4"/>
          </w:tcPr>
          <w:p>
            <w:pPr>
              <w:jc w:val="right"/>
              <w:ind w:right="193"/>
              <w:spacing w:after="0"/>
              <w:rPr>
                <w:sz w:val="20"/>
                <w:szCs w:val="20"/>
                <w:color w:val="auto"/>
              </w:rPr>
            </w:pPr>
            <w:r>
              <w:rPr>
                <w:rFonts w:ascii="Arial" w:cs="Arial" w:eastAsia="Arial" w:hAnsi="Arial"/>
                <w:sz w:val="18"/>
                <w:szCs w:val="18"/>
                <w:color w:val="auto"/>
              </w:rPr>
              <w:t>$600,000</w:t>
            </w:r>
          </w:p>
        </w:tc>
        <w:tc>
          <w:tcPr>
            <w:tcW w:w="10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41.18 %</w:t>
            </w:r>
          </w:p>
        </w:tc>
        <w:tc>
          <w:tcPr>
            <w:tcW w:w="1340" w:type="dxa"/>
            <w:vAlign w:val="bottom"/>
            <w:shd w:val="clear" w:color="auto" w:fill="E2E6F4"/>
          </w:tcPr>
          <w:p>
            <w:pPr>
              <w:jc w:val="right"/>
              <w:ind w:right="55"/>
              <w:spacing w:after="0"/>
              <w:rPr>
                <w:sz w:val="20"/>
                <w:szCs w:val="20"/>
                <w:color w:val="auto"/>
              </w:rPr>
            </w:pPr>
            <w:r>
              <w:rPr>
                <w:rFonts w:ascii="Arial" w:cs="Arial" w:eastAsia="Arial" w:hAnsi="Arial"/>
                <w:sz w:val="18"/>
                <w:szCs w:val="18"/>
                <w:color w:val="auto"/>
              </w:rPr>
              <w:t>100 %</w:t>
            </w:r>
          </w:p>
        </w:tc>
        <w:tc>
          <w:tcPr>
            <w:tcW w:w="1460" w:type="dxa"/>
            <w:vAlign w:val="bottom"/>
            <w:shd w:val="clear" w:color="auto" w:fill="E2E6F4"/>
          </w:tcPr>
          <w:p>
            <w:pPr>
              <w:jc w:val="right"/>
              <w:ind w:right="215"/>
              <w:spacing w:after="0"/>
              <w:rPr>
                <w:sz w:val="20"/>
                <w:szCs w:val="20"/>
                <w:color w:val="auto"/>
              </w:rPr>
            </w:pPr>
            <w:r>
              <w:rPr>
                <w:rFonts w:ascii="Arial" w:cs="Arial" w:eastAsia="Arial" w:hAnsi="Arial"/>
                <w:sz w:val="18"/>
                <w:szCs w:val="18"/>
                <w:color w:val="auto"/>
              </w:rPr>
              <w:t>125 %</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3880" w:type="dxa"/>
            <w:vAlign w:val="bottom"/>
            <w:shd w:val="clear" w:color="auto" w:fill="E2E6F4"/>
          </w:tcPr>
          <w:p>
            <w:pPr>
              <w:ind w:left="20"/>
              <w:spacing w:after="0"/>
              <w:rPr>
                <w:sz w:val="20"/>
                <w:szCs w:val="20"/>
                <w:color w:val="auto"/>
              </w:rPr>
            </w:pPr>
            <w:r>
              <w:rPr>
                <w:rFonts w:ascii="Arial" w:cs="Arial" w:eastAsia="Arial" w:hAnsi="Arial"/>
                <w:sz w:val="18"/>
                <w:szCs w:val="18"/>
                <w:color w:val="auto"/>
              </w:rPr>
              <w:t>Senior Vice President and Chief Customer</w:t>
            </w:r>
          </w:p>
        </w:tc>
        <w:tc>
          <w:tcPr>
            <w:tcW w:w="28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c>
          <w:tcPr>
            <w:tcW w:w="1280" w:type="dxa"/>
            <w:vAlign w:val="bottom"/>
            <w:shd w:val="clear" w:color="auto" w:fill="E2E6F4"/>
          </w:tcPr>
          <w:p>
            <w:pPr>
              <w:spacing w:after="0"/>
              <w:rPr>
                <w:sz w:val="18"/>
                <w:szCs w:val="18"/>
                <w:color w:val="auto"/>
              </w:rPr>
            </w:pPr>
          </w:p>
        </w:tc>
        <w:tc>
          <w:tcPr>
            <w:tcW w:w="1080" w:type="dxa"/>
            <w:vAlign w:val="bottom"/>
            <w:shd w:val="clear" w:color="auto" w:fill="E2E6F4"/>
          </w:tcPr>
          <w:p>
            <w:pPr>
              <w:spacing w:after="0"/>
              <w:rPr>
                <w:sz w:val="18"/>
                <w:szCs w:val="18"/>
                <w:color w:val="auto"/>
              </w:rPr>
            </w:pPr>
          </w:p>
        </w:tc>
        <w:tc>
          <w:tcPr>
            <w:tcW w:w="1340" w:type="dxa"/>
            <w:vAlign w:val="bottom"/>
            <w:shd w:val="clear" w:color="auto" w:fill="E2E6F4"/>
          </w:tcPr>
          <w:p>
            <w:pPr>
              <w:spacing w:after="0"/>
              <w:rPr>
                <w:sz w:val="18"/>
                <w:szCs w:val="18"/>
                <w:color w:val="auto"/>
              </w:rPr>
            </w:pPr>
          </w:p>
        </w:tc>
        <w:tc>
          <w:tcPr>
            <w:tcW w:w="1460" w:type="dxa"/>
            <w:vAlign w:val="bottom"/>
            <w:shd w:val="clear" w:color="auto" w:fill="E2E6F4"/>
          </w:tcPr>
          <w:p>
            <w:pPr>
              <w:spacing w:after="0"/>
              <w:rPr>
                <w:sz w:val="18"/>
                <w:szCs w:val="18"/>
                <w:color w:val="auto"/>
              </w:rPr>
            </w:pPr>
          </w:p>
        </w:tc>
        <w:tc>
          <w:tcPr>
            <w:tcW w:w="960" w:type="dxa"/>
            <w:vAlign w:val="bottom"/>
            <w:shd w:val="clear" w:color="auto" w:fill="E2E6F4"/>
          </w:tcPr>
          <w:p>
            <w:pPr>
              <w:spacing w:after="0"/>
              <w:rPr>
                <w:sz w:val="18"/>
                <w:szCs w:val="18"/>
                <w:color w:val="auto"/>
              </w:rPr>
            </w:pPr>
          </w:p>
        </w:tc>
      </w:tr>
      <w:tr>
        <w:trPr>
          <w:trHeight w:val="242"/>
        </w:trPr>
        <w:tc>
          <w:tcPr>
            <w:tcW w:w="38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Officer</w:t>
            </w:r>
          </w:p>
        </w:tc>
        <w:tc>
          <w:tcPr>
            <w:tcW w:w="28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c>
          <w:tcPr>
            <w:tcW w:w="1280" w:type="dxa"/>
            <w:vAlign w:val="bottom"/>
            <w:tcBorders>
              <w:bottom w:val="single" w:sz="8" w:color="E2E6F4"/>
            </w:tcBorders>
            <w:shd w:val="clear" w:color="auto" w:fill="E2E6F4"/>
          </w:tcPr>
          <w:p>
            <w:pPr>
              <w:spacing w:after="0"/>
              <w:rPr>
                <w:sz w:val="21"/>
                <w:szCs w:val="21"/>
                <w:color w:val="auto"/>
              </w:rPr>
            </w:pPr>
          </w:p>
        </w:tc>
        <w:tc>
          <w:tcPr>
            <w:tcW w:w="1080" w:type="dxa"/>
            <w:vAlign w:val="bottom"/>
            <w:tcBorders>
              <w:bottom w:val="single" w:sz="8" w:color="E2E6F4"/>
            </w:tcBorders>
            <w:shd w:val="clear" w:color="auto" w:fill="E2E6F4"/>
          </w:tcPr>
          <w:p>
            <w:pPr>
              <w:spacing w:after="0"/>
              <w:rPr>
                <w:sz w:val="21"/>
                <w:szCs w:val="21"/>
                <w:color w:val="auto"/>
              </w:rPr>
            </w:pPr>
          </w:p>
        </w:tc>
        <w:tc>
          <w:tcPr>
            <w:tcW w:w="1340" w:type="dxa"/>
            <w:vAlign w:val="bottom"/>
            <w:tcBorders>
              <w:bottom w:val="single" w:sz="8" w:color="E2E6F4"/>
            </w:tcBorders>
            <w:shd w:val="clear" w:color="auto" w:fill="E2E6F4"/>
          </w:tcPr>
          <w:p>
            <w:pPr>
              <w:spacing w:after="0"/>
              <w:rPr>
                <w:sz w:val="21"/>
                <w:szCs w:val="21"/>
                <w:color w:val="auto"/>
              </w:rPr>
            </w:pPr>
          </w:p>
        </w:tc>
        <w:tc>
          <w:tcPr>
            <w:tcW w:w="1460" w:type="dxa"/>
            <w:vAlign w:val="bottom"/>
            <w:tcBorders>
              <w:bottom w:val="single" w:sz="8" w:color="E2E6F4"/>
            </w:tcBorders>
            <w:shd w:val="clear" w:color="auto" w:fill="E2E6F4"/>
          </w:tcPr>
          <w:p>
            <w:pPr>
              <w:spacing w:after="0"/>
              <w:rPr>
                <w:sz w:val="21"/>
                <w:szCs w:val="21"/>
                <w:color w:val="auto"/>
              </w:rPr>
            </w:pPr>
          </w:p>
        </w:tc>
        <w:tc>
          <w:tcPr>
            <w:tcW w:w="960" w:type="dxa"/>
            <w:vAlign w:val="bottom"/>
            <w:tcBorders>
              <w:bottom w:val="single" w:sz="8" w:color="E2E6F4"/>
            </w:tcBorders>
            <w:shd w:val="clear" w:color="auto" w:fill="E2E6F4"/>
          </w:tcPr>
          <w:p>
            <w:pPr>
              <w:spacing w:after="0"/>
              <w:rPr>
                <w:sz w:val="21"/>
                <w:szCs w:val="21"/>
                <w:color w:val="auto"/>
              </w:rPr>
            </w:pPr>
          </w:p>
        </w:tc>
      </w:tr>
      <w:tr>
        <w:trPr>
          <w:trHeight w:val="20"/>
        </w:trPr>
        <w:tc>
          <w:tcPr>
            <w:tcW w:w="3880" w:type="dxa"/>
            <w:vAlign w:val="bottom"/>
            <w:shd w:val="clear" w:color="auto" w:fill="0067B3"/>
          </w:tcPr>
          <w:p>
            <w:pPr>
              <w:spacing w:after="0" w:line="20" w:lineRule="exact"/>
              <w:rPr>
                <w:sz w:val="1"/>
                <w:szCs w:val="1"/>
                <w:color w:val="auto"/>
              </w:rPr>
            </w:pPr>
          </w:p>
        </w:tc>
        <w:tc>
          <w:tcPr>
            <w:tcW w:w="28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1340" w:type="dxa"/>
            <w:vAlign w:val="bottom"/>
            <w:shd w:val="clear" w:color="auto" w:fill="0067B3"/>
          </w:tcPr>
          <w:p>
            <w:pPr>
              <w:spacing w:after="0" w:line="20" w:lineRule="exact"/>
              <w:rPr>
                <w:sz w:val="1"/>
                <w:szCs w:val="1"/>
                <w:color w:val="auto"/>
              </w:rPr>
            </w:pPr>
          </w:p>
        </w:tc>
        <w:tc>
          <w:tcPr>
            <w:tcW w:w="146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r>
    </w:tbl>
    <w:p>
      <w:pPr>
        <w:spacing w:after="0" w:line="121"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Mr. Bryant joined ADI on March 14, 2022.</w:t>
      </w:r>
    </w:p>
    <w:p>
      <w:pPr>
        <w:spacing w:after="0" w:line="175"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Equity Compensation</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executive officers and directors and to align their interests with those of our shareholders. We believe that our equity program is critical to our efforts to hire and retain the best talent in the extremely competitive analog semiconductor industry. All equity awards granted to our executive officers, including our NEOs, in fiscal year 2022 were made under the 2020 Plan.</w:t>
      </w:r>
    </w:p>
    <w:p>
      <w:pPr>
        <w:sectPr>
          <w:pgSz w:w="11900" w:h="16838" w:orient="portrait"/>
          <w:cols w:equalWidth="0" w:num="1">
            <w:col w:w="11240"/>
          </w:cols>
          <w:pgMar w:left="320" w:top="122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480" w:hanging="454"/>
        <w:spacing w:after="0"/>
        <w:tabs>
          <w:tab w:leader="none" w:pos="480" w:val="left"/>
        </w:tabs>
        <w:numPr>
          <w:ilvl w:val="0"/>
          <w:numId w:val="8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22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23"/>
          <w:szCs w:val="23"/>
          <w:b w:val="1"/>
          <w:bCs w:val="1"/>
          <w:color w:val="auto"/>
        </w:rPr>
        <w:t>Equity Mix</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portion of our executive officers’, including our NEOs’, total compensation is in the form of equity awards, the value of</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which is directly tied to our stock price performance over the long term. In fiscal year 2022, approximately 80% of the average total target compensation of our NEOs was in the form of equity.</w:t>
      </w:r>
    </w:p>
    <w:p>
      <w:pPr>
        <w:spacing w:after="0" w:line="73"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Beginning with fiscal year 2022, the Compensation and Talent Committee determined that ADI would no longer grant stock options. The elimination of stock options is intended to simplify our long-term incentive program and to shift more of the equity mix to performance-based equity awards. With the elimination of stock options, the equity mix for executive officers beginning with fiscal year 2022 is 65% PRSUs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 RSUs, increasing from 50% PRSUs and 25% RSUs in fiscal year 2021.</w:t>
      </w:r>
    </w:p>
    <w:p>
      <w:pPr>
        <w:spacing w:after="0" w:line="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As a result, for fiscal year 2022, the form and mix of equity awards delivered as part of our annual equity award program for our executive officers, including our NEOs,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6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0067B3"/>
          </w:tcPr>
          <w:p>
            <w:pPr>
              <w:ind w:left="120"/>
              <w:spacing w:after="0"/>
              <w:rPr>
                <w:sz w:val="20"/>
                <w:szCs w:val="20"/>
                <w:color w:val="auto"/>
              </w:rPr>
            </w:pPr>
            <w:r>
              <w:rPr>
                <w:rFonts w:ascii="Arial" w:cs="Arial" w:eastAsia="Arial" w:hAnsi="Arial"/>
                <w:sz w:val="16"/>
                <w:szCs w:val="16"/>
                <w:b w:val="1"/>
                <w:bCs w:val="1"/>
                <w:color w:val="FFFFFF"/>
              </w:rPr>
              <w:t>Value of</w:t>
            </w:r>
          </w:p>
        </w:tc>
        <w:tc>
          <w:tcPr>
            <w:tcW w:w="2600" w:type="dxa"/>
            <w:vAlign w:val="bottom"/>
            <w:shd w:val="clear" w:color="auto" w:fill="0067B3"/>
          </w:tcPr>
          <w:p>
            <w:pPr>
              <w:spacing w:after="0"/>
              <w:rPr>
                <w:sz w:val="17"/>
                <w:szCs w:val="17"/>
                <w:color w:val="auto"/>
              </w:rPr>
            </w:pPr>
          </w:p>
        </w:tc>
        <w:tc>
          <w:tcPr>
            <w:tcW w:w="2420" w:type="dxa"/>
            <w:vAlign w:val="bottom"/>
            <w:shd w:val="clear" w:color="auto" w:fill="0067B3"/>
          </w:tcPr>
          <w:p>
            <w:pPr>
              <w:spacing w:after="0"/>
              <w:rPr>
                <w:sz w:val="17"/>
                <w:szCs w:val="17"/>
                <w:color w:val="auto"/>
              </w:rPr>
            </w:pPr>
          </w:p>
        </w:tc>
        <w:tc>
          <w:tcPr>
            <w:tcW w:w="1860" w:type="dxa"/>
            <w:vAlign w:val="bottom"/>
            <w:shd w:val="clear" w:color="auto" w:fill="0067B3"/>
          </w:tcPr>
          <w:p>
            <w:pPr>
              <w:ind w:left="220"/>
              <w:spacing w:after="0"/>
              <w:rPr>
                <w:sz w:val="20"/>
                <w:szCs w:val="20"/>
                <w:color w:val="auto"/>
              </w:rPr>
            </w:pPr>
            <w:r>
              <w:rPr>
                <w:rFonts w:ascii="Arial" w:cs="Arial" w:eastAsia="Arial" w:hAnsi="Arial"/>
                <w:sz w:val="16"/>
                <w:szCs w:val="16"/>
                <w:b w:val="1"/>
                <w:bCs w:val="1"/>
                <w:color w:val="FFFFFF"/>
              </w:rPr>
              <w:t>Performance</w:t>
            </w:r>
          </w:p>
        </w:tc>
        <w:tc>
          <w:tcPr>
            <w:tcW w:w="1880" w:type="dxa"/>
            <w:vAlign w:val="bottom"/>
            <w:shd w:val="clear" w:color="auto" w:fill="0067B3"/>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Award Type</w:t>
            </w:r>
          </w:p>
        </w:tc>
        <w:tc>
          <w:tcPr>
            <w:tcW w:w="1320" w:type="dxa"/>
            <w:vAlign w:val="bottom"/>
            <w:tcBorders>
              <w:bottom w:val="single" w:sz="8" w:color="auto"/>
            </w:tcBorders>
            <w:shd w:val="clear" w:color="auto" w:fill="0067B3"/>
          </w:tcPr>
          <w:p>
            <w:pPr>
              <w:ind w:left="120"/>
              <w:spacing w:after="0"/>
              <w:rPr>
                <w:sz w:val="20"/>
                <w:szCs w:val="20"/>
                <w:color w:val="auto"/>
              </w:rPr>
            </w:pPr>
            <w:r>
              <w:rPr>
                <w:rFonts w:ascii="Arial" w:cs="Arial" w:eastAsia="Arial" w:hAnsi="Arial"/>
                <w:sz w:val="16"/>
                <w:szCs w:val="16"/>
                <w:b w:val="1"/>
                <w:bCs w:val="1"/>
                <w:color w:val="FFFFFF"/>
              </w:rPr>
              <w:t>Annual Grant</w:t>
            </w:r>
          </w:p>
        </w:tc>
        <w:tc>
          <w:tcPr>
            <w:tcW w:w="2600" w:type="dxa"/>
            <w:vAlign w:val="bottom"/>
            <w:tcBorders>
              <w:bottom w:val="single" w:sz="8" w:color="auto"/>
            </w:tcBorders>
            <w:shd w:val="clear" w:color="auto" w:fill="0067B3"/>
          </w:tcPr>
          <w:p>
            <w:pPr>
              <w:ind w:left="160"/>
              <w:spacing w:after="0"/>
              <w:rPr>
                <w:sz w:val="20"/>
                <w:szCs w:val="20"/>
                <w:color w:val="auto"/>
              </w:rPr>
            </w:pPr>
            <w:r>
              <w:rPr>
                <w:rFonts w:ascii="Arial" w:cs="Arial" w:eastAsia="Arial" w:hAnsi="Arial"/>
                <w:sz w:val="16"/>
                <w:szCs w:val="16"/>
                <w:b w:val="1"/>
                <w:bCs w:val="1"/>
                <w:color w:val="FFFFFF"/>
              </w:rPr>
              <w:t>Purpose</w:t>
            </w:r>
          </w:p>
        </w:tc>
        <w:tc>
          <w:tcPr>
            <w:tcW w:w="2420" w:type="dxa"/>
            <w:vAlign w:val="bottom"/>
            <w:tcBorders>
              <w:bottom w:val="single" w:sz="8" w:color="auto"/>
            </w:tcBorders>
            <w:shd w:val="clear" w:color="auto" w:fill="0067B3"/>
          </w:tcPr>
          <w:p>
            <w:pPr>
              <w:ind w:left="80"/>
              <w:spacing w:after="0"/>
              <w:rPr>
                <w:sz w:val="20"/>
                <w:szCs w:val="20"/>
                <w:color w:val="auto"/>
              </w:rPr>
            </w:pPr>
            <w:r>
              <w:rPr>
                <w:rFonts w:ascii="Arial" w:cs="Arial" w:eastAsia="Arial" w:hAnsi="Arial"/>
                <w:sz w:val="16"/>
                <w:szCs w:val="16"/>
                <w:b w:val="1"/>
                <w:bCs w:val="1"/>
                <w:color w:val="FFFFFF"/>
              </w:rPr>
              <w:t>Time Period</w:t>
            </w:r>
          </w:p>
        </w:tc>
        <w:tc>
          <w:tcPr>
            <w:tcW w:w="1860" w:type="dxa"/>
            <w:vAlign w:val="bottom"/>
            <w:tcBorders>
              <w:bottom w:val="single" w:sz="8" w:color="auto"/>
            </w:tcBorders>
            <w:shd w:val="clear" w:color="auto" w:fill="0067B3"/>
          </w:tcPr>
          <w:p>
            <w:pPr>
              <w:ind w:left="220"/>
              <w:spacing w:after="0"/>
              <w:rPr>
                <w:sz w:val="20"/>
                <w:szCs w:val="20"/>
                <w:color w:val="auto"/>
              </w:rPr>
            </w:pPr>
            <w:r>
              <w:rPr>
                <w:rFonts w:ascii="Arial" w:cs="Arial" w:eastAsia="Arial" w:hAnsi="Arial"/>
                <w:sz w:val="16"/>
                <w:szCs w:val="16"/>
                <w:b w:val="1"/>
                <w:bCs w:val="1"/>
                <w:color w:val="FFFFFF"/>
              </w:rPr>
              <w:t>Metrics</w:t>
            </w:r>
          </w:p>
        </w:tc>
        <w:tc>
          <w:tcPr>
            <w:tcW w:w="1880" w:type="dxa"/>
            <w:vAlign w:val="bottom"/>
            <w:tcBorders>
              <w:bottom w:val="single" w:sz="8" w:color="auto"/>
            </w:tcBorders>
            <w:shd w:val="clear" w:color="auto" w:fill="0067B3"/>
          </w:tcPr>
          <w:p>
            <w:pPr>
              <w:ind w:left="22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18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Relative</w:t>
            </w:r>
          </w:p>
        </w:tc>
        <w:tc>
          <w:tcPr>
            <w:tcW w:w="1320" w:type="dxa"/>
            <w:vAlign w:val="bottom"/>
          </w:tcPr>
          <w:p>
            <w:pPr>
              <w:spacing w:after="0"/>
              <w:rPr>
                <w:sz w:val="16"/>
                <w:szCs w:val="16"/>
                <w:color w:val="auto"/>
              </w:rPr>
            </w:pPr>
          </w:p>
        </w:tc>
        <w:tc>
          <w:tcPr>
            <w:tcW w:w="2600" w:type="dxa"/>
            <w:vAlign w:val="bottom"/>
          </w:tcPr>
          <w:p>
            <w:pPr>
              <w:ind w:left="160"/>
              <w:spacing w:after="0" w:line="186" w:lineRule="exact"/>
              <w:rPr>
                <w:sz w:val="20"/>
                <w:szCs w:val="20"/>
                <w:color w:val="auto"/>
              </w:rPr>
            </w:pPr>
            <w:r>
              <w:rPr>
                <w:rFonts w:ascii="Arial" w:cs="Arial" w:eastAsia="Arial" w:hAnsi="Arial"/>
                <w:sz w:val="18"/>
                <w:szCs w:val="18"/>
                <w:color w:val="auto"/>
              </w:rPr>
              <w:t>Align executive officers’ and</w:t>
            </w:r>
          </w:p>
        </w:tc>
        <w:tc>
          <w:tcPr>
            <w:tcW w:w="2420" w:type="dxa"/>
            <w:vAlign w:val="bottom"/>
          </w:tcPr>
          <w:p>
            <w:pPr>
              <w:ind w:left="80"/>
              <w:spacing w:after="0" w:line="186" w:lineRule="exact"/>
              <w:rPr>
                <w:sz w:val="20"/>
                <w:szCs w:val="20"/>
                <w:color w:val="auto"/>
              </w:rPr>
            </w:pPr>
            <w:r>
              <w:rPr>
                <w:rFonts w:ascii="Arial" w:cs="Arial" w:eastAsia="Arial" w:hAnsi="Arial"/>
                <w:sz w:val="18"/>
                <w:szCs w:val="18"/>
                <w:color w:val="auto"/>
              </w:rPr>
              <w:t>3-year performance period</w:t>
            </w:r>
          </w:p>
        </w:tc>
        <w:tc>
          <w:tcPr>
            <w:tcW w:w="1860" w:type="dxa"/>
            <w:vAlign w:val="bottom"/>
          </w:tcPr>
          <w:p>
            <w:pPr>
              <w:ind w:left="220"/>
              <w:spacing w:after="0" w:line="186" w:lineRule="exact"/>
              <w:rPr>
                <w:sz w:val="20"/>
                <w:szCs w:val="20"/>
                <w:color w:val="auto"/>
              </w:rPr>
            </w:pPr>
            <w:r>
              <w:rPr>
                <w:rFonts w:ascii="Arial" w:cs="Arial" w:eastAsia="Arial" w:hAnsi="Arial"/>
                <w:sz w:val="18"/>
                <w:szCs w:val="18"/>
                <w:color w:val="auto"/>
              </w:rPr>
              <w:t>ADI’s 3-year TSR</w:t>
            </w:r>
          </w:p>
        </w:tc>
        <w:tc>
          <w:tcPr>
            <w:tcW w:w="1880" w:type="dxa"/>
            <w:vAlign w:val="bottom"/>
          </w:tcPr>
          <w:p>
            <w:pPr>
              <w:ind w:left="220"/>
              <w:spacing w:after="0" w:line="186" w:lineRule="exact"/>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600" w:type="dxa"/>
            <w:vAlign w:val="bottom"/>
          </w:tcPr>
          <w:p>
            <w:pPr>
              <w:ind w:left="160"/>
              <w:spacing w:after="0" w:line="197" w:lineRule="exact"/>
              <w:rPr>
                <w:sz w:val="20"/>
                <w:szCs w:val="20"/>
                <w:color w:val="auto"/>
              </w:rPr>
            </w:pPr>
            <w:r>
              <w:rPr>
                <w:rFonts w:ascii="Arial" w:cs="Arial" w:eastAsia="Arial" w:hAnsi="Arial"/>
                <w:sz w:val="18"/>
                <w:szCs w:val="18"/>
                <w:color w:val="auto"/>
              </w:rPr>
              <w:t>shareholders’ interests to</w:t>
            </w:r>
          </w:p>
        </w:tc>
        <w:tc>
          <w:tcPr>
            <w:tcW w:w="2420" w:type="dxa"/>
            <w:vAlign w:val="bottom"/>
          </w:tcPr>
          <w:p>
            <w:pPr>
              <w:spacing w:after="0"/>
              <w:rPr>
                <w:sz w:val="17"/>
                <w:szCs w:val="17"/>
                <w:color w:val="auto"/>
              </w:rPr>
            </w:pPr>
          </w:p>
        </w:tc>
        <w:tc>
          <w:tcPr>
            <w:tcW w:w="1860" w:type="dxa"/>
            <w:vAlign w:val="bottom"/>
          </w:tcPr>
          <w:p>
            <w:pPr>
              <w:ind w:left="220"/>
              <w:spacing w:after="0" w:line="197" w:lineRule="exact"/>
              <w:rPr>
                <w:sz w:val="20"/>
                <w:szCs w:val="20"/>
                <w:color w:val="auto"/>
              </w:rPr>
            </w:pPr>
            <w:r>
              <w:rPr>
                <w:rFonts w:ascii="Arial" w:cs="Arial" w:eastAsia="Arial" w:hAnsi="Arial"/>
                <w:sz w:val="18"/>
                <w:szCs w:val="18"/>
                <w:color w:val="auto"/>
              </w:rPr>
              <w:t>compared to a</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TSR PRSUs</w:t>
            </w:r>
          </w:p>
        </w:tc>
        <w:tc>
          <w:tcPr>
            <w:tcW w:w="1320" w:type="dxa"/>
            <w:vAlign w:val="bottom"/>
          </w:tcPr>
          <w:p>
            <w:pPr>
              <w:spacing w:after="0"/>
              <w:rPr>
                <w:sz w:val="16"/>
                <w:szCs w:val="16"/>
                <w:color w:val="auto"/>
              </w:rPr>
            </w:pPr>
          </w:p>
        </w:tc>
        <w:tc>
          <w:tcPr>
            <w:tcW w:w="2600" w:type="dxa"/>
            <w:vAlign w:val="bottom"/>
          </w:tcPr>
          <w:p>
            <w:pPr>
              <w:ind w:left="160"/>
              <w:spacing w:after="0" w:line="189" w:lineRule="exact"/>
              <w:rPr>
                <w:sz w:val="20"/>
                <w:szCs w:val="20"/>
                <w:color w:val="auto"/>
              </w:rPr>
            </w:pPr>
            <w:r>
              <w:rPr>
                <w:rFonts w:ascii="Arial" w:cs="Arial" w:eastAsia="Arial" w:hAnsi="Arial"/>
                <w:sz w:val="18"/>
                <w:szCs w:val="18"/>
                <w:color w:val="auto"/>
              </w:rPr>
              <w:t>drive superior TSR relative to</w:t>
            </w:r>
          </w:p>
        </w:tc>
        <w:tc>
          <w:tcPr>
            <w:tcW w:w="2420" w:type="dxa"/>
            <w:vAlign w:val="bottom"/>
          </w:tcPr>
          <w:p>
            <w:pPr>
              <w:spacing w:after="0"/>
              <w:rPr>
                <w:sz w:val="16"/>
                <w:szCs w:val="16"/>
                <w:color w:val="auto"/>
              </w:rPr>
            </w:pPr>
          </w:p>
        </w:tc>
        <w:tc>
          <w:tcPr>
            <w:tcW w:w="1860" w:type="dxa"/>
            <w:vAlign w:val="bottom"/>
          </w:tcPr>
          <w:p>
            <w:pPr>
              <w:ind w:left="220"/>
              <w:spacing w:after="0" w:line="189" w:lineRule="exact"/>
              <w:rPr>
                <w:sz w:val="20"/>
                <w:szCs w:val="20"/>
                <w:color w:val="auto"/>
              </w:rPr>
            </w:pPr>
            <w:r>
              <w:rPr>
                <w:rFonts w:ascii="Arial" w:cs="Arial" w:eastAsia="Arial" w:hAnsi="Arial"/>
                <w:sz w:val="18"/>
                <w:szCs w:val="18"/>
                <w:color w:val="auto"/>
              </w:rPr>
              <w:t>comparator group</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comparator group</w:t>
            </w:r>
          </w:p>
        </w:tc>
        <w:tc>
          <w:tcPr>
            <w:tcW w:w="2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-490855</wp:posOffset>
            </wp:positionV>
            <wp:extent cx="411480" cy="411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w w:val="99"/>
              </w:rPr>
              <w:t>Align executive officers’ and</w:t>
            </w:r>
          </w:p>
        </w:tc>
        <w:tc>
          <w:tcPr>
            <w:tcW w:w="0" w:type="dxa"/>
            <w:vAlign w:val="bottom"/>
          </w:tcPr>
          <w:p>
            <w:pPr>
              <w:spacing w:after="0"/>
              <w:rPr>
                <w:sz w:val="1"/>
                <w:szCs w:val="1"/>
                <w:color w:val="auto"/>
              </w:rPr>
            </w:pPr>
          </w:p>
        </w:tc>
      </w:tr>
      <w:tr>
        <w:trPr>
          <w:trHeight w:val="216"/>
        </w:trPr>
        <w:tc>
          <w:tcPr>
            <w:tcW w:w="1880" w:type="dxa"/>
            <w:vAlign w:val="bottom"/>
            <w:vMerge w:val="restart"/>
          </w:tcPr>
          <w:p>
            <w:pPr>
              <w:spacing w:after="0"/>
              <w:rPr>
                <w:sz w:val="20"/>
                <w:szCs w:val="20"/>
                <w:color w:val="auto"/>
              </w:rPr>
            </w:pPr>
            <w:r>
              <w:rPr>
                <w:rFonts w:ascii="Arial" w:cs="Arial" w:eastAsia="Arial" w:hAnsi="Arial"/>
                <w:sz w:val="18"/>
                <w:szCs w:val="18"/>
                <w:color w:val="auto"/>
              </w:rPr>
              <w:t>Financial</w:t>
            </w:r>
          </w:p>
        </w:tc>
        <w:tc>
          <w:tcPr>
            <w:tcW w:w="2980" w:type="dxa"/>
            <w:vAlign w:val="bottom"/>
          </w:tcPr>
          <w:p>
            <w:pPr>
              <w:ind w:left="740"/>
              <w:spacing w:after="0"/>
              <w:rPr>
                <w:sz w:val="20"/>
                <w:szCs w:val="20"/>
                <w:color w:val="auto"/>
              </w:rPr>
            </w:pPr>
            <w:r>
              <w:rPr>
                <w:rFonts w:ascii="Arial" w:cs="Arial" w:eastAsia="Arial" w:hAnsi="Arial"/>
                <w:sz w:val="18"/>
                <w:szCs w:val="18"/>
                <w:color w:val="auto"/>
              </w:rPr>
              <w:t>shareholders’ interests in</w:t>
            </w: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2980" w:type="dxa"/>
            <w:vAlign w:val="bottom"/>
            <w:vMerge w:val="restart"/>
          </w:tcPr>
          <w:p>
            <w:pPr>
              <w:ind w:left="740"/>
              <w:spacing w:after="0"/>
              <w:rPr>
                <w:sz w:val="20"/>
                <w:szCs w:val="20"/>
                <w:color w:val="auto"/>
              </w:rPr>
            </w:pPr>
            <w:r>
              <w:rPr>
                <w:rFonts w:ascii="Arial" w:cs="Arial" w:eastAsia="Arial" w:hAnsi="Arial"/>
                <w:sz w:val="18"/>
                <w:szCs w:val="18"/>
                <w:color w:val="auto"/>
              </w:rPr>
              <w:t>long-term profitability</w:t>
            </w:r>
          </w:p>
        </w:tc>
        <w:tc>
          <w:tcPr>
            <w:tcW w:w="0" w:type="dxa"/>
            <w:vAlign w:val="bottom"/>
          </w:tcPr>
          <w:p>
            <w:pPr>
              <w:spacing w:after="0"/>
              <w:rPr>
                <w:sz w:val="1"/>
                <w:szCs w:val="1"/>
                <w:color w:val="auto"/>
              </w:rPr>
            </w:pPr>
          </w:p>
        </w:tc>
      </w:tr>
      <w:tr>
        <w:trPr>
          <w:trHeight w:val="117"/>
        </w:trPr>
        <w:tc>
          <w:tcPr>
            <w:tcW w:w="1880" w:type="dxa"/>
            <w:vAlign w:val="bottom"/>
            <w:vMerge w:val="restart"/>
          </w:tcPr>
          <w:p>
            <w:pPr>
              <w:spacing w:after="0"/>
              <w:rPr>
                <w:sz w:val="20"/>
                <w:szCs w:val="20"/>
                <w:color w:val="auto"/>
              </w:rPr>
            </w:pPr>
            <w:r>
              <w:rPr>
                <w:rFonts w:ascii="Arial" w:cs="Arial" w:eastAsia="Arial" w:hAnsi="Arial"/>
                <w:sz w:val="18"/>
                <w:szCs w:val="18"/>
                <w:color w:val="auto"/>
              </w:rPr>
              <w:t>Metric PRSUs</w:t>
            </w: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vMerge w:val="continue"/>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-361950</wp:posOffset>
            </wp:positionV>
            <wp:extent cx="411480" cy="411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rPr>
              <w:t>1-year, 2-year cumulative and</w:t>
            </w:r>
          </w:p>
        </w:tc>
        <w:tc>
          <w:tcPr>
            <w:tcW w:w="1920" w:type="dxa"/>
            <w:vAlign w:val="bottom"/>
          </w:tcPr>
          <w:p>
            <w:pPr>
              <w:ind w:left="100"/>
              <w:spacing w:after="0"/>
              <w:rPr>
                <w:sz w:val="20"/>
                <w:szCs w:val="20"/>
                <w:color w:val="auto"/>
              </w:rPr>
            </w:pPr>
            <w:r>
              <w:rPr>
                <w:rFonts w:ascii="Arial" w:cs="Arial" w:eastAsia="Arial" w:hAnsi="Arial"/>
                <w:sz w:val="18"/>
                <w:szCs w:val="18"/>
                <w:color w:val="auto"/>
              </w:rPr>
              <w:t>1-year, 2-year</w:t>
            </w:r>
          </w:p>
        </w:tc>
        <w:tc>
          <w:tcPr>
            <w:tcW w:w="700" w:type="dxa"/>
            <w:vAlign w:val="bottom"/>
          </w:tcPr>
          <w:p>
            <w:pPr>
              <w:ind w:left="40"/>
              <w:spacing w:after="0"/>
              <w:rPr>
                <w:sz w:val="20"/>
                <w:szCs w:val="20"/>
                <w:color w:val="auto"/>
              </w:rPr>
            </w:pPr>
            <w:r>
              <w:rPr>
                <w:rFonts w:ascii="Arial" w:cs="Arial" w:eastAsia="Arial" w:hAnsi="Arial"/>
                <w:sz w:val="18"/>
                <w:szCs w:val="18"/>
                <w:color w:val="auto"/>
                <w:w w:val="96"/>
              </w:rPr>
              <w:t>0–200%</w:t>
            </w:r>
          </w:p>
        </w:tc>
      </w:tr>
      <w:tr>
        <w:trPr>
          <w:trHeight w:val="197"/>
        </w:trPr>
        <w:tc>
          <w:tcPr>
            <w:tcW w:w="2460" w:type="dxa"/>
            <w:vAlign w:val="bottom"/>
          </w:tcPr>
          <w:p>
            <w:pPr>
              <w:spacing w:after="0" w:line="197" w:lineRule="exact"/>
              <w:rPr>
                <w:sz w:val="20"/>
                <w:szCs w:val="20"/>
                <w:color w:val="auto"/>
              </w:rPr>
            </w:pPr>
            <w:r>
              <w:rPr>
                <w:rFonts w:ascii="Arial" w:cs="Arial" w:eastAsia="Arial" w:hAnsi="Arial"/>
                <w:sz w:val="18"/>
                <w:szCs w:val="18"/>
                <w:color w:val="auto"/>
              </w:rPr>
              <w:t>3-year cumulative</w:t>
            </w:r>
          </w:p>
        </w:tc>
        <w:tc>
          <w:tcPr>
            <w:tcW w:w="1920" w:type="dxa"/>
            <w:vAlign w:val="bottom"/>
          </w:tcPr>
          <w:p>
            <w:pPr>
              <w:ind w:left="100"/>
              <w:spacing w:after="0" w:line="197" w:lineRule="exact"/>
              <w:rPr>
                <w:sz w:val="20"/>
                <w:szCs w:val="20"/>
                <w:color w:val="auto"/>
              </w:rPr>
            </w:pPr>
            <w:r>
              <w:rPr>
                <w:rFonts w:ascii="Arial" w:cs="Arial" w:eastAsia="Arial" w:hAnsi="Arial"/>
                <w:sz w:val="18"/>
                <w:szCs w:val="18"/>
                <w:color w:val="auto"/>
              </w:rPr>
              <w:t>cumulative and 3-year</w:t>
            </w:r>
          </w:p>
        </w:tc>
        <w:tc>
          <w:tcPr>
            <w:tcW w:w="700" w:type="dxa"/>
            <w:vAlign w:val="bottom"/>
          </w:tcPr>
          <w:p>
            <w:pPr>
              <w:spacing w:after="0"/>
              <w:rPr>
                <w:sz w:val="17"/>
                <w:szCs w:val="17"/>
                <w:color w:val="auto"/>
              </w:rPr>
            </w:pP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8"/>
                <w:szCs w:val="18"/>
                <w:color w:val="auto"/>
              </w:rPr>
              <w:t>performance periods; earned</w:t>
            </w:r>
          </w:p>
        </w:tc>
        <w:tc>
          <w:tcPr>
            <w:tcW w:w="1920" w:type="dxa"/>
            <w:vAlign w:val="bottom"/>
          </w:tcPr>
          <w:p>
            <w:pPr>
              <w:ind w:left="100"/>
              <w:spacing w:after="0" w:line="189" w:lineRule="exact"/>
              <w:rPr>
                <w:sz w:val="20"/>
                <w:szCs w:val="20"/>
                <w:color w:val="auto"/>
              </w:rPr>
            </w:pPr>
            <w:r>
              <w:rPr>
                <w:rFonts w:ascii="Arial" w:cs="Arial" w:eastAsia="Arial" w:hAnsi="Arial"/>
                <w:sz w:val="18"/>
                <w:szCs w:val="18"/>
                <w:color w:val="auto"/>
              </w:rPr>
              <w:t>cumulative non-GAAP</w:t>
            </w:r>
          </w:p>
        </w:tc>
        <w:tc>
          <w:tcPr>
            <w:tcW w:w="700" w:type="dxa"/>
            <w:vAlign w:val="bottom"/>
          </w:tcPr>
          <w:p>
            <w:pPr>
              <w:spacing w:after="0"/>
              <w:rPr>
                <w:sz w:val="16"/>
                <w:szCs w:val="16"/>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shares (if any) vest on 3rd</w:t>
            </w:r>
          </w:p>
        </w:tc>
        <w:tc>
          <w:tcPr>
            <w:tcW w:w="1920" w:type="dxa"/>
            <w:vAlign w:val="bottom"/>
          </w:tcPr>
          <w:p>
            <w:pPr>
              <w:ind w:left="100"/>
              <w:spacing w:after="0" w:line="202" w:lineRule="exact"/>
              <w:rPr>
                <w:sz w:val="20"/>
                <w:szCs w:val="20"/>
                <w:color w:val="auto"/>
              </w:rPr>
            </w:pPr>
            <w:r>
              <w:rPr>
                <w:rFonts w:ascii="Arial" w:cs="Arial" w:eastAsia="Arial" w:hAnsi="Arial"/>
                <w:sz w:val="18"/>
                <w:szCs w:val="18"/>
                <w:color w:val="auto"/>
              </w:rPr>
              <w:t>operating profit</w:t>
            </w:r>
          </w:p>
        </w:tc>
        <w:tc>
          <w:tcPr>
            <w:tcW w:w="700" w:type="dxa"/>
            <w:vAlign w:val="bottom"/>
          </w:tcPr>
          <w:p>
            <w:pPr>
              <w:spacing w:after="0"/>
              <w:rPr>
                <w:sz w:val="17"/>
                <w:szCs w:val="17"/>
                <w:color w:val="auto"/>
              </w:rPr>
            </w:pP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8"/>
                <w:szCs w:val="18"/>
                <w:color w:val="auto"/>
              </w:rPr>
              <w:t>anniversary of grant date. 3-</w:t>
            </w:r>
          </w:p>
        </w:tc>
        <w:tc>
          <w:tcPr>
            <w:tcW w:w="1920" w:type="dxa"/>
            <w:vAlign w:val="bottom"/>
          </w:tcPr>
          <w:p>
            <w:pPr>
              <w:ind w:left="100"/>
              <w:spacing w:after="0" w:line="189" w:lineRule="exact"/>
              <w:rPr>
                <w:sz w:val="20"/>
                <w:szCs w:val="20"/>
                <w:color w:val="auto"/>
              </w:rPr>
            </w:pPr>
            <w:r>
              <w:rPr>
                <w:rFonts w:ascii="Arial" w:cs="Arial" w:eastAsia="Arial" w:hAnsi="Arial"/>
                <w:sz w:val="18"/>
                <w:szCs w:val="18"/>
                <w:color w:val="auto"/>
              </w:rPr>
              <w:t>(in dollars)</w:t>
            </w:r>
          </w:p>
        </w:tc>
        <w:tc>
          <w:tcPr>
            <w:tcW w:w="700" w:type="dxa"/>
            <w:vAlign w:val="bottom"/>
          </w:tcPr>
          <w:p>
            <w:pPr>
              <w:spacing w:after="0"/>
              <w:rPr>
                <w:sz w:val="16"/>
                <w:szCs w:val="16"/>
                <w:color w:val="auto"/>
              </w:rPr>
            </w:pPr>
          </w:p>
        </w:tc>
      </w:tr>
      <w:tr>
        <w:trPr>
          <w:trHeight w:val="239"/>
        </w:trPr>
        <w:tc>
          <w:tcPr>
            <w:tcW w:w="2460" w:type="dxa"/>
            <w:vAlign w:val="bottom"/>
          </w:tcPr>
          <w:p>
            <w:pPr>
              <w:spacing w:after="0"/>
              <w:rPr>
                <w:sz w:val="20"/>
                <w:szCs w:val="20"/>
                <w:color w:val="auto"/>
              </w:rPr>
            </w:pPr>
            <w:r>
              <w:rPr>
                <w:rFonts w:ascii="Arial" w:cs="Arial" w:eastAsia="Arial" w:hAnsi="Arial"/>
                <w:sz w:val="18"/>
                <w:szCs w:val="18"/>
                <w:color w:val="auto"/>
              </w:rPr>
              <w:t>year cliff vesting</w:t>
            </w: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4880" w:space="280"/>
            <w:col w:w="6080"/>
          </w:cols>
          <w:pgMar w:left="320" w:top="124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820" w:type="dxa"/>
            <w:vAlign w:val="bottom"/>
            <w:tcBorders>
              <w:top w:val="single" w:sz="8" w:color="939598"/>
            </w:tcBorders>
            <w:vMerge w:val="restart"/>
          </w:tcPr>
          <w:p>
            <w:pPr>
              <w:ind w:left="20"/>
              <w:spacing w:after="0"/>
              <w:rPr>
                <w:sz w:val="20"/>
                <w:szCs w:val="20"/>
                <w:color w:val="auto"/>
              </w:rPr>
            </w:pPr>
            <w:r>
              <w:rPr>
                <w:rFonts w:ascii="Arial" w:cs="Arial" w:eastAsia="Arial" w:hAnsi="Arial"/>
                <w:sz w:val="18"/>
                <w:szCs w:val="18"/>
                <w:color w:val="auto"/>
              </w:rPr>
              <w:t>Time-Based</w:t>
            </w:r>
          </w:p>
        </w:tc>
        <w:tc>
          <w:tcPr>
            <w:tcW w:w="2940" w:type="dxa"/>
            <w:vAlign w:val="bottom"/>
            <w:tcBorders>
              <w:top w:val="single" w:sz="8" w:color="939598"/>
            </w:tcBorders>
          </w:tcPr>
          <w:p>
            <w:pPr>
              <w:ind w:left="820"/>
              <w:spacing w:after="0" w:line="192" w:lineRule="exact"/>
              <w:rPr>
                <w:sz w:val="20"/>
                <w:szCs w:val="20"/>
                <w:color w:val="auto"/>
              </w:rPr>
            </w:pPr>
            <w:r>
              <w:rPr>
                <w:rFonts w:ascii="Arial" w:cs="Arial" w:eastAsia="Arial" w:hAnsi="Arial"/>
                <w:sz w:val="18"/>
                <w:szCs w:val="18"/>
                <w:color w:val="auto"/>
              </w:rPr>
              <w:t>Attract and retain key</w:t>
            </w:r>
          </w:p>
        </w:tc>
        <w:tc>
          <w:tcPr>
            <w:tcW w:w="2560" w:type="dxa"/>
            <w:vAlign w:val="bottom"/>
            <w:tcBorders>
              <w:top w:val="single" w:sz="8" w:color="939598"/>
            </w:tcBorders>
          </w:tcPr>
          <w:p>
            <w:pPr>
              <w:ind w:left="400"/>
              <w:spacing w:after="0" w:line="192" w:lineRule="exact"/>
              <w:rPr>
                <w:sz w:val="20"/>
                <w:szCs w:val="20"/>
                <w:color w:val="auto"/>
              </w:rPr>
            </w:pPr>
            <w:r>
              <w:rPr>
                <w:rFonts w:ascii="Arial" w:cs="Arial" w:eastAsia="Arial" w:hAnsi="Arial"/>
                <w:sz w:val="18"/>
                <w:szCs w:val="18"/>
                <w:color w:val="auto"/>
              </w:rPr>
              <w:t>4-year graded vesting</w:t>
            </w:r>
          </w:p>
        </w:tc>
        <w:tc>
          <w:tcPr>
            <w:tcW w:w="1540" w:type="dxa"/>
            <w:vAlign w:val="bottom"/>
            <w:tcBorders>
              <w:top w:val="single" w:sz="8" w:color="939598"/>
            </w:tcBorders>
          </w:tcPr>
          <w:p>
            <w:pPr>
              <w:ind w:left="400"/>
              <w:spacing w:after="0" w:line="192" w:lineRule="exact"/>
              <w:rPr>
                <w:sz w:val="20"/>
                <w:szCs w:val="20"/>
                <w:color w:val="auto"/>
              </w:rPr>
            </w:pPr>
            <w:r>
              <w:rPr>
                <w:rFonts w:ascii="Arial" w:cs="Arial" w:eastAsia="Arial" w:hAnsi="Arial"/>
                <w:sz w:val="18"/>
                <w:szCs w:val="18"/>
                <w:color w:val="auto"/>
              </w:rPr>
              <w:t>None</w:t>
            </w:r>
          </w:p>
        </w:tc>
        <w:tc>
          <w:tcPr>
            <w:tcW w:w="2380" w:type="dxa"/>
            <w:vAlign w:val="bottom"/>
            <w:tcBorders>
              <w:top w:val="single" w:sz="8" w:color="939598"/>
            </w:tcBorders>
          </w:tcPr>
          <w:p>
            <w:pPr>
              <w:ind w:left="720"/>
              <w:spacing w:after="0" w:line="192" w:lineRule="exact"/>
              <w:rPr>
                <w:sz w:val="20"/>
                <w:szCs w:val="20"/>
                <w:color w:val="auto"/>
              </w:rPr>
            </w:pPr>
            <w:r>
              <w:rPr>
                <w:rFonts w:ascii="Arial" w:cs="Arial" w:eastAsia="Arial" w:hAnsi="Arial"/>
                <w:sz w:val="18"/>
                <w:szCs w:val="18"/>
                <w:color w:val="auto"/>
              </w:rPr>
              <w:t>100% value in</w:t>
            </w:r>
          </w:p>
        </w:tc>
        <w:tc>
          <w:tcPr>
            <w:tcW w:w="0" w:type="dxa"/>
            <w:vAlign w:val="bottom"/>
          </w:tcPr>
          <w:p>
            <w:pPr>
              <w:spacing w:after="0"/>
              <w:rPr>
                <w:sz w:val="1"/>
                <w:szCs w:val="1"/>
                <w:color w:val="auto"/>
              </w:rPr>
            </w:pPr>
          </w:p>
        </w:tc>
      </w:tr>
      <w:tr>
        <w:trPr>
          <w:trHeight w:val="175"/>
        </w:trPr>
        <w:tc>
          <w:tcPr>
            <w:tcW w:w="1820" w:type="dxa"/>
            <w:vAlign w:val="bottom"/>
            <w:vMerge w:val="continue"/>
          </w:tcPr>
          <w:p>
            <w:pPr>
              <w:spacing w:after="0"/>
              <w:rPr>
                <w:sz w:val="15"/>
                <w:szCs w:val="15"/>
                <w:color w:val="auto"/>
              </w:rPr>
            </w:pPr>
          </w:p>
        </w:tc>
        <w:tc>
          <w:tcPr>
            <w:tcW w:w="2940" w:type="dxa"/>
            <w:vAlign w:val="bottom"/>
          </w:tcPr>
          <w:p>
            <w:pPr>
              <w:ind w:left="820"/>
              <w:spacing w:after="0" w:line="176" w:lineRule="exact"/>
              <w:rPr>
                <w:sz w:val="20"/>
                <w:szCs w:val="20"/>
                <w:color w:val="auto"/>
              </w:rPr>
            </w:pPr>
            <w:r>
              <w:rPr>
                <w:rFonts w:ascii="Arial" w:cs="Arial" w:eastAsia="Arial" w:hAnsi="Arial"/>
                <w:sz w:val="18"/>
                <w:szCs w:val="18"/>
                <w:color w:val="auto"/>
              </w:rPr>
              <w:t>executives</w:t>
            </w: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380" w:type="dxa"/>
            <w:vAlign w:val="bottom"/>
          </w:tcPr>
          <w:p>
            <w:pPr>
              <w:ind w:left="720"/>
              <w:spacing w:after="0" w:line="176" w:lineRule="exact"/>
              <w:rPr>
                <w:sz w:val="20"/>
                <w:szCs w:val="20"/>
                <w:color w:val="auto"/>
              </w:rPr>
            </w:pPr>
            <w:r>
              <w:rPr>
                <w:rFonts w:ascii="Arial" w:cs="Arial" w:eastAsia="Arial" w:hAnsi="Arial"/>
                <w:sz w:val="18"/>
                <w:szCs w:val="18"/>
                <w:color w:val="auto"/>
              </w:rPr>
              <w:t>line with stock</w:t>
            </w:r>
          </w:p>
        </w:tc>
        <w:tc>
          <w:tcPr>
            <w:tcW w:w="0" w:type="dxa"/>
            <w:vAlign w:val="bottom"/>
          </w:tcPr>
          <w:p>
            <w:pPr>
              <w:spacing w:after="0"/>
              <w:rPr>
                <w:sz w:val="1"/>
                <w:szCs w:val="1"/>
                <w:color w:val="auto"/>
              </w:rPr>
            </w:pPr>
          </w:p>
        </w:tc>
      </w:tr>
      <w:tr>
        <w:trPr>
          <w:trHeight w:val="260"/>
        </w:trPr>
        <w:tc>
          <w:tcPr>
            <w:tcW w:w="1820" w:type="dxa"/>
            <w:vAlign w:val="bottom"/>
          </w:tcPr>
          <w:p>
            <w:pPr>
              <w:ind w:left="20"/>
              <w:spacing w:after="0"/>
              <w:rPr>
                <w:sz w:val="20"/>
                <w:szCs w:val="20"/>
                <w:color w:val="auto"/>
              </w:rPr>
            </w:pPr>
            <w:r>
              <w:rPr>
                <w:rFonts w:ascii="Arial" w:cs="Arial" w:eastAsia="Arial" w:hAnsi="Arial"/>
                <w:sz w:val="18"/>
                <w:szCs w:val="18"/>
                <w:color w:val="auto"/>
              </w:rPr>
              <w:t>RSUs</w:t>
            </w:r>
          </w:p>
        </w:tc>
        <w:tc>
          <w:tcPr>
            <w:tcW w:w="29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380" w:type="dxa"/>
            <w:vAlign w:val="bottom"/>
          </w:tcPr>
          <w:p>
            <w:pPr>
              <w:ind w:left="720"/>
              <w:spacing w:after="0"/>
              <w:rPr>
                <w:sz w:val="20"/>
                <w:szCs w:val="20"/>
                <w:color w:val="auto"/>
              </w:rPr>
            </w:pPr>
            <w:r>
              <w:rPr>
                <w:rFonts w:ascii="Arial" w:cs="Arial" w:eastAsia="Arial" w:hAnsi="Arial"/>
                <w:sz w:val="18"/>
                <w:szCs w:val="18"/>
                <w:color w:val="auto"/>
              </w:rPr>
              <w:t>price performance</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0067B3"/>
            </w:tcBorders>
          </w:tcPr>
          <w:p>
            <w:pPr>
              <w:spacing w:after="0"/>
              <w:rPr>
                <w:sz w:val="14"/>
                <w:szCs w:val="14"/>
                <w:color w:val="auto"/>
              </w:rPr>
            </w:pPr>
          </w:p>
        </w:tc>
        <w:tc>
          <w:tcPr>
            <w:tcW w:w="2940" w:type="dxa"/>
            <w:vAlign w:val="bottom"/>
            <w:tcBorders>
              <w:bottom w:val="single" w:sz="8" w:color="0067B3"/>
            </w:tcBorders>
          </w:tcPr>
          <w:p>
            <w:pPr>
              <w:spacing w:after="0"/>
              <w:rPr>
                <w:sz w:val="14"/>
                <w:szCs w:val="14"/>
                <w:color w:val="auto"/>
              </w:rPr>
            </w:pPr>
          </w:p>
        </w:tc>
        <w:tc>
          <w:tcPr>
            <w:tcW w:w="2560" w:type="dxa"/>
            <w:vAlign w:val="bottom"/>
            <w:tcBorders>
              <w:bottom w:val="single" w:sz="8" w:color="0067B3"/>
            </w:tcBorders>
          </w:tcPr>
          <w:p>
            <w:pPr>
              <w:spacing w:after="0"/>
              <w:rPr>
                <w:sz w:val="14"/>
                <w:szCs w:val="14"/>
                <w:color w:val="auto"/>
              </w:rPr>
            </w:pPr>
          </w:p>
        </w:tc>
        <w:tc>
          <w:tcPr>
            <w:tcW w:w="1540" w:type="dxa"/>
            <w:vAlign w:val="bottom"/>
            <w:tcBorders>
              <w:bottom w:val="single" w:sz="8" w:color="0067B3"/>
            </w:tcBorders>
          </w:tcPr>
          <w:p>
            <w:pPr>
              <w:spacing w:after="0"/>
              <w:rPr>
                <w:sz w:val="14"/>
                <w:szCs w:val="14"/>
                <w:color w:val="auto"/>
              </w:rPr>
            </w:pPr>
          </w:p>
        </w:tc>
        <w:tc>
          <w:tcPr>
            <w:tcW w:w="2380" w:type="dxa"/>
            <w:vAlign w:val="bottom"/>
            <w:tcBorders>
              <w:bottom w:val="single" w:sz="8" w:color="0067B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-496570</wp:posOffset>
            </wp:positionV>
            <wp:extent cx="411480" cy="411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Vehicle Structure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PRSUs</w:t>
      </w:r>
    </w:p>
    <w:p>
      <w:pPr>
        <w:spacing w:after="0" w:line="7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For fiscal year 2022, approximately 65% of our annual equity awards to our executive officers, including our NEOs, were in the form of PRSUs. To ensure that a direct link exists between the value of our long-term incentives and the value that is created for our shareholders,</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our fiscal year 2022 equity compensation program included two types of PRSUs for our executive officers: Relative TSR PRSUs and Financial Metric PRSUs.</w:t>
      </w:r>
    </w:p>
    <w:p>
      <w:pPr>
        <w:spacing w:after="0" w:line="4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0067B3"/>
        </w:rPr>
        <w:t xml:space="preserve">Relative TSR PRSUs. </w:t>
      </w:r>
      <w:r>
        <w:rPr>
          <w:rFonts w:ascii="Arial" w:cs="Arial" w:eastAsia="Arial" w:hAnsi="Arial"/>
          <w:sz w:val="18"/>
          <w:szCs w:val="18"/>
          <w:color w:val="000000"/>
        </w:rPr>
        <w:t>The number of PRSUs that executive officers, including our NEOs, may earn is based on our TSR performance</w:t>
      </w:r>
      <w:r>
        <w:rPr>
          <w:rFonts w:ascii="Arial" w:cs="Arial" w:eastAsia="Arial" w:hAnsi="Arial"/>
          <w:sz w:val="18"/>
          <w:szCs w:val="18"/>
          <w:b w:val="1"/>
          <w:bCs w:val="1"/>
          <w:color w:val="0067B3"/>
        </w:rPr>
        <w:t xml:space="preserve"> </w:t>
      </w:r>
      <w:r>
        <w:rPr>
          <w:rFonts w:ascii="Arial" w:cs="Arial" w:eastAsia="Arial" w:hAnsi="Arial"/>
          <w:sz w:val="18"/>
          <w:szCs w:val="18"/>
          <w:color w:val="000000"/>
        </w:rPr>
        <w:t>relative to the TSR performance of other companies in a comparator index over a three-year period.</w:t>
      </w:r>
    </w:p>
    <w:p>
      <w:pPr>
        <w:spacing w:after="0" w:line="1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For the TSR PRSUs granted to our NEOs in fiscal year 2022, the relative TSR comparator group changed from the SOX Index to the S&amp;P 500 Index. The Compensation and Talent Committee made this change for several reasons. First, the Compensation and Talent Committee believed there are meaningful differences between ADI and other companies in the SOX Index based on our products, customers and end-</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markets to make the comparison to this index less relevant. Second, the SOX Index contains a small peer group, which was continually shifting due to consolidation over the three-year performance period making the comparison less practical. Finally, the Compensation and</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Talent Committee believes that the S&amp;P 500 Index better represents ADI’s customers and end-markets, and provides a more relevant benchmark of ADI performance and shareholder value creation.</w:t>
      </w:r>
    </w:p>
    <w:p>
      <w:pPr>
        <w:spacing w:after="0" w:line="46"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The number of PRSUs vested is determined by ADI’s TSR performance relative to the TSR of the companies in the S&amp;P 500 Index expressed as a percentile. Target vesting of PRSUs is achieved when ADI’s TSR is at the 50th percentile of the TSRs of the companies in</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S&amp;P 500 Index. The actual amount of PRSUs that will be earned can range from 0%-200% of the target amount, corresponding to the percentile attainment of ADI’s TSR as compared to the companies in the S&amp;P 500 Index. No shares will vest if ADI’s TSR is less than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25th percentile. The number of earned shares is capped at 100% if ADI’s TSR performance is negative.</w:t>
      </w:r>
    </w:p>
    <w:p>
      <w:pPr>
        <w:spacing w:after="0" w:line="72"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color w:val="auto"/>
        </w:rPr>
        <w:t>The following table illustrates the percentage of target PRSUs that could be earned based on ADI’s relative TSR performance to the companies in the S&amp;P 500 Index:</w:t>
      </w:r>
    </w:p>
    <w:p>
      <w:pPr>
        <w:spacing w:after="0" w:line="117" w:lineRule="exact"/>
        <w:rPr>
          <w:sz w:val="20"/>
          <w:szCs w:val="20"/>
          <w:color w:val="auto"/>
        </w:rPr>
      </w:pPr>
    </w:p>
    <w:tbl>
      <w:tblPr>
        <w:tblLayout w:type="fixed"/>
        <w:tblInd w:w="2000" w:type="dxa"/>
        <w:tblCellMar>
          <w:top w:w="0" w:type="dxa"/>
          <w:left w:w="0" w:type="dxa"/>
          <w:bottom w:w="0" w:type="dxa"/>
          <w:right w:w="0" w:type="dxa"/>
        </w:tblCellMar>
      </w:tblPr>
      <w:tr>
        <w:trPr>
          <w:trHeight w:val="243"/>
        </w:trPr>
        <w:tc>
          <w:tcPr>
            <w:tcW w:w="36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Percentile Attainment</w:t>
            </w:r>
          </w:p>
        </w:tc>
        <w:tc>
          <w:tcPr>
            <w:tcW w:w="3580" w:type="dxa"/>
            <w:vAlign w:val="bottom"/>
            <w:tcBorders>
              <w:bottom w:val="single" w:sz="8" w:color="auto"/>
            </w:tcBorders>
            <w:shd w:val="clear" w:color="auto" w:fill="0067B3"/>
          </w:tcPr>
          <w:p>
            <w:pPr>
              <w:jc w:val="right"/>
              <w:ind w:right="292"/>
              <w:spacing w:after="0"/>
              <w:rPr>
                <w:sz w:val="20"/>
                <w:szCs w:val="20"/>
                <w:color w:val="auto"/>
              </w:rPr>
            </w:pPr>
            <w:r>
              <w:rPr>
                <w:rFonts w:ascii="Arial" w:cs="Arial" w:eastAsia="Arial" w:hAnsi="Arial"/>
                <w:sz w:val="16"/>
                <w:szCs w:val="16"/>
                <w:b w:val="1"/>
                <w:bCs w:val="1"/>
                <w:color w:val="FFFFFF"/>
              </w:rPr>
              <w:t>PRSU Payout %</w:t>
            </w:r>
          </w:p>
        </w:tc>
      </w:tr>
      <w:tr>
        <w:trPr>
          <w:trHeight w:val="264"/>
        </w:trPr>
        <w:tc>
          <w:tcPr>
            <w:tcW w:w="3680" w:type="dxa"/>
            <w:vAlign w:val="bottom"/>
            <w:tcBorders>
              <w:bottom w:val="single" w:sz="8" w:color="939598"/>
            </w:tcBorders>
          </w:tcPr>
          <w:p>
            <w:pPr>
              <w:ind w:left="20"/>
              <w:spacing w:after="0"/>
              <w:rPr>
                <w:sz w:val="20"/>
                <w:szCs w:val="20"/>
                <w:color w:val="auto"/>
              </w:rPr>
            </w:pPr>
            <w:r>
              <w:rPr>
                <w:rFonts w:ascii="Arial" w:cs="Arial" w:eastAsia="Arial" w:hAnsi="Arial"/>
                <w:sz w:val="18"/>
                <w:szCs w:val="18"/>
                <w:color w:val="auto"/>
              </w:rPr>
              <w:t>&lt;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3580" w:type="dxa"/>
            <w:vAlign w:val="bottom"/>
            <w:tcBorders>
              <w:bottom w:val="single" w:sz="8" w:color="939598"/>
            </w:tcBorders>
          </w:tcPr>
          <w:p>
            <w:pPr>
              <w:jc w:val="right"/>
              <w:ind w:right="472"/>
              <w:spacing w:after="0"/>
              <w:rPr>
                <w:sz w:val="20"/>
                <w:szCs w:val="20"/>
                <w:color w:val="auto"/>
              </w:rPr>
            </w:pPr>
            <w:r>
              <w:rPr>
                <w:rFonts w:ascii="Arial" w:cs="Arial" w:eastAsia="Arial" w:hAnsi="Arial"/>
                <w:sz w:val="18"/>
                <w:szCs w:val="18"/>
                <w:b w:val="1"/>
                <w:bCs w:val="1"/>
                <w:color w:val="auto"/>
              </w:rPr>
              <w:t>0%</w:t>
            </w:r>
          </w:p>
        </w:tc>
      </w:tr>
      <w:tr>
        <w:trPr>
          <w:trHeight w:val="263"/>
        </w:trPr>
        <w:tc>
          <w:tcPr>
            <w:tcW w:w="3680" w:type="dxa"/>
            <w:vAlign w:val="bottom"/>
            <w:tcBorders>
              <w:bottom w:val="single" w:sz="8" w:color="939598"/>
            </w:tcBorders>
          </w:tcPr>
          <w:p>
            <w:pPr>
              <w:ind w:left="20"/>
              <w:spacing w:after="0"/>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3580" w:type="dxa"/>
            <w:vAlign w:val="bottom"/>
            <w:tcBorders>
              <w:bottom w:val="single" w:sz="8" w:color="939598"/>
            </w:tcBorders>
          </w:tcPr>
          <w:p>
            <w:pPr>
              <w:jc w:val="right"/>
              <w:ind w:right="472"/>
              <w:spacing w:after="0"/>
              <w:rPr>
                <w:sz w:val="20"/>
                <w:szCs w:val="20"/>
                <w:color w:val="auto"/>
              </w:rPr>
            </w:pPr>
            <w:r>
              <w:rPr>
                <w:rFonts w:ascii="Arial" w:cs="Arial" w:eastAsia="Arial" w:hAnsi="Arial"/>
                <w:sz w:val="18"/>
                <w:szCs w:val="18"/>
                <w:b w:val="1"/>
                <w:bCs w:val="1"/>
                <w:color w:val="auto"/>
              </w:rPr>
              <w:t>50%</w:t>
            </w:r>
          </w:p>
        </w:tc>
      </w:tr>
      <w:tr>
        <w:trPr>
          <w:trHeight w:val="264"/>
        </w:trPr>
        <w:tc>
          <w:tcPr>
            <w:tcW w:w="3680" w:type="dxa"/>
            <w:vAlign w:val="bottom"/>
            <w:tcBorders>
              <w:bottom w:val="single" w:sz="8" w:color="939598"/>
            </w:tcBorders>
          </w:tcPr>
          <w:p>
            <w:pPr>
              <w:ind w:left="20"/>
              <w:spacing w:after="0"/>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3580" w:type="dxa"/>
            <w:vAlign w:val="bottom"/>
            <w:tcBorders>
              <w:bottom w:val="single" w:sz="8" w:color="939598"/>
            </w:tcBorders>
          </w:tcPr>
          <w:p>
            <w:pPr>
              <w:jc w:val="right"/>
              <w:ind w:right="472"/>
              <w:spacing w:after="0"/>
              <w:rPr>
                <w:sz w:val="20"/>
                <w:szCs w:val="20"/>
                <w:color w:val="auto"/>
              </w:rPr>
            </w:pPr>
            <w:r>
              <w:rPr>
                <w:rFonts w:ascii="Arial" w:cs="Arial" w:eastAsia="Arial" w:hAnsi="Arial"/>
                <w:sz w:val="18"/>
                <w:szCs w:val="18"/>
                <w:b w:val="1"/>
                <w:bCs w:val="1"/>
                <w:color w:val="auto"/>
              </w:rPr>
              <w:t>100%</w:t>
            </w:r>
          </w:p>
        </w:tc>
      </w:tr>
      <w:tr>
        <w:trPr>
          <w:trHeight w:val="264"/>
        </w:trPr>
        <w:tc>
          <w:tcPr>
            <w:tcW w:w="368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3580" w:type="dxa"/>
            <w:vAlign w:val="bottom"/>
            <w:tcBorders>
              <w:bottom w:val="single" w:sz="8" w:color="0067B3"/>
            </w:tcBorders>
          </w:tcPr>
          <w:p>
            <w:pPr>
              <w:jc w:val="right"/>
              <w:ind w:right="472"/>
              <w:spacing w:after="0"/>
              <w:rPr>
                <w:sz w:val="20"/>
                <w:szCs w:val="20"/>
                <w:color w:val="auto"/>
              </w:rPr>
            </w:pPr>
            <w:r>
              <w:rPr>
                <w:rFonts w:ascii="Arial" w:cs="Arial" w:eastAsia="Arial" w:hAnsi="Arial"/>
                <w:sz w:val="18"/>
                <w:szCs w:val="18"/>
                <w:b w:val="1"/>
                <w:bCs w:val="1"/>
                <w:color w:val="auto"/>
              </w:rPr>
              <w:t>200%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is subject to interpolation on a linear basis.</w:t>
      </w:r>
    </w:p>
    <w:p>
      <w:pPr>
        <w:sectPr>
          <w:pgSz w:w="11900" w:h="16838" w:orient="portrait"/>
          <w:cols w:equalWidth="0" w:num="1">
            <w:col w:w="11240"/>
          </w:cols>
          <w:pgMar w:left="320" w:top="1240" w:right="339" w:bottom="1440" w:gutter="0" w:footer="0" w:header="0"/>
          <w:type w:val="continuous"/>
        </w:sectPr>
      </w:pPr>
    </w:p>
    <w:p>
      <w:pPr>
        <w:spacing w:after="0" w:line="38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61</w:t>
      </w:r>
    </w:p>
    <w:p>
      <w:pPr>
        <w:sectPr>
          <w:pgSz w:w="11900" w:h="16838" w:orient="portrait"/>
          <w:cols w:equalWidth="0" w:num="1">
            <w:col w:w="11240"/>
          </w:cols>
          <w:pgMar w:left="320" w:top="1240" w:right="339" w:bottom="1440" w:gutter="0" w:footer="0" w:header="0"/>
          <w:type w:val="continuous"/>
        </w:sectPr>
      </w:pPr>
    </w:p>
    <w:bookmarkStart w:id="69" w:name="page70"/>
    <w:bookmarkEnd w:id="69"/>
    <w:p>
      <w:pPr>
        <w:ind w:right="60"/>
        <w:spacing w:after="0" w:line="246" w:lineRule="auto"/>
        <w:rPr>
          <w:sz w:val="20"/>
          <w:szCs w:val="20"/>
          <w:color w:val="auto"/>
        </w:rPr>
      </w:pPr>
      <w:r>
        <w:rPr>
          <w:rFonts w:ascii="Arial" w:cs="Arial" w:eastAsia="Arial" w:hAnsi="Arial"/>
          <w:sz w:val="18"/>
          <w:szCs w:val="18"/>
          <w:b w:val="1"/>
          <w:bCs w:val="1"/>
          <w:color w:val="auto"/>
        </w:rPr>
        <w:t xml:space="preserve">2019-2022 TSR PRSUs Payouts. </w:t>
      </w:r>
      <w:r>
        <w:rPr>
          <w:rFonts w:ascii="Arial" w:cs="Arial" w:eastAsia="Arial" w:hAnsi="Arial"/>
          <w:sz w:val="18"/>
          <w:szCs w:val="18"/>
          <w:color w:val="auto"/>
        </w:rPr>
        <w:t>The relative TSR PRSUs granted on March 13, 2019 had a three-year performance period that 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13, 2022. The comparator group designated by the Compensation and Talent Committee for the relative TSR PRSUs granted in fiscal year 2019 consisted of the companies represented in the SOX Index as of the grant date that are included in the SOX Index for the entire performance period. The actual amount of PRSUs that could have been earned ranged from 0%-200% of the target amount, with adjustments upward or downward from the target 100% payout by 1.5% for each percentage point ADI’s TSR is above or below that of the median company’s TSR. No shares would have vested if ADI’s TSR was 66.67 percentage points lower than the median company’s TSR. The number of earned shares was capped at 100% if ADI’s TSR performance was negative.</w:t>
      </w:r>
    </w:p>
    <w:p>
      <w:pPr>
        <w:spacing w:after="0" w:line="81"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The following table illustrates the percentage of target PRSUs that could have been earned based on the company’s relative TSR performance to the median company in the SOX index:</w:t>
      </w:r>
    </w:p>
    <w:p>
      <w:pPr>
        <w:spacing w:after="0" w:line="91" w:lineRule="exact"/>
        <w:rPr>
          <w:sz w:val="20"/>
          <w:szCs w:val="20"/>
          <w:color w:val="auto"/>
        </w:rPr>
      </w:pPr>
    </w:p>
    <w:tbl>
      <w:tblPr>
        <w:tblLayout w:type="fixed"/>
        <w:tblInd w:w="2000" w:type="dxa"/>
        <w:tblCellMar>
          <w:top w:w="0" w:type="dxa"/>
          <w:left w:w="0" w:type="dxa"/>
          <w:bottom w:w="0" w:type="dxa"/>
          <w:right w:w="0" w:type="dxa"/>
        </w:tblCellMar>
      </w:tblPr>
      <w:tr>
        <w:trPr>
          <w:trHeight w:val="243"/>
        </w:trPr>
        <w:tc>
          <w:tcPr>
            <w:tcW w:w="544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ADI TSR</w:t>
            </w:r>
          </w:p>
        </w:tc>
        <w:tc>
          <w:tcPr>
            <w:tcW w:w="1820" w:type="dxa"/>
            <w:vAlign w:val="bottom"/>
            <w:tcBorders>
              <w:bottom w:val="single" w:sz="8" w:color="auto"/>
            </w:tcBorders>
            <w:shd w:val="clear" w:color="auto" w:fill="0067B3"/>
          </w:tcPr>
          <w:p>
            <w:pPr>
              <w:jc w:val="right"/>
              <w:ind w:right="292"/>
              <w:spacing w:after="0"/>
              <w:rPr>
                <w:sz w:val="20"/>
                <w:szCs w:val="20"/>
                <w:color w:val="auto"/>
              </w:rPr>
            </w:pPr>
            <w:r>
              <w:rPr>
                <w:rFonts w:ascii="Arial" w:cs="Arial" w:eastAsia="Arial" w:hAnsi="Arial"/>
                <w:sz w:val="16"/>
                <w:szCs w:val="16"/>
                <w:b w:val="1"/>
                <w:bCs w:val="1"/>
                <w:color w:val="FFFFFF"/>
              </w:rPr>
              <w:t>PRSU Payout %</w:t>
            </w:r>
          </w:p>
        </w:tc>
      </w:tr>
      <w:tr>
        <w:trPr>
          <w:trHeight w:val="257"/>
        </w:trPr>
        <w:tc>
          <w:tcPr>
            <w:tcW w:w="5440" w:type="dxa"/>
            <w:vAlign w:val="bottom"/>
            <w:tcBorders>
              <w:bottom w:val="single" w:sz="8" w:color="939598"/>
            </w:tcBorders>
          </w:tcPr>
          <w:p>
            <w:pPr>
              <w:ind w:left="20"/>
              <w:spacing w:after="0"/>
              <w:rPr>
                <w:sz w:val="20"/>
                <w:szCs w:val="20"/>
                <w:color w:val="auto"/>
              </w:rPr>
            </w:pPr>
            <w:r>
              <w:rPr>
                <w:rFonts w:ascii="Arial" w:cs="Arial" w:eastAsia="Arial" w:hAnsi="Arial"/>
                <w:sz w:val="18"/>
                <w:szCs w:val="18"/>
                <w:color w:val="auto"/>
              </w:rPr>
              <w:t>Equal to or greater than 66.67% above the median company TSR</w:t>
            </w:r>
          </w:p>
        </w:tc>
        <w:tc>
          <w:tcPr>
            <w:tcW w:w="1820" w:type="dxa"/>
            <w:vAlign w:val="bottom"/>
            <w:tcBorders>
              <w:bottom w:val="single" w:sz="8" w:color="939598"/>
            </w:tcBorders>
          </w:tcPr>
          <w:p>
            <w:pPr>
              <w:jc w:val="right"/>
              <w:ind w:right="512"/>
              <w:spacing w:after="0"/>
              <w:rPr>
                <w:sz w:val="20"/>
                <w:szCs w:val="20"/>
                <w:color w:val="auto"/>
              </w:rPr>
            </w:pPr>
            <w:r>
              <w:rPr>
                <w:rFonts w:ascii="Arial" w:cs="Arial" w:eastAsia="Arial" w:hAnsi="Arial"/>
                <w:sz w:val="18"/>
                <w:szCs w:val="18"/>
                <w:b w:val="1"/>
                <w:bCs w:val="1"/>
                <w:color w:val="auto"/>
              </w:rPr>
              <w:t>200%</w:t>
            </w:r>
          </w:p>
        </w:tc>
      </w:tr>
      <w:tr>
        <w:trPr>
          <w:trHeight w:val="263"/>
        </w:trPr>
        <w:tc>
          <w:tcPr>
            <w:tcW w:w="5440" w:type="dxa"/>
            <w:vAlign w:val="bottom"/>
            <w:tcBorders>
              <w:bottom w:val="single" w:sz="8" w:color="939598"/>
            </w:tcBorders>
          </w:tcPr>
          <w:p>
            <w:pPr>
              <w:ind w:left="20"/>
              <w:spacing w:after="0"/>
              <w:rPr>
                <w:sz w:val="20"/>
                <w:szCs w:val="20"/>
                <w:color w:val="auto"/>
              </w:rPr>
            </w:pPr>
            <w:r>
              <w:rPr>
                <w:rFonts w:ascii="Arial" w:cs="Arial" w:eastAsia="Arial" w:hAnsi="Arial"/>
                <w:sz w:val="18"/>
                <w:szCs w:val="18"/>
                <w:color w:val="auto"/>
              </w:rPr>
              <w:t>Equal to Median Company TSR</w:t>
            </w:r>
          </w:p>
        </w:tc>
        <w:tc>
          <w:tcPr>
            <w:tcW w:w="1820" w:type="dxa"/>
            <w:vAlign w:val="bottom"/>
            <w:tcBorders>
              <w:bottom w:val="single" w:sz="8" w:color="939598"/>
            </w:tcBorders>
          </w:tcPr>
          <w:p>
            <w:pPr>
              <w:jc w:val="right"/>
              <w:ind w:right="512"/>
              <w:spacing w:after="0"/>
              <w:rPr>
                <w:sz w:val="20"/>
                <w:szCs w:val="20"/>
                <w:color w:val="auto"/>
              </w:rPr>
            </w:pPr>
            <w:r>
              <w:rPr>
                <w:rFonts w:ascii="Arial" w:cs="Arial" w:eastAsia="Arial" w:hAnsi="Arial"/>
                <w:sz w:val="18"/>
                <w:szCs w:val="18"/>
                <w:b w:val="1"/>
                <w:bCs w:val="1"/>
                <w:color w:val="auto"/>
              </w:rPr>
              <w:t>100%</w:t>
            </w:r>
          </w:p>
        </w:tc>
      </w:tr>
      <w:tr>
        <w:trPr>
          <w:trHeight w:val="263"/>
        </w:trPr>
        <w:tc>
          <w:tcPr>
            <w:tcW w:w="5440" w:type="dxa"/>
            <w:vAlign w:val="bottom"/>
            <w:tcBorders>
              <w:bottom w:val="single" w:sz="8" w:color="0067B3"/>
            </w:tcBorders>
          </w:tcPr>
          <w:p>
            <w:pPr>
              <w:ind w:left="20"/>
              <w:spacing w:after="0"/>
              <w:rPr>
                <w:sz w:val="20"/>
                <w:szCs w:val="20"/>
                <w:color w:val="auto"/>
              </w:rPr>
            </w:pPr>
            <w:r>
              <w:rPr>
                <w:rFonts w:ascii="Arial" w:cs="Arial" w:eastAsia="Arial" w:hAnsi="Arial"/>
                <w:sz w:val="18"/>
                <w:szCs w:val="18"/>
                <w:color w:val="auto"/>
              </w:rPr>
              <w:t>Equal to or less than -66.67% below the median company TSR</w:t>
            </w:r>
          </w:p>
        </w:tc>
        <w:tc>
          <w:tcPr>
            <w:tcW w:w="1820" w:type="dxa"/>
            <w:vAlign w:val="bottom"/>
            <w:tcBorders>
              <w:bottom w:val="single" w:sz="8" w:color="0067B3"/>
            </w:tcBorders>
          </w:tcPr>
          <w:p>
            <w:pPr>
              <w:jc w:val="right"/>
              <w:ind w:right="512"/>
              <w:spacing w:after="0"/>
              <w:rPr>
                <w:sz w:val="20"/>
                <w:szCs w:val="20"/>
                <w:color w:val="auto"/>
              </w:rPr>
            </w:pPr>
            <w:r>
              <w:rPr>
                <w:rFonts w:ascii="Arial" w:cs="Arial" w:eastAsia="Arial" w:hAnsi="Arial"/>
                <w:sz w:val="18"/>
                <w:szCs w:val="18"/>
                <w:b w:val="1"/>
                <w:bCs w:val="1"/>
                <w:color w:val="auto"/>
              </w:rPr>
              <w:t>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Attainment within performance parameters was subject to interpolation on a linear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a three-year cumulative basis, our TSR performance was 59.55%, compared to the median comparative peer group TSR of 193.36%.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resulted in a 0% payout of the awards.</w:t>
      </w:r>
    </w:p>
    <w:p>
      <w:pPr>
        <w:spacing w:after="0" w:line="8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0067B3"/>
        </w:rPr>
        <w:t xml:space="preserve">Financial Metric PRSUs. </w:t>
      </w:r>
      <w:r>
        <w:rPr>
          <w:rFonts w:ascii="Arial" w:cs="Arial" w:eastAsia="Arial" w:hAnsi="Arial"/>
          <w:sz w:val="18"/>
          <w:szCs w:val="18"/>
          <w:color w:val="000000"/>
        </w:rPr>
        <w:t>Beginning in fiscal year 2019, the Compensation and Talent Committee has included Financial Metric PRSUs as</w:t>
      </w:r>
      <w:r>
        <w:rPr>
          <w:rFonts w:ascii="Arial" w:cs="Arial" w:eastAsia="Arial" w:hAnsi="Arial"/>
          <w:sz w:val="18"/>
          <w:szCs w:val="18"/>
          <w:b w:val="1"/>
          <w:bCs w:val="1"/>
          <w:color w:val="0067B3"/>
        </w:rPr>
        <w:t xml:space="preserve"> </w:t>
      </w:r>
      <w:r>
        <w:rPr>
          <w:rFonts w:ascii="Arial" w:cs="Arial" w:eastAsia="Arial" w:hAnsi="Arial"/>
          <w:sz w:val="18"/>
          <w:szCs w:val="18"/>
          <w:color w:val="000000"/>
        </w:rPr>
        <w:t>part of our annual equity program, based on non-GAAP operating profit in dollars, for our executive officers to incentivize long-term profitable growth measured over one-year, two-year cumulative and three-year cumulative time periods. Non-GAAP operating profit is equivalent to our Adjusted Operating Income as reported in our annual earnings release.</w:t>
      </w:r>
    </w:p>
    <w:p>
      <w:pPr>
        <w:spacing w:after="0" w:line="6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Compensation and Talent Committee selected this metric because it is a key measure that executives use both internally to drive business decisions and externally when speaking to investors about company results and progress against execution of the company’s strategy. The use of multiple performance periods incentivizes executives to achieve short-term objectives that support our long-term strategy, as well as to focus on long-term financial growth. For each award, the Compensation and Talent Committee reviews and approves challenging targets taking into consideration the company’s long-term strategic priorities and objectives.</w:t>
      </w:r>
    </w:p>
    <w:p>
      <w:pPr>
        <w:spacing w:after="0" w:line="6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Compensation and Talent Committee does not re-set these targets during the performance period, regardless of company performance or economic conditions.</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number of PRSUs an executive officer, including each NEO, may earn ranges from 0% to a maximum of 200% of the target amount based on the company’s performance against the targets of this metric. The Compensation and Talent Committee determines the level of achievement of each tranche of Financial Metric PRSUs after the completion of each of the one-year, two-year cumulative and three-year cumulative performance periods. After such determination, the number of shares of PRSUs earned by an executive officer remains subject to a time-based service requirement and will cliff vest on the third anniversary of the grant date, subject to the executive’s employment through such date.</w:t>
      </w:r>
    </w:p>
    <w:p>
      <w:pPr>
        <w:spacing w:after="0" w:line="8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December 2022, the Compensation and Talent Committee determined the level of achievement of the current Financial Metric PRSUs as follows:</w:t>
      </w:r>
    </w:p>
    <w:p>
      <w:pPr>
        <w:spacing w:after="0" w:line="46"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 xml:space="preserve">2020–2022 Financial Metric PRSUs: </w:t>
      </w:r>
      <w:r>
        <w:rPr>
          <w:rFonts w:ascii="Arial" w:cs="Arial" w:eastAsia="Arial" w:hAnsi="Arial"/>
          <w:sz w:val="18"/>
          <w:szCs w:val="18"/>
          <w:color w:val="auto"/>
        </w:rPr>
        <w:t>The targets were set at the beginning of fiscal year 2020, and the awards were granted in March 2020.</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third and final tranche of these awards, covering the three-year cumulative non-GAAP operating profit for fiscal year 2020 through fiscal year 2022, and determined that with a non-GAAP operating profit of $9.220 billion, which was above both the non-GAAP operating profit target attainment level of $6.966 billion and the non-GAAP operating profit maximum attainment level of $ 7.314 billion, the executives had achieved a 200% attainment level under this incentive compensation vehicle for that period. With all three measurement periods completed, and with the first and second tranches payable at 185.5% and 200%, respectively, the company’s executive officers will earn an aggregate of 195.1% of the total target number of PRSUs subject to this incentive compensation vehicle.</w:t>
      </w:r>
    </w:p>
    <w:p>
      <w:pPr>
        <w:spacing w:after="0" w:line="7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 xml:space="preserve">2021–2023 Financial Metric PRSUs: </w:t>
      </w:r>
      <w:r>
        <w:rPr>
          <w:rFonts w:ascii="Arial" w:cs="Arial" w:eastAsia="Arial" w:hAnsi="Arial"/>
          <w:sz w:val="18"/>
          <w:szCs w:val="18"/>
          <w:color w:val="auto"/>
        </w:rPr>
        <w:t>The targets were set at the beginning of fiscal year 2021, and the awards were granted in March 2021.</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second tranche of these awards (two-year cumulative time period), covering the non-GAAP operating profit for fiscal year 2021 and fiscal year 2022, and determined that with a non-GAAP operating profit of $6.986 billion, which was above both the non-GAAP operating profit target attainment level of $4.983 billion and the non-GAAP operating profit maximum attainment level of $ 5.232 billion, 200% of the target number of PRSUs subject to the second tranche were earned by the company’s executive officers under this incentive compensation vehicle for that period. There will be no vesting of these awards until the third and final year of the performance period is completed.</w:t>
      </w:r>
    </w:p>
    <w:p>
      <w:pPr>
        <w:spacing w:after="0" w:line="6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color w:val="auto"/>
        </w:rPr>
        <w:t xml:space="preserve">2022-2024 Financial Metric PRSUs: </w:t>
      </w:r>
      <w:r>
        <w:rPr>
          <w:rFonts w:ascii="Arial" w:cs="Arial" w:eastAsia="Arial" w:hAnsi="Arial"/>
          <w:sz w:val="18"/>
          <w:szCs w:val="18"/>
          <w:color w:val="auto"/>
        </w:rPr>
        <w:t>The targets were set at the beginning of fiscal year 2022, and the awards were granted in April 2022.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and Talent Committee reviewed the achievement of the first tranche of these awards, covering the one-year non-GAAP operating profit for fiscal year 2022, and determined that with a non-GAAP operating profit of $5.939 billion, which was above both the non-GAAP operating profit target attainment level of $4.757 billion and the non-GAAP operating profit maximum attainment level of $5.233 billion, 200% of the target number of PRSUs subject to the first tranche were earned by the company’s executive officers under this incentive compensation vehicle for that period. There will be no vesting of these awards until the third and final year of the performance period is completed.</w:t>
      </w:r>
    </w:p>
    <w:p>
      <w:pPr>
        <w:sectPr>
          <w:pgSz w:w="11900" w:h="16838" w:orient="portrait"/>
          <w:cols w:equalWidth="0" w:num="1">
            <w:col w:w="11220"/>
          </w:cols>
          <w:pgMar w:left="320" w:top="1174" w:right="359" w:bottom="854" w:gutter="0" w:footer="0" w:header="0"/>
        </w:sectPr>
      </w:pPr>
    </w:p>
    <w:p>
      <w:pPr>
        <w:spacing w:after="0" w:line="200" w:lineRule="exact"/>
        <w:rPr>
          <w:sz w:val="20"/>
          <w:szCs w:val="20"/>
          <w:color w:val="auto"/>
        </w:rPr>
      </w:pPr>
    </w:p>
    <w:p>
      <w:pPr>
        <w:spacing w:after="0" w:line="289" w:lineRule="exact"/>
        <w:rPr>
          <w:sz w:val="20"/>
          <w:szCs w:val="20"/>
          <w:color w:val="auto"/>
        </w:rPr>
      </w:pPr>
    </w:p>
    <w:p>
      <w:pPr>
        <w:ind w:left="480" w:hanging="454"/>
        <w:spacing w:after="0"/>
        <w:tabs>
          <w:tab w:leader="none" w:pos="480" w:val="left"/>
        </w:tabs>
        <w:numPr>
          <w:ilvl w:val="0"/>
          <w:numId w:val="84"/>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20"/>
          </w:cols>
          <w:pgMar w:left="320" w:top="1174" w:right="359" w:bottom="854"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0067B3"/>
        </w:rPr>
        <w:t>Time-Based RSUs</w:t>
      </w:r>
    </w:p>
    <w:p>
      <w:pPr>
        <w:spacing w:after="0" w:line="11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 volatile stock market, time-based RSUs continue to provide incentive and retentive value when stock options may not, which the Compensation and Talent Committee believes to be useful in retaining talented executives and employees in uncertain economic times. In this way, we use time-based RSUs as a retention tool and to enable our executive officers to accumulate stock ownership in the company. As part of the annual compensation program, time-based RSUs were granted to our NEOs in April 2022, and such awards will vest in equal increments on the first, second, third and fourth anniversaries of March 15,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66BA"/>
        </w:rPr>
        <w:t>Stock Options</w:t>
      </w:r>
    </w:p>
    <w:p>
      <w:pPr>
        <w:spacing w:after="0" w:line="104"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 xml:space="preserve">Prior to fiscal year 2022, we used stock options as a way to reward long-term value creation. Stock options granted to our executive officers in prior years, including our NEOs, vest in accordance with the vesting dates as described in footnote 1 to the </w:t>
      </w:r>
      <w:r>
        <w:rPr>
          <w:rFonts w:ascii="Arial" w:cs="Arial" w:eastAsia="Arial" w:hAnsi="Arial"/>
          <w:sz w:val="18"/>
          <w:szCs w:val="18"/>
          <w:i w:val="1"/>
          <w:iCs w:val="1"/>
          <w:color w:val="auto"/>
        </w:rPr>
        <w:t>Outstanding Equity Awards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Fiscal Year-End 2022 </w:t>
      </w:r>
      <w:r>
        <w:rPr>
          <w:rFonts w:ascii="Arial" w:cs="Arial" w:eastAsia="Arial" w:hAnsi="Arial"/>
          <w:sz w:val="18"/>
          <w:szCs w:val="18"/>
          <w:color w:val="auto"/>
        </w:rPr>
        <w:t>table and are subject to a 10-year term.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New-Hire Equity Awards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Mr. Bryant joined ADI in March 2022. For Mr. Bryant’s new-hire equity awards, the Compensation and Talent Committee considered market practices for such awards, the amount of equity that Mr. Bryant was forfeiting as a result of leaving his former employer and the importance of retaining an individual of the caliber and with the experience and skills that Mr. Bryant would bring to ADI. Mr. Bryant was granted time-based RSUs on March 15, 2022 that vest in equal increments on the first, second, third and fourth anniversaries of March 15, 2022. Mr. Bryant was also granted time-based RSUs on March 15, 2022 that vest in full on the third anniversary of the grant date.</w:t>
      </w:r>
    </w:p>
    <w:p>
      <w:pPr>
        <w:spacing w:after="0" w:line="6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Compensation and Talent Committee also granted Mr. Bryant a PRSU award that vests over a four-year performance period from March 15, 2022 to March 15, 2026 subject to attainment of certain share price thresholds as indicated in the table below. The number of shares subject to the PRSU award that may be earned will range from 0% to a maximum of 150% of the target amount.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Target Share Price Threshold</w:t>
            </w:r>
          </w:p>
        </w:tc>
        <w:tc>
          <w:tcPr>
            <w:tcW w:w="7280" w:type="dxa"/>
            <w:vAlign w:val="bottom"/>
            <w:tcBorders>
              <w:bottom w:val="single" w:sz="8" w:color="auto"/>
            </w:tcBorders>
            <w:shd w:val="clear" w:color="auto" w:fill="0067B3"/>
          </w:tcPr>
          <w:p>
            <w:pPr>
              <w:ind w:left="1680"/>
              <w:spacing w:after="0"/>
              <w:rPr>
                <w:sz w:val="20"/>
                <w:szCs w:val="20"/>
                <w:color w:val="auto"/>
              </w:rPr>
            </w:pPr>
            <w:r>
              <w:rPr>
                <w:rFonts w:ascii="Arial" w:cs="Arial" w:eastAsia="Arial" w:hAnsi="Arial"/>
                <w:sz w:val="16"/>
                <w:szCs w:val="16"/>
                <w:b w:val="1"/>
                <w:bCs w:val="1"/>
                <w:color w:val="FFFFFF"/>
              </w:rPr>
              <w:t>% of Target Shares that Vests Upon Achievement</w:t>
            </w:r>
          </w:p>
        </w:tc>
      </w:tr>
      <w:tr>
        <w:trPr>
          <w:trHeight w:val="244"/>
        </w:trPr>
        <w:tc>
          <w:tcPr>
            <w:tcW w:w="3960" w:type="dxa"/>
            <w:vAlign w:val="bottom"/>
            <w:tcBorders>
              <w:bottom w:val="single" w:sz="8" w:color="D0D7ED"/>
            </w:tcBorders>
            <w:shd w:val="clear" w:color="auto" w:fill="D0D7ED"/>
          </w:tcPr>
          <w:p>
            <w:pPr>
              <w:ind w:left="20"/>
              <w:spacing w:after="0"/>
              <w:rPr>
                <w:sz w:val="20"/>
                <w:szCs w:val="20"/>
                <w:color w:val="auto"/>
              </w:rPr>
            </w:pPr>
            <w:r>
              <w:rPr>
                <w:rFonts w:ascii="Arial" w:cs="Arial" w:eastAsia="Arial" w:hAnsi="Arial"/>
                <w:sz w:val="18"/>
                <w:szCs w:val="18"/>
                <w:color w:val="auto"/>
              </w:rPr>
              <w:t>$200 per share</w:t>
            </w:r>
          </w:p>
        </w:tc>
        <w:tc>
          <w:tcPr>
            <w:tcW w:w="7280" w:type="dxa"/>
            <w:vAlign w:val="bottom"/>
            <w:tcBorders>
              <w:bottom w:val="single" w:sz="8" w:color="D0D7ED"/>
            </w:tcBorders>
            <w:shd w:val="clear" w:color="auto" w:fill="D0D7ED"/>
          </w:tcPr>
          <w:p>
            <w:pPr>
              <w:jc w:val="right"/>
              <w:ind w:right="5073"/>
              <w:spacing w:after="0"/>
              <w:rPr>
                <w:sz w:val="20"/>
                <w:szCs w:val="20"/>
                <w:color w:val="auto"/>
              </w:rPr>
            </w:pPr>
            <w:r>
              <w:rPr>
                <w:rFonts w:ascii="Arial" w:cs="Arial" w:eastAsia="Arial" w:hAnsi="Arial"/>
                <w:sz w:val="18"/>
                <w:szCs w:val="18"/>
                <w:color w:val="auto"/>
              </w:rPr>
              <w:t>75%</w:t>
            </w:r>
          </w:p>
        </w:tc>
      </w:tr>
      <w:tr>
        <w:trPr>
          <w:trHeight w:val="247"/>
        </w:trPr>
        <w:tc>
          <w:tcPr>
            <w:tcW w:w="3960" w:type="dxa"/>
            <w:vAlign w:val="bottom"/>
          </w:tcPr>
          <w:p>
            <w:pPr>
              <w:ind w:left="20"/>
              <w:spacing w:after="0"/>
              <w:rPr>
                <w:sz w:val="20"/>
                <w:szCs w:val="20"/>
                <w:color w:val="auto"/>
              </w:rPr>
            </w:pPr>
            <w:r>
              <w:rPr>
                <w:rFonts w:ascii="Arial" w:cs="Arial" w:eastAsia="Arial" w:hAnsi="Arial"/>
                <w:sz w:val="18"/>
                <w:szCs w:val="18"/>
                <w:color w:val="auto"/>
              </w:rPr>
              <w:t>$220 per share</w:t>
            </w:r>
          </w:p>
        </w:tc>
        <w:tc>
          <w:tcPr>
            <w:tcW w:w="7280" w:type="dxa"/>
            <w:vAlign w:val="bottom"/>
          </w:tcPr>
          <w:p>
            <w:pPr>
              <w:ind w:left="1680"/>
              <w:spacing w:after="0"/>
              <w:rPr>
                <w:sz w:val="20"/>
                <w:szCs w:val="20"/>
                <w:color w:val="auto"/>
              </w:rPr>
            </w:pPr>
            <w:r>
              <w:rPr>
                <w:rFonts w:ascii="Arial" w:cs="Arial" w:eastAsia="Arial" w:hAnsi="Arial"/>
                <w:sz w:val="18"/>
                <w:szCs w:val="18"/>
                <w:color w:val="auto"/>
              </w:rPr>
              <w:t>150% (inclusive of 75% in line above)</w:t>
            </w:r>
          </w:p>
        </w:tc>
      </w:tr>
      <w:tr>
        <w:trPr>
          <w:trHeight w:val="23"/>
        </w:trPr>
        <w:tc>
          <w:tcPr>
            <w:tcW w:w="3960" w:type="dxa"/>
            <w:vAlign w:val="bottom"/>
            <w:tcBorders>
              <w:bottom w:val="single" w:sz="8" w:color="0067B3"/>
            </w:tcBorders>
          </w:tcPr>
          <w:p>
            <w:pPr>
              <w:spacing w:after="0"/>
              <w:rPr>
                <w:sz w:val="2"/>
                <w:szCs w:val="2"/>
                <w:color w:val="auto"/>
              </w:rPr>
            </w:pPr>
          </w:p>
        </w:tc>
        <w:tc>
          <w:tcPr>
            <w:tcW w:w="728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given target price threshold will be met, and the shares underlying the award associated with such threshold will vest, when our average closing stock price over 70 consecutive trading days is equal to or exceeds the applicable threshold. There is no linear interpolation between target price thresholds and a threshold may be met only once.</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Compensation and Talent Committee structured this award to align with our CEO’s Performance Stock Option Award as described in our 2022 Proxy Statement under the section </w:t>
      </w:r>
      <w:r>
        <w:rPr>
          <w:rFonts w:ascii="Arial" w:cs="Arial" w:eastAsia="Arial" w:hAnsi="Arial"/>
          <w:sz w:val="18"/>
          <w:szCs w:val="18"/>
          <w:i w:val="1"/>
          <w:iCs w:val="1"/>
          <w:color w:val="auto"/>
        </w:rPr>
        <w:t>Special Equity Awards</w:t>
      </w:r>
      <w:r>
        <w:rPr>
          <w:rFonts w:ascii="Arial" w:cs="Arial" w:eastAsia="Arial" w:hAnsi="Arial"/>
          <w:sz w:val="18"/>
          <w:szCs w:val="18"/>
          <w:color w:val="auto"/>
        </w:rPr>
        <w:t>. The Compensation and Talent Committee desired to grant Mr. Bryant an award that would emphasize sustainable shareholder value creation over time and would align Mr. Bryant’s goals with those of our CEO.</w:t>
      </w:r>
    </w:p>
    <w:p>
      <w:pPr>
        <w:spacing w:after="0" w:line="7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Compensation and Talent Committee also determined that the target share price thresholds would be meaningful but challenging price thresholds given the strategic plan of the company and the share price at the time the award was approved by the Compensation and Talent Committee of $ 146.28. Specifically, to achieve a minimum payout of the award of 75% of target shares, ADI would have to achieve a price of $200 per share for 70 consecutive days, representing a share price increase of nearly 37% from the price at the time the award was approved and to achieve a maximum payout of the award of an additional 75% of target shares (for a total of 150% of target shares), ADI would have to achieve a share price of $ 220 per share for 70 consecutive days, representing an increase of over 50% from the price at the time the award was approved. Based on the difficulty of achieving the share price thresholds and that such price thresholds would represent a significant increase in shareholder value, the Compensation and Talent Committee determined that the award would align the interests of Mr. Bryant to those of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 Granted in Fiscal Year 2022</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fiscal year 2022, the Compensation and Talent Committee granted equity awards to our NEOs as detailed in the table below as part of our annual compensation program. The values below are the target grant values approved by the Compensation and Talent Committee, which are then converted into a number of RSUs or a number of target PRSUs using an approved formula based on stock price. For the accounting grant date fair value of such awards,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shd w:val="clear" w:color="auto" w:fill="0067B3"/>
          </w:tcPr>
          <w:p>
            <w:pPr>
              <w:spacing w:after="0"/>
              <w:rPr>
                <w:sz w:val="17"/>
                <w:szCs w:val="17"/>
                <w:color w:val="auto"/>
              </w:rPr>
            </w:pPr>
          </w:p>
        </w:tc>
        <w:tc>
          <w:tcPr>
            <w:tcW w:w="326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Time-</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Relative</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Financial</w:t>
            </w:r>
          </w:p>
        </w:tc>
        <w:tc>
          <w:tcPr>
            <w:tcW w:w="240" w:type="dxa"/>
            <w:vAlign w:val="bottom"/>
            <w:shd w:val="clear" w:color="auto" w:fill="0067B3"/>
          </w:tcPr>
          <w:p>
            <w:pPr>
              <w:spacing w:after="0"/>
              <w:rPr>
                <w:sz w:val="17"/>
                <w:szCs w:val="17"/>
                <w:color w:val="auto"/>
              </w:rPr>
            </w:pPr>
          </w:p>
        </w:tc>
        <w:tc>
          <w:tcPr>
            <w:tcW w:w="980" w:type="dxa"/>
            <w:vAlign w:val="bottom"/>
            <w:shd w:val="clear" w:color="auto" w:fill="0067B3"/>
          </w:tcPr>
          <w:p>
            <w:pPr>
              <w:spacing w:after="0"/>
              <w:rPr>
                <w:sz w:val="17"/>
                <w:szCs w:val="17"/>
                <w:color w:val="auto"/>
              </w:rPr>
            </w:pPr>
          </w:p>
        </w:tc>
      </w:tr>
      <w:tr>
        <w:trPr>
          <w:trHeight w:val="189"/>
        </w:trPr>
        <w:tc>
          <w:tcPr>
            <w:tcW w:w="4840" w:type="dxa"/>
            <w:vAlign w:val="bottom"/>
            <w:shd w:val="clear" w:color="auto" w:fill="0067B3"/>
          </w:tcPr>
          <w:p>
            <w:pPr>
              <w:spacing w:after="0"/>
              <w:rPr>
                <w:sz w:val="16"/>
                <w:szCs w:val="16"/>
                <w:color w:val="auto"/>
              </w:rPr>
            </w:pPr>
          </w:p>
        </w:tc>
        <w:tc>
          <w:tcPr>
            <w:tcW w:w="3260" w:type="dxa"/>
            <w:vAlign w:val="bottom"/>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based</w:t>
            </w:r>
          </w:p>
        </w:tc>
        <w:tc>
          <w:tcPr>
            <w:tcW w:w="940" w:type="dxa"/>
            <w:vAlign w:val="bottom"/>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TSR</w:t>
            </w:r>
          </w:p>
        </w:tc>
        <w:tc>
          <w:tcPr>
            <w:tcW w:w="98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Metric</w:t>
            </w: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w w:val="97"/>
              </w:rPr>
              <w:t>Target Grant</w:t>
            </w:r>
          </w:p>
        </w:tc>
      </w:tr>
      <w:tr>
        <w:trPr>
          <w:trHeight w:val="240"/>
        </w:trPr>
        <w:tc>
          <w:tcPr>
            <w:tcW w:w="484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260" w:type="dxa"/>
            <w:vAlign w:val="bottom"/>
            <w:tcBorders>
              <w:bottom w:val="single" w:sz="8" w:color="auto"/>
            </w:tcBorders>
            <w:shd w:val="clear" w:color="auto" w:fill="0067B3"/>
          </w:tcPr>
          <w:p>
            <w:pPr>
              <w:jc w:val="right"/>
              <w:ind w:right="93"/>
              <w:spacing w:after="0"/>
              <w:rPr>
                <w:sz w:val="20"/>
                <w:szCs w:val="20"/>
                <w:color w:val="auto"/>
              </w:rPr>
            </w:pPr>
            <w:r>
              <w:rPr>
                <w:rFonts w:ascii="Arial" w:cs="Arial" w:eastAsia="Arial" w:hAnsi="Arial"/>
                <w:sz w:val="16"/>
                <w:szCs w:val="16"/>
                <w:b w:val="1"/>
                <w:bCs w:val="1"/>
                <w:color w:val="FFFFFF"/>
              </w:rPr>
              <w:t>RSUs</w:t>
            </w:r>
          </w:p>
        </w:tc>
        <w:tc>
          <w:tcPr>
            <w:tcW w:w="940" w:type="dxa"/>
            <w:vAlign w:val="bottom"/>
            <w:tcBorders>
              <w:bottom w:val="single" w:sz="8" w:color="auto"/>
            </w:tcBorders>
            <w:shd w:val="clear" w:color="auto" w:fill="0067B3"/>
          </w:tcPr>
          <w:p>
            <w:pPr>
              <w:jc w:val="right"/>
              <w:ind w:right="73"/>
              <w:spacing w:after="0"/>
              <w:rPr>
                <w:sz w:val="20"/>
                <w:szCs w:val="20"/>
                <w:color w:val="auto"/>
              </w:rPr>
            </w:pPr>
            <w:r>
              <w:rPr>
                <w:rFonts w:ascii="Arial" w:cs="Arial" w:eastAsia="Arial" w:hAnsi="Arial"/>
                <w:sz w:val="16"/>
                <w:szCs w:val="16"/>
                <w:b w:val="1"/>
                <w:bCs w:val="1"/>
                <w:color w:val="FFFFFF"/>
              </w:rPr>
              <w:t>PRSUs</w:t>
            </w:r>
          </w:p>
        </w:tc>
        <w:tc>
          <w:tcPr>
            <w:tcW w:w="980" w:type="dxa"/>
            <w:vAlign w:val="bottom"/>
            <w:tcBorders>
              <w:bottom w:val="single" w:sz="8" w:color="auto"/>
            </w:tcBorders>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PRSUs</w:t>
            </w:r>
          </w:p>
        </w:tc>
        <w:tc>
          <w:tcPr>
            <w:tcW w:w="240" w:type="dxa"/>
            <w:vAlign w:val="bottom"/>
            <w:tcBorders>
              <w:bottom w:val="single" w:sz="8" w:color="auto"/>
            </w:tcBorders>
            <w:shd w:val="clear" w:color="auto" w:fill="0067B3"/>
          </w:tcPr>
          <w:p>
            <w:pPr>
              <w:spacing w:after="0"/>
              <w:rPr>
                <w:sz w:val="20"/>
                <w:szCs w:val="20"/>
                <w:color w:val="auto"/>
              </w:rPr>
            </w:pPr>
          </w:p>
        </w:tc>
        <w:tc>
          <w:tcPr>
            <w:tcW w:w="9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267"/>
        </w:trPr>
        <w:tc>
          <w:tcPr>
            <w:tcW w:w="48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326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33,395</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21,230</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33,708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15,000,000</w:t>
            </w: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p>
        </w:tc>
        <w:tc>
          <w:tcPr>
            <w:tcW w:w="3260" w:type="dxa"/>
            <w:vAlign w:val="bottom"/>
          </w:tcPr>
          <w:p>
            <w:pPr>
              <w:jc w:val="right"/>
              <w:ind w:right="153"/>
              <w:spacing w:after="0"/>
              <w:rPr>
                <w:sz w:val="20"/>
                <w:szCs w:val="20"/>
                <w:color w:val="auto"/>
              </w:rPr>
            </w:pPr>
            <w:r>
              <w:rPr>
                <w:rFonts w:ascii="Arial" w:cs="Arial" w:eastAsia="Arial" w:hAnsi="Arial"/>
                <w:sz w:val="18"/>
                <w:szCs w:val="18"/>
                <w:color w:val="auto"/>
              </w:rPr>
              <w:t>12,245</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7,785</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12,360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r>
      <w:tr>
        <w:trPr>
          <w:trHeight w:val="278"/>
        </w:trPr>
        <w:tc>
          <w:tcPr>
            <w:tcW w:w="48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r>
              <w:rPr>
                <w:rFonts w:ascii="Arial" w:cs="Arial" w:eastAsia="Arial" w:hAnsi="Arial"/>
                <w:sz w:val="23"/>
                <w:szCs w:val="23"/>
                <w:b w:val="1"/>
                <w:bCs w:val="1"/>
                <w:color w:val="0067B3"/>
                <w:vertAlign w:val="superscript"/>
              </w:rPr>
              <w:t>(1)</w:t>
            </w:r>
          </w:p>
        </w:tc>
        <w:tc>
          <w:tcPr>
            <w:tcW w:w="3260" w:type="dxa"/>
            <w:vAlign w:val="bottom"/>
            <w:shd w:val="clear" w:color="auto" w:fill="E2E6F4"/>
          </w:tcPr>
          <w:p>
            <w:pPr>
              <w:jc w:val="right"/>
              <w:ind w:right="153"/>
              <w:spacing w:after="0"/>
              <w:rPr>
                <w:sz w:val="20"/>
                <w:szCs w:val="20"/>
                <w:color w:val="auto"/>
              </w:rPr>
            </w:pPr>
            <w:r>
              <w:rPr>
                <w:rFonts w:ascii="Arial" w:cs="Arial" w:eastAsia="Arial" w:hAnsi="Arial"/>
                <w:sz w:val="18"/>
                <w:szCs w:val="18"/>
                <w:color w:val="auto"/>
              </w:rPr>
              <w:t>16,698</w:t>
            </w:r>
          </w:p>
        </w:tc>
        <w:tc>
          <w:tcPr>
            <w:tcW w:w="940" w:type="dxa"/>
            <w:vAlign w:val="bottom"/>
            <w:shd w:val="clear" w:color="auto" w:fill="E2E6F4"/>
          </w:tcPr>
          <w:p>
            <w:pPr>
              <w:jc w:val="right"/>
              <w:ind w:right="133"/>
              <w:spacing w:after="0"/>
              <w:rPr>
                <w:sz w:val="20"/>
                <w:szCs w:val="20"/>
                <w:color w:val="auto"/>
              </w:rPr>
            </w:pPr>
            <w:r>
              <w:rPr>
                <w:rFonts w:ascii="Arial" w:cs="Arial" w:eastAsia="Arial" w:hAnsi="Arial"/>
                <w:sz w:val="18"/>
                <w:szCs w:val="18"/>
                <w:color w:val="auto"/>
              </w:rPr>
              <w:t>10,615</w:t>
            </w:r>
          </w:p>
        </w:tc>
        <w:tc>
          <w:tcPr>
            <w:tcW w:w="98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16,854</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7,500,000</w:t>
            </w: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3260" w:type="dxa"/>
            <w:vAlign w:val="bottom"/>
          </w:tcPr>
          <w:p>
            <w:pPr>
              <w:jc w:val="right"/>
              <w:ind w:right="153"/>
              <w:spacing w:after="0"/>
              <w:rPr>
                <w:sz w:val="20"/>
                <w:szCs w:val="20"/>
                <w:color w:val="auto"/>
              </w:rPr>
            </w:pPr>
            <w:r>
              <w:rPr>
                <w:rFonts w:ascii="Arial" w:cs="Arial" w:eastAsia="Arial" w:hAnsi="Arial"/>
                <w:sz w:val="18"/>
                <w:szCs w:val="18"/>
                <w:color w:val="auto"/>
              </w:rPr>
              <w:t>11,132</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7,077</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11,236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71"/>
        </w:trPr>
        <w:tc>
          <w:tcPr>
            <w:tcW w:w="484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3260" w:type="dxa"/>
            <w:vAlign w:val="bottom"/>
            <w:tcBorders>
              <w:bottom w:val="single" w:sz="8" w:color="0067B3"/>
            </w:tcBorders>
            <w:shd w:val="clear" w:color="auto" w:fill="E2E6F4"/>
          </w:tcPr>
          <w:p>
            <w:pPr>
              <w:jc w:val="right"/>
              <w:ind w:right="153"/>
              <w:spacing w:after="0"/>
              <w:rPr>
                <w:sz w:val="20"/>
                <w:szCs w:val="20"/>
                <w:color w:val="auto"/>
              </w:rPr>
            </w:pPr>
            <w:r>
              <w:rPr>
                <w:rFonts w:ascii="Arial" w:cs="Arial" w:eastAsia="Arial" w:hAnsi="Arial"/>
                <w:sz w:val="18"/>
                <w:szCs w:val="18"/>
                <w:color w:val="auto"/>
              </w:rPr>
              <w:t>10,464</w:t>
            </w:r>
          </w:p>
        </w:tc>
        <w:tc>
          <w:tcPr>
            <w:tcW w:w="940" w:type="dxa"/>
            <w:vAlign w:val="bottom"/>
            <w:tcBorders>
              <w:bottom w:val="single" w:sz="8" w:color="0067B3"/>
            </w:tcBorders>
            <w:shd w:val="clear" w:color="auto" w:fill="E2E6F4"/>
          </w:tcPr>
          <w:p>
            <w:pPr>
              <w:jc w:val="right"/>
              <w:ind w:right="133"/>
              <w:spacing w:after="0"/>
              <w:rPr>
                <w:sz w:val="20"/>
                <w:szCs w:val="20"/>
                <w:color w:val="auto"/>
              </w:rPr>
            </w:pPr>
            <w:r>
              <w:rPr>
                <w:rFonts w:ascii="Arial" w:cs="Arial" w:eastAsia="Arial" w:hAnsi="Arial"/>
                <w:sz w:val="18"/>
                <w:szCs w:val="18"/>
                <w:color w:val="auto"/>
              </w:rPr>
              <w:t>6,652</w:t>
            </w:r>
          </w:p>
        </w:tc>
        <w:tc>
          <w:tcPr>
            <w:tcW w:w="98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10,562</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4,700,000</w:t>
            </w:r>
          </w:p>
        </w:tc>
      </w:tr>
    </w:tbl>
    <w:p>
      <w:pPr>
        <w:spacing w:after="0" w:line="162"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Mr. Bryant joined ADI in March 2022.</w:t>
      </w:r>
    </w:p>
    <w:p>
      <w:pPr>
        <w:spacing w:after="0" w:line="30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63</w:t>
      </w:r>
    </w:p>
    <w:p>
      <w:pPr>
        <w:sectPr>
          <w:pgSz w:w="11900" w:h="16838" w:orient="portrait"/>
          <w:cols w:equalWidth="0" w:num="1">
            <w:col w:w="11240"/>
          </w:cols>
          <w:pgMar w:left="320" w:top="116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In addition, in March 2022, Mr. Bryant was awarded the following new-hire equity awards: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shd w:val="clear" w:color="auto" w:fill="0067B3"/>
          </w:tcPr>
          <w:p>
            <w:pPr>
              <w:spacing w:after="0"/>
              <w:rPr>
                <w:sz w:val="18"/>
                <w:szCs w:val="18"/>
                <w:color w:val="auto"/>
              </w:rPr>
            </w:pPr>
          </w:p>
        </w:tc>
        <w:tc>
          <w:tcPr>
            <w:tcW w:w="3160" w:type="dxa"/>
            <w:vAlign w:val="bottom"/>
            <w:shd w:val="clear" w:color="auto" w:fill="0067B3"/>
          </w:tcPr>
          <w:p>
            <w:pPr>
              <w:jc w:val="right"/>
              <w:ind w:right="77"/>
              <w:spacing w:after="0"/>
              <w:rPr>
                <w:sz w:val="20"/>
                <w:szCs w:val="20"/>
                <w:color w:val="auto"/>
              </w:rPr>
            </w:pPr>
            <w:r>
              <w:rPr>
                <w:rFonts w:ascii="Arial" w:cs="Arial" w:eastAsia="Arial" w:hAnsi="Arial"/>
                <w:sz w:val="16"/>
                <w:szCs w:val="16"/>
                <w:b w:val="1"/>
                <w:bCs w:val="1"/>
                <w:color w:val="FFFFFF"/>
              </w:rPr>
              <w:t>Time-</w:t>
            </w:r>
          </w:p>
        </w:tc>
        <w:tc>
          <w:tcPr>
            <w:tcW w:w="940" w:type="dxa"/>
            <w:vAlign w:val="bottom"/>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Relative</w:t>
            </w:r>
          </w:p>
        </w:tc>
        <w:tc>
          <w:tcPr>
            <w:tcW w:w="960" w:type="dxa"/>
            <w:vAlign w:val="bottom"/>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Financial</w:t>
            </w:r>
          </w:p>
        </w:tc>
        <w:tc>
          <w:tcPr>
            <w:tcW w:w="1220" w:type="dxa"/>
            <w:vAlign w:val="bottom"/>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EVP</w:t>
            </w:r>
          </w:p>
        </w:tc>
        <w:tc>
          <w:tcPr>
            <w:tcW w:w="1220" w:type="dxa"/>
            <w:vAlign w:val="bottom"/>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Target</w:t>
            </w:r>
          </w:p>
        </w:tc>
        <w:tc>
          <w:tcPr>
            <w:tcW w:w="0" w:type="dxa"/>
            <w:vAlign w:val="bottom"/>
          </w:tcPr>
          <w:p>
            <w:pPr>
              <w:spacing w:after="0"/>
              <w:rPr>
                <w:sz w:val="1"/>
                <w:szCs w:val="1"/>
                <w:color w:val="auto"/>
              </w:rPr>
            </w:pPr>
          </w:p>
        </w:tc>
      </w:tr>
      <w:tr>
        <w:trPr>
          <w:trHeight w:val="189"/>
        </w:trPr>
        <w:tc>
          <w:tcPr>
            <w:tcW w:w="3740" w:type="dxa"/>
            <w:vAlign w:val="bottom"/>
            <w:shd w:val="clear" w:color="auto" w:fill="0067B3"/>
          </w:tcPr>
          <w:p>
            <w:pPr>
              <w:spacing w:after="0"/>
              <w:rPr>
                <w:sz w:val="16"/>
                <w:szCs w:val="16"/>
                <w:color w:val="auto"/>
              </w:rPr>
            </w:pPr>
          </w:p>
        </w:tc>
        <w:tc>
          <w:tcPr>
            <w:tcW w:w="3160" w:type="dxa"/>
            <w:vAlign w:val="bottom"/>
            <w:shd w:val="clear" w:color="auto" w:fill="0067B3"/>
          </w:tcPr>
          <w:p>
            <w:pPr>
              <w:jc w:val="right"/>
              <w:ind w:right="77"/>
              <w:spacing w:after="0"/>
              <w:rPr>
                <w:sz w:val="20"/>
                <w:szCs w:val="20"/>
                <w:color w:val="auto"/>
              </w:rPr>
            </w:pPr>
            <w:r>
              <w:rPr>
                <w:rFonts w:ascii="Arial" w:cs="Arial" w:eastAsia="Arial" w:hAnsi="Arial"/>
                <w:sz w:val="16"/>
                <w:szCs w:val="16"/>
                <w:b w:val="1"/>
                <w:bCs w:val="1"/>
                <w:color w:val="FFFFFF"/>
              </w:rPr>
              <w:t>based</w:t>
            </w:r>
          </w:p>
        </w:tc>
        <w:tc>
          <w:tcPr>
            <w:tcW w:w="940" w:type="dxa"/>
            <w:vAlign w:val="bottom"/>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TSR</w:t>
            </w:r>
          </w:p>
        </w:tc>
        <w:tc>
          <w:tcPr>
            <w:tcW w:w="960" w:type="dxa"/>
            <w:vAlign w:val="bottom"/>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Metric</w:t>
            </w:r>
          </w:p>
        </w:tc>
        <w:tc>
          <w:tcPr>
            <w:tcW w:w="1220" w:type="dxa"/>
            <w:vAlign w:val="bottom"/>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Performance</w:t>
            </w:r>
          </w:p>
        </w:tc>
        <w:tc>
          <w:tcPr>
            <w:tcW w:w="1220" w:type="dxa"/>
            <w:vAlign w:val="bottom"/>
            <w:vMerge w:val="continue"/>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4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160" w:type="dxa"/>
            <w:vAlign w:val="bottom"/>
            <w:tcBorders>
              <w:bottom w:val="single" w:sz="8" w:color="auto"/>
            </w:tcBorders>
            <w:shd w:val="clear" w:color="auto" w:fill="0067B3"/>
          </w:tcPr>
          <w:p>
            <w:pPr>
              <w:jc w:val="right"/>
              <w:ind w:right="77"/>
              <w:spacing w:after="0"/>
              <w:rPr>
                <w:sz w:val="20"/>
                <w:szCs w:val="20"/>
                <w:color w:val="auto"/>
              </w:rPr>
            </w:pPr>
            <w:r>
              <w:rPr>
                <w:rFonts w:ascii="Arial" w:cs="Arial" w:eastAsia="Arial" w:hAnsi="Arial"/>
                <w:sz w:val="16"/>
                <w:szCs w:val="16"/>
                <w:b w:val="1"/>
                <w:bCs w:val="1"/>
                <w:color w:val="FFFFFF"/>
              </w:rPr>
              <w:t>RSUs</w:t>
            </w:r>
          </w:p>
        </w:tc>
        <w:tc>
          <w:tcPr>
            <w:tcW w:w="940" w:type="dxa"/>
            <w:vAlign w:val="bottom"/>
            <w:tcBorders>
              <w:bottom w:val="single" w:sz="8" w:color="auto"/>
            </w:tcBorders>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PRSUs</w:t>
            </w:r>
          </w:p>
        </w:tc>
        <w:tc>
          <w:tcPr>
            <w:tcW w:w="960" w:type="dxa"/>
            <w:vAlign w:val="bottom"/>
            <w:tcBorders>
              <w:bottom w:val="single" w:sz="8" w:color="auto"/>
            </w:tcBorders>
            <w:shd w:val="clear" w:color="auto" w:fill="0067B3"/>
          </w:tcPr>
          <w:p>
            <w:pPr>
              <w:jc w:val="right"/>
              <w:ind w:right="17"/>
              <w:spacing w:after="0"/>
              <w:rPr>
                <w:sz w:val="20"/>
                <w:szCs w:val="20"/>
                <w:color w:val="auto"/>
              </w:rPr>
            </w:pPr>
            <w:r>
              <w:rPr>
                <w:rFonts w:ascii="Arial" w:cs="Arial" w:eastAsia="Arial" w:hAnsi="Arial"/>
                <w:sz w:val="16"/>
                <w:szCs w:val="16"/>
                <w:b w:val="1"/>
                <w:bCs w:val="1"/>
                <w:color w:val="FFFFFF"/>
              </w:rPr>
              <w:t>PRSUs</w:t>
            </w:r>
          </w:p>
        </w:tc>
        <w:tc>
          <w:tcPr>
            <w:tcW w:w="1220" w:type="dxa"/>
            <w:vAlign w:val="bottom"/>
            <w:tcBorders>
              <w:bottom w:val="single" w:sz="8" w:color="auto"/>
            </w:tcBorders>
            <w:shd w:val="clear" w:color="auto" w:fill="0067B3"/>
          </w:tcPr>
          <w:p>
            <w:pPr>
              <w:jc w:val="right"/>
              <w:ind w:right="57"/>
              <w:spacing w:after="0"/>
              <w:rPr>
                <w:sz w:val="20"/>
                <w:szCs w:val="20"/>
                <w:color w:val="auto"/>
              </w:rPr>
            </w:pPr>
            <w:r>
              <w:rPr>
                <w:rFonts w:ascii="Arial" w:cs="Arial" w:eastAsia="Arial" w:hAnsi="Arial"/>
                <w:sz w:val="16"/>
                <w:szCs w:val="16"/>
                <w:b w:val="1"/>
                <w:bCs w:val="1"/>
                <w:color w:val="FFFFFF"/>
              </w:rPr>
              <w:t>RSU</w:t>
            </w:r>
          </w:p>
        </w:tc>
        <w:tc>
          <w:tcPr>
            <w:tcW w:w="12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Grant Value</w:t>
            </w:r>
          </w:p>
        </w:tc>
        <w:tc>
          <w:tcPr>
            <w:tcW w:w="0" w:type="dxa"/>
            <w:vAlign w:val="bottom"/>
          </w:tcPr>
          <w:p>
            <w:pPr>
              <w:spacing w:after="0"/>
              <w:rPr>
                <w:sz w:val="1"/>
                <w:szCs w:val="1"/>
                <w:color w:val="auto"/>
              </w:rPr>
            </w:pPr>
          </w:p>
        </w:tc>
      </w:tr>
      <w:tr>
        <w:trPr>
          <w:trHeight w:val="261"/>
        </w:trPr>
        <w:tc>
          <w:tcPr>
            <w:tcW w:w="374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0067B3"/>
              </w:rPr>
              <w:t>Gregory Bryant</w:t>
            </w:r>
          </w:p>
        </w:tc>
        <w:tc>
          <w:tcPr>
            <w:tcW w:w="3160" w:type="dxa"/>
            <w:vAlign w:val="bottom"/>
            <w:tcBorders>
              <w:bottom w:val="single" w:sz="8" w:color="0067B3"/>
            </w:tcBorders>
          </w:tcPr>
          <w:p>
            <w:pPr>
              <w:jc w:val="right"/>
              <w:ind w:right="137"/>
              <w:spacing w:after="0"/>
              <w:rPr>
                <w:sz w:val="20"/>
                <w:szCs w:val="20"/>
                <w:color w:val="auto"/>
              </w:rPr>
            </w:pPr>
            <w:r>
              <w:rPr>
                <w:rFonts w:ascii="Arial" w:cs="Arial" w:eastAsia="Arial" w:hAnsi="Arial"/>
                <w:sz w:val="18"/>
                <w:szCs w:val="18"/>
                <w:color w:val="auto"/>
              </w:rPr>
              <w:t>70,014</w:t>
            </w:r>
          </w:p>
        </w:tc>
        <w:tc>
          <w:tcPr>
            <w:tcW w:w="940" w:type="dxa"/>
            <w:vAlign w:val="bottom"/>
            <w:tcBorders>
              <w:bottom w:val="single" w:sz="8" w:color="0067B3"/>
            </w:tcBorders>
          </w:tcPr>
          <w:p>
            <w:pPr>
              <w:jc w:val="right"/>
              <w:ind w:right="11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67B3"/>
            </w:tcBorders>
          </w:tcPr>
          <w:p>
            <w:pPr>
              <w:jc w:val="right"/>
              <w:ind w:right="77"/>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0067B3"/>
            </w:tcBorders>
          </w:tcPr>
          <w:p>
            <w:pPr>
              <w:jc w:val="right"/>
              <w:ind w:right="117"/>
              <w:spacing w:after="0"/>
              <w:rPr>
                <w:sz w:val="20"/>
                <w:szCs w:val="20"/>
                <w:color w:val="auto"/>
              </w:rPr>
            </w:pPr>
            <w:r>
              <w:rPr>
                <w:rFonts w:ascii="Arial" w:cs="Arial" w:eastAsia="Arial" w:hAnsi="Arial"/>
                <w:sz w:val="18"/>
                <w:szCs w:val="18"/>
                <w:color w:val="auto"/>
              </w:rPr>
              <w:t>160,092</w:t>
            </w:r>
          </w:p>
        </w:tc>
        <w:tc>
          <w:tcPr>
            <w:tcW w:w="1220" w:type="dxa"/>
            <w:vAlign w:val="bottom"/>
            <w:tcBorders>
              <w:bottom w:val="single" w:sz="8" w:color="0067B3"/>
            </w:tcBorders>
          </w:tcPr>
          <w:p>
            <w:pPr>
              <w:jc w:val="right"/>
              <w:spacing w:after="0"/>
              <w:rPr>
                <w:sz w:val="20"/>
                <w:szCs w:val="20"/>
                <w:color w:val="auto"/>
              </w:rPr>
            </w:pPr>
            <w:r>
              <w:rPr>
                <w:rFonts w:ascii="Arial" w:cs="Arial" w:eastAsia="Arial" w:hAnsi="Arial"/>
                <w:sz w:val="18"/>
                <w:szCs w:val="18"/>
                <w:color w:val="auto"/>
              </w:rPr>
              <w:t>$24,000,000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As discussed above, on March 15, 2022, the Compensation and Talent Committee granted Mr. Bryant (1) a time-based RSU award with a target grant value of $ 5 million, which vests in equal annual installments over a four-year period; (2) a time-based RSU award with a target grant date value of $ 5 million, which vests in full on the third anniversary of the grant date; and (3) a performance-based RSU award with a target grant value of $14 million, which vests subject to the attainment of target share price thresholds during a four-year performance period following the grant date.</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Other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Retirement and Other Employee Benefits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maintain broad-based benefits for all employees, including medical, dental, and vision insurance, life and disability insurance and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retirement plans. Executive officers, including our NEOs, are eligible to participate in all of our employee benefit plans on the same basis as our other employees. The retirement and other employee benefit components of our executive compensation program are designed to attract</w:t>
      </w:r>
    </w:p>
    <w:p>
      <w:pPr>
        <w:spacing w:after="0" w:line="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excellent candidates by providing financial protection and security, and reward our executives for the total commitment we expect from them in service to ADI. During fiscal year 2022, Mr. Jain participated in Maxim benefits until December 31, 2021 and became eligible and began participating in ADI benefits beginning on January 1, 2022.</w:t>
      </w:r>
    </w:p>
    <w:p>
      <w:pPr>
        <w:spacing w:after="0" w:line="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senior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the United States during fiscal year 2022, we contributed to our 401(k) plan on behalf of all eligible employees, including our NEOs, amounts equal to 5% of the employee’s eligible compensation, plus matching contributions up to an additional 3%, subject to Internal Revenue Service, or IRS, limits. For those employees who also participated in the DCP described above, any compensation that was deferred under that plan was not considered eligible compensation for purposes of our company contributions under the 401(k) plan. We also</w:t>
      </w:r>
    </w:p>
    <w:p>
      <w:pPr>
        <w:ind w:right="120"/>
        <w:spacing w:after="0" w:line="226" w:lineRule="auto"/>
        <w:rPr>
          <w:sz w:val="20"/>
          <w:szCs w:val="20"/>
          <w:color w:val="auto"/>
        </w:rPr>
      </w:pPr>
      <w:r>
        <w:rPr>
          <w:rFonts w:ascii="Arial" w:cs="Arial" w:eastAsia="Arial" w:hAnsi="Arial"/>
          <w:sz w:val="18"/>
          <w:szCs w:val="18"/>
          <w:color w:val="auto"/>
        </w:rPr>
        <w:t>provided employees who are eligible to participate in the 401(k) plan but whose compensation is greater than the amount that may be taken into account in any plan year as a result of IRS limits, with a taxable cash payment equal to 8% of the employee’s 401(k)-eligible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in excess of the IRS limit (TIP Restoration).</w:t>
      </w:r>
    </w:p>
    <w:p>
      <w:pPr>
        <w:spacing w:after="0" w:line="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our Post-Retirement Equity Vesting Policy (PREV) eligible stock-based awards, including RSUs (including those that vest based on the achievement of performance goals), restricted stock awards and stock options continue to vest, subject to the terms of the policy, after an employee’s retirement. Equity awards issued to executive officers, including our NEOs, will be eligible for post-employment vesting under the policy. The PREV does not apply to equity awards granted outside ADI’s focal grant cycle, such as off-cycle new-hire, retention or promotion awards. The PREV is administered by a committee consisting of our Chief Financial Officer, Chief Legal Officer and Chief People Officer and any retirement under the PREV must be approved by at least two members of the committee, or in the case of any retirement of a member of our executive Leadership Team, must be approved by the Compensation and Talent Committee. The PREV is entirely discretionary and does not confer any right to continue vesting in equity awards following retirement to any employee.</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2022 Employee Stock Purchase Plan (ESPP), introduced in fiscal year 2022, permits eligible employees to purchase shares of our common stock at a discount during consecutive six month plan periods. Our Board of Directors, the Compensation and Talent Committee or</w:t>
      </w:r>
    </w:p>
    <w:p>
      <w:pPr>
        <w:spacing w:after="0" w:line="1"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its delegate will determine the purchase price of the shares in a given plan period, including whether such purchase price will be determined based on the lesser of the closing price of our common stock on the first business day of the plan period and the last business day of the</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Employee contributions are made through payroll deductions or other contributions,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Limited Perquisites</w:t>
      </w:r>
    </w:p>
    <w:p>
      <w:pPr>
        <w:spacing w:after="0" w:line="14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We do not award extensive perquisites to our executive officers. In fiscal year 2022, we provided a voluntary health services benefit to executive officers and reimbursement for financial and tax planning services of up to $15,000 for our CEO and Chair and up to $10,000 for our other executive officers, including our NEOs. These items are detailed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6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fiscal years 2021 and 2022, we also reimbursed Ms. Sacks for her expenses in connection with her relocation to Massachusetts, as well as an additional amount to cover the taxes that Ms. Sacks would incur as a result of receipt of such relocation expenses, which is consistent with our company-wide policy for relocation costs.</w:t>
      </w:r>
    </w:p>
    <w:p>
      <w:pPr>
        <w:sectPr>
          <w:pgSz w:w="11900" w:h="16838" w:orient="portrait"/>
          <w:cols w:equalWidth="0" w:num="1">
            <w:col w:w="11240"/>
          </w:cols>
          <w:pgMar w:left="320" w:top="116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80" w:hanging="454"/>
        <w:spacing w:after="0"/>
        <w:tabs>
          <w:tab w:leader="none" w:pos="480" w:val="left"/>
        </w:tabs>
        <w:numPr>
          <w:ilvl w:val="0"/>
          <w:numId w:val="8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160" w:right="339" w:bottom="1440" w:gutter="0" w:footer="0" w:header="0"/>
          <w:type w:val="continuous"/>
        </w:sectPr>
      </w:pPr>
    </w:p>
    <w:bookmarkStart w:id="72" w:name="page73"/>
    <w:bookmarkEnd w:id="72"/>
    <w:p>
      <w:pPr>
        <w:spacing w:after="0" w:line="278" w:lineRule="auto"/>
        <w:rPr>
          <w:sz w:val="20"/>
          <w:szCs w:val="20"/>
          <w:color w:val="auto"/>
        </w:rPr>
      </w:pPr>
      <w:r>
        <w:rPr>
          <w:rFonts w:ascii="Arial" w:cs="Arial" w:eastAsia="Arial" w:hAnsi="Arial"/>
          <w:sz w:val="17"/>
          <w:szCs w:val="17"/>
          <w:color w:val="auto"/>
        </w:rPr>
        <w:t>On occasion, and with the approval of our CEO and Chair, an executive or director may have his or her family members accompany him or her on the company’s leased airplane when traveling on business. The executive or director may incur taxable income for any such travel in accordance with applicable tax rules. We do not gross-up or in any way compensate the executive or director for any income tax owed for any such travel. Further, in accordance with our policies, our CEO and Chair may use our leased aircraft for personal travel. Additionally, we provide our CEO and Chair with a travel insurance policy for personal travel and an executive security detail from time to time when traveling.</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Severance, Retention and Change in Control Benefits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 in Control Benefits</w:t>
      </w:r>
    </w:p>
    <w:p>
      <w:pPr>
        <w:spacing w:after="0" w:line="14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entered into change in control retention agreements (ADI Retention Agreement) with Messrs. Roche, Mahendra-Rajah and Bryant and Ms. Sacks and other key employees. All of our NEOs have entered into the same form of ADI Retention Agreement other than Mr. Jain, who remains covered by the Maxim Amended &amp; Restated Change in Control Employee Severance Plan that was offered to former Maxim employees (Maxim Severance Plan).</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ADI Retention Agreement provides for severance benefits if the employee’s service with us is terminated within 24 months after a change in control (as defined in the ADI Retention Agreement) that was approved by our Board of Directors. We designed the ADI Retention Agreement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 ADI Retention Agreement helps ensure the continued services of our executive officers throughout the change in control transaction by giving them incentives to remain with us rather than seeking alternative employment or being recruited to a competitor during a highly uncertain time. The Compensation and Talent Committee reviewed prevalent market practices in determining the severance amounts and the events that trigger payments under the agreements. The Compensation and Talent Committee determined that the amounts and triggering events were appropriate and designed to encourage decision-making that is in the best interests of ADI. In fiscal year 2022, the Compensation and Talent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year 2022. Change in control retention agreements entered into between ADI and eligible employees since 2009 do not contain excess parachute payment tax gross-up provisions.</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Maxim Severance Plan provides for the payment of certain benefits in the event Mr. Jain is terminated without cause or resigns for good reason during the 24-month period following a change-of-control or within the period following the public announcement of, but prior to, the closing of a change-of-control event. ADI’s acquisition of Maxim in fiscal year 2021 qualified as a change in control event under the Maxim Severance Plan.</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our 2020 Plan and our 2006 Plan, in the event of a change in control, all of our employees who continue to remain employed on the closing of the change in control, including our NEOs, would have the vesting of one-half of the shares of common stock subject to their then outstanding unvested equity awards accelerate and become immediately exercisable and free from forfeiture. The remaining one-half of their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plan).</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With respect to Mr. Jain, under the Maxim Severance Plan, all legacy Maxim unvested stock options, restricted stock units, and market stock units are accelerated and become fully vested upon a change in control and a termination without cause (or resignation for good reason) occurring within 24 months following the change-of-control or within the period following the public announcement of, but prior to, the closing of a change-of-control event. We have provided more detailed information about these benefits, along with estimates of their value under various circumstances, under the caption </w:t>
      </w:r>
      <w:r>
        <w:rPr>
          <w:rFonts w:ascii="Arial" w:cs="Arial" w:eastAsia="Arial" w:hAnsi="Arial"/>
          <w:sz w:val="18"/>
          <w:szCs w:val="18"/>
          <w:i w:val="1"/>
          <w:iCs w:val="1"/>
          <w:color w:val="auto"/>
        </w:rPr>
        <w:t>Potential Payments Upon Change in Control</w:t>
      </w:r>
      <w:r>
        <w:rPr>
          <w:rFonts w:ascii="Arial" w:cs="Arial" w:eastAsia="Arial" w:hAnsi="Arial"/>
          <w:sz w:val="18"/>
          <w:szCs w:val="18"/>
          <w:color w:val="auto"/>
        </w:rPr>
        <w:t xml:space="preserve">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executive officer is entitled to receive the same benefits as any other terminated employee in that geographical location. In the event of involuntary termination without cause or resignation for good reason, Mr. Bryant’s new-hire equity awards granted on March 15, 2022 would continue to vest and be settled on the applicable vesting date, subject to the attainment of applicable performance conditions in the case of the new-hire PRSUs.</w:t>
      </w:r>
    </w:p>
    <w:p>
      <w:pPr>
        <w:spacing w:after="0" w:line="33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65</w:t>
      </w:r>
    </w:p>
    <w:p>
      <w:pPr>
        <w:sectPr>
          <w:pgSz w:w="11900" w:h="16838" w:orient="portrait"/>
          <w:cols w:equalWidth="0" w:num="1">
            <w:col w:w="11220"/>
          </w:cols>
          <w:pgMar w:left="320" w:top="1174" w:right="359" w:bottom="1440" w:gutter="0" w:footer="0" w:header="0"/>
        </w:sectPr>
      </w:pPr>
    </w:p>
    <w:bookmarkStart w:id="73" w:name="page74"/>
    <w:bookmarkEnd w:id="73"/>
    <w:p>
      <w:pPr>
        <w:spacing w:after="0"/>
        <w:rPr>
          <w:sz w:val="20"/>
          <w:szCs w:val="20"/>
          <w:color w:val="auto"/>
        </w:rPr>
      </w:pPr>
      <w:r>
        <w:rPr>
          <w:rFonts w:ascii="Arial" w:cs="Arial" w:eastAsia="Arial" w:hAnsi="Arial"/>
          <w:sz w:val="32"/>
          <w:szCs w:val="32"/>
          <w:b w:val="1"/>
          <w:bCs w:val="1"/>
          <w:color w:val="auto"/>
        </w:rPr>
        <w:t>Additional Compensation Policies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Executive Stock Ownership Guidelines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Under our guidelines, the target stock ownership levels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Borders>
              <w:bottom w:val="single" w:sz="8" w:color="0067B3"/>
            </w:tcBorders>
          </w:tcPr>
          <w:p>
            <w:pPr>
              <w:ind w:left="20"/>
              <w:spacing w:after="0"/>
              <w:rPr>
                <w:sz w:val="20"/>
                <w:szCs w:val="20"/>
                <w:color w:val="auto"/>
              </w:rPr>
            </w:pPr>
            <w:r>
              <w:rPr>
                <w:rFonts w:ascii="Arial" w:cs="Arial" w:eastAsia="Arial" w:hAnsi="Arial"/>
                <w:sz w:val="16"/>
                <w:szCs w:val="16"/>
                <w:b w:val="1"/>
                <w:bCs w:val="1"/>
                <w:color w:val="auto"/>
              </w:rPr>
              <w:t>Position</w:t>
            </w:r>
          </w:p>
        </w:tc>
        <w:tc>
          <w:tcPr>
            <w:tcW w:w="6960" w:type="dxa"/>
            <w:vAlign w:val="bottom"/>
            <w:tcBorders>
              <w:bottom w:val="single" w:sz="8" w:color="0067B3"/>
            </w:tcBorders>
          </w:tcPr>
          <w:p>
            <w:pPr>
              <w:ind w:left="4740"/>
              <w:spacing w:after="0"/>
              <w:rPr>
                <w:sz w:val="20"/>
                <w:szCs w:val="20"/>
                <w:color w:val="auto"/>
              </w:rPr>
            </w:pPr>
            <w:r>
              <w:rPr>
                <w:rFonts w:ascii="Arial" w:cs="Arial" w:eastAsia="Arial" w:hAnsi="Arial"/>
                <w:sz w:val="16"/>
                <w:szCs w:val="16"/>
                <w:b w:val="1"/>
                <w:bCs w:val="1"/>
                <w:color w:val="auto"/>
              </w:rPr>
              <w:t>Multiple</w:t>
            </w:r>
          </w:p>
        </w:tc>
      </w:tr>
      <w:tr>
        <w:trPr>
          <w:trHeight w:val="241"/>
        </w:trPr>
        <w:tc>
          <w:tcPr>
            <w:tcW w:w="4280" w:type="dxa"/>
            <w:vAlign w:val="bottom"/>
          </w:tcPr>
          <w:p>
            <w:pPr>
              <w:ind w:left="20"/>
              <w:spacing w:after="0"/>
              <w:rPr>
                <w:sz w:val="20"/>
                <w:szCs w:val="20"/>
                <w:color w:val="auto"/>
              </w:rPr>
            </w:pPr>
            <w:r>
              <w:rPr>
                <w:rFonts w:ascii="Arial" w:cs="Arial" w:eastAsia="Arial" w:hAnsi="Arial"/>
                <w:sz w:val="18"/>
                <w:szCs w:val="18"/>
                <w:color w:val="auto"/>
              </w:rPr>
              <w:t>CEO</w:t>
            </w:r>
          </w:p>
        </w:tc>
        <w:tc>
          <w:tcPr>
            <w:tcW w:w="6960" w:type="dxa"/>
            <w:vAlign w:val="bottom"/>
          </w:tcPr>
          <w:p>
            <w:pPr>
              <w:ind w:left="4740"/>
              <w:spacing w:after="0"/>
              <w:rPr>
                <w:sz w:val="20"/>
                <w:szCs w:val="20"/>
                <w:color w:val="auto"/>
              </w:rPr>
            </w:pPr>
            <w:r>
              <w:rPr>
                <w:rFonts w:ascii="Arial" w:cs="Arial" w:eastAsia="Arial" w:hAnsi="Arial"/>
                <w:sz w:val="18"/>
                <w:szCs w:val="18"/>
                <w:color w:val="auto"/>
              </w:rPr>
              <w:t>5 times annual base salary</w:t>
            </w:r>
          </w:p>
        </w:tc>
      </w:tr>
      <w:tr>
        <w:trPr>
          <w:trHeight w:val="23"/>
        </w:trPr>
        <w:tc>
          <w:tcPr>
            <w:tcW w:w="4280" w:type="dxa"/>
            <w:vAlign w:val="bottom"/>
            <w:tcBorders>
              <w:bottom w:val="single" w:sz="8" w:color="939598"/>
            </w:tcBorders>
          </w:tcPr>
          <w:p>
            <w:pPr>
              <w:spacing w:after="0"/>
              <w:rPr>
                <w:sz w:val="2"/>
                <w:szCs w:val="2"/>
                <w:color w:val="auto"/>
              </w:rPr>
            </w:pPr>
          </w:p>
        </w:tc>
        <w:tc>
          <w:tcPr>
            <w:tcW w:w="6960" w:type="dxa"/>
            <w:vAlign w:val="bottom"/>
            <w:tcBorders>
              <w:bottom w:val="single" w:sz="8" w:color="939598"/>
            </w:tcBorders>
          </w:tcPr>
          <w:p>
            <w:pPr>
              <w:spacing w:after="0"/>
              <w:rPr>
                <w:sz w:val="2"/>
                <w:szCs w:val="2"/>
                <w:color w:val="auto"/>
              </w:rPr>
            </w:pPr>
          </w:p>
        </w:tc>
      </w:tr>
      <w:tr>
        <w:trPr>
          <w:trHeight w:val="241"/>
        </w:trPr>
        <w:tc>
          <w:tcPr>
            <w:tcW w:w="4280" w:type="dxa"/>
            <w:vAlign w:val="bottom"/>
          </w:tcPr>
          <w:p>
            <w:pPr>
              <w:ind w:left="20"/>
              <w:spacing w:after="0"/>
              <w:rPr>
                <w:sz w:val="20"/>
                <w:szCs w:val="20"/>
                <w:color w:val="auto"/>
              </w:rPr>
            </w:pPr>
            <w:r>
              <w:rPr>
                <w:rFonts w:ascii="Arial" w:cs="Arial" w:eastAsia="Arial" w:hAnsi="Arial"/>
                <w:sz w:val="18"/>
                <w:szCs w:val="18"/>
                <w:color w:val="auto"/>
              </w:rPr>
              <w:t>Other members of the Leadership Team</w:t>
            </w:r>
          </w:p>
        </w:tc>
        <w:tc>
          <w:tcPr>
            <w:tcW w:w="6960" w:type="dxa"/>
            <w:vAlign w:val="bottom"/>
          </w:tcPr>
          <w:p>
            <w:pPr>
              <w:ind w:left="4740"/>
              <w:spacing w:after="0"/>
              <w:rPr>
                <w:sz w:val="20"/>
                <w:szCs w:val="20"/>
                <w:color w:val="auto"/>
              </w:rPr>
            </w:pPr>
            <w:r>
              <w:rPr>
                <w:rFonts w:ascii="Arial" w:cs="Arial" w:eastAsia="Arial" w:hAnsi="Arial"/>
                <w:sz w:val="18"/>
                <w:szCs w:val="18"/>
                <w:color w:val="auto"/>
              </w:rPr>
              <w:t>3 times annual base salary</w:t>
            </w:r>
          </w:p>
        </w:tc>
      </w:tr>
      <w:tr>
        <w:trPr>
          <w:trHeight w:val="23"/>
        </w:trPr>
        <w:tc>
          <w:tcPr>
            <w:tcW w:w="4280" w:type="dxa"/>
            <w:vAlign w:val="bottom"/>
            <w:tcBorders>
              <w:bottom w:val="single" w:sz="8" w:color="0067B3"/>
            </w:tcBorders>
          </w:tcPr>
          <w:p>
            <w:pPr>
              <w:spacing w:after="0"/>
              <w:rPr>
                <w:sz w:val="2"/>
                <w:szCs w:val="2"/>
                <w:color w:val="auto"/>
              </w:rPr>
            </w:pPr>
          </w:p>
        </w:tc>
        <w:tc>
          <w:tcPr>
            <w:tcW w:w="6960" w:type="dxa"/>
            <w:vAlign w:val="bottom"/>
            <w:tcBorders>
              <w:bottom w:val="single" w:sz="8" w:color="0067B3"/>
            </w:tcBorders>
          </w:tcPr>
          <w:p>
            <w:pPr>
              <w:spacing w:after="0"/>
              <w:rPr>
                <w:sz w:val="2"/>
                <w:szCs w:val="2"/>
                <w:color w:val="auto"/>
              </w:rPr>
            </w:pPr>
          </w:p>
        </w:tc>
      </w:tr>
      <w:tr>
        <w:trPr>
          <w:trHeight w:val="462"/>
        </w:trPr>
        <w:tc>
          <w:tcPr>
            <w:tcW w:w="4280" w:type="dxa"/>
            <w:vAlign w:val="bottom"/>
            <w:tcBorders>
              <w:bottom w:val="single" w:sz="8" w:color="0067B3"/>
            </w:tcBorders>
          </w:tcPr>
          <w:p>
            <w:pPr>
              <w:ind w:left="20"/>
              <w:spacing w:after="0"/>
              <w:rPr>
                <w:sz w:val="20"/>
                <w:szCs w:val="20"/>
                <w:color w:val="auto"/>
              </w:rPr>
            </w:pPr>
            <w:r>
              <w:rPr>
                <w:rFonts w:ascii="Arial" w:cs="Arial" w:eastAsia="Arial" w:hAnsi="Arial"/>
                <w:sz w:val="16"/>
                <w:szCs w:val="16"/>
                <w:b w:val="1"/>
                <w:bCs w:val="1"/>
                <w:color w:val="auto"/>
              </w:rPr>
              <w:t>What Counts as Ownership</w:t>
            </w:r>
          </w:p>
        </w:tc>
        <w:tc>
          <w:tcPr>
            <w:tcW w:w="6960" w:type="dxa"/>
            <w:vAlign w:val="bottom"/>
            <w:tcBorders>
              <w:bottom w:val="single" w:sz="8" w:color="0067B3"/>
            </w:tcBorders>
          </w:tcPr>
          <w:p>
            <w:pPr>
              <w:ind w:left="720"/>
              <w:spacing w:after="0"/>
              <w:rPr>
                <w:sz w:val="20"/>
                <w:szCs w:val="20"/>
                <w:color w:val="auto"/>
              </w:rPr>
            </w:pPr>
            <w:r>
              <w:rPr>
                <w:rFonts w:ascii="Arial" w:cs="Arial" w:eastAsia="Arial" w:hAnsi="Arial"/>
                <w:sz w:val="16"/>
                <w:szCs w:val="16"/>
                <w:b w:val="1"/>
                <w:bCs w:val="1"/>
                <w:color w:val="auto"/>
              </w:rPr>
              <w:t>What Does Not Count as Ownership</w:t>
            </w:r>
          </w:p>
        </w:tc>
      </w:tr>
      <w:tr>
        <w:trPr>
          <w:trHeight w:val="244"/>
        </w:trPr>
        <w:tc>
          <w:tcPr>
            <w:tcW w:w="4280" w:type="dxa"/>
            <w:vAlign w:val="bottom"/>
          </w:tcPr>
          <w:p>
            <w:pPr>
              <w:ind w:left="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Time-based RSUs (whether or not vested)</w:t>
            </w:r>
          </w:p>
        </w:tc>
        <w:tc>
          <w:tcPr>
            <w:tcW w:w="6960" w:type="dxa"/>
            <w:vAlign w:val="bottom"/>
          </w:tcPr>
          <w:p>
            <w:pPr>
              <w:ind w:left="7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Shares subject to unexercised options, whether or not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180" w:hanging="154"/>
        <w:spacing w:after="0"/>
        <w:tabs>
          <w:tab w:leader="none" w:pos="180" w:val="left"/>
        </w:tabs>
        <w:numPr>
          <w:ilvl w:val="0"/>
          <w:numId w:val="87"/>
        </w:numPr>
        <w:rPr>
          <w:rFonts w:ascii="Arial" w:cs="Arial" w:eastAsia="Arial" w:hAnsi="Arial"/>
          <w:sz w:val="18"/>
          <w:szCs w:val="18"/>
          <w:color w:val="0067B3"/>
        </w:rPr>
      </w:pPr>
      <w:r>
        <w:rPr>
          <w:rFonts w:ascii="Arial" w:cs="Arial" w:eastAsia="Arial" w:hAnsi="Arial"/>
          <w:sz w:val="18"/>
          <w:szCs w:val="18"/>
          <w:color w:val="auto"/>
        </w:rPr>
        <w:t xml:space="preserve">Unvested PRSUs whose performance has been certified by </w:t>
      </w:r>
      <w:r>
        <w:rPr>
          <w:rFonts w:ascii="Arial" w:cs="Arial" w:eastAsia="Arial" w:hAnsi="Arial"/>
          <w:sz w:val="18"/>
          <w:szCs w:val="18"/>
          <w:color w:val="0067B3"/>
        </w:rPr>
        <w:t>Ñ</w:t>
      </w:r>
      <w:r>
        <w:rPr>
          <w:rFonts w:ascii="Arial" w:cs="Arial" w:eastAsia="Arial" w:hAnsi="Arial"/>
          <w:sz w:val="18"/>
          <w:szCs w:val="18"/>
          <w:color w:val="auto"/>
        </w:rPr>
        <w:t xml:space="preserve"> Unvested PRSUs whose performance have not yet been certified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939598"/>
            </w:tcBorders>
          </w:tcPr>
          <w:p>
            <w:pPr>
              <w:ind w:left="220"/>
              <w:spacing w:after="0"/>
              <w:rPr>
                <w:sz w:val="20"/>
                <w:szCs w:val="20"/>
                <w:color w:val="auto"/>
              </w:rPr>
            </w:pPr>
            <w:r>
              <w:rPr>
                <w:rFonts w:ascii="Arial" w:cs="Arial" w:eastAsia="Arial" w:hAnsi="Arial"/>
                <w:sz w:val="18"/>
                <w:szCs w:val="18"/>
                <w:color w:val="auto"/>
              </w:rPr>
              <w:t>the Compensation and Talent Committee</w:t>
            </w:r>
          </w:p>
        </w:tc>
        <w:tc>
          <w:tcPr>
            <w:tcW w:w="7000" w:type="dxa"/>
            <w:vAlign w:val="bottom"/>
            <w:tcBorders>
              <w:bottom w:val="single" w:sz="8" w:color="939598"/>
            </w:tcBorders>
          </w:tcPr>
          <w:p>
            <w:pPr>
              <w:ind w:left="940"/>
              <w:spacing w:after="0"/>
              <w:rPr>
                <w:sz w:val="20"/>
                <w:szCs w:val="20"/>
                <w:color w:val="auto"/>
              </w:rPr>
            </w:pPr>
            <w:r>
              <w:rPr>
                <w:rFonts w:ascii="Arial" w:cs="Arial" w:eastAsia="Arial" w:hAnsi="Arial"/>
                <w:sz w:val="18"/>
                <w:szCs w:val="18"/>
                <w:color w:val="auto"/>
              </w:rPr>
              <w:t>Compensation and Talent Committee</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Restricted stock (whether or not vested)</w:t>
            </w:r>
          </w:p>
        </w:tc>
        <w:tc>
          <w:tcPr>
            <w:tcW w:w="7000" w:type="dxa"/>
            <w:vAlign w:val="bottom"/>
          </w:tcPr>
          <w:p>
            <w:pPr>
              <w:ind w:left="760"/>
              <w:spacing w:after="0"/>
              <w:rPr>
                <w:sz w:val="20"/>
                <w:szCs w:val="20"/>
                <w:color w:val="auto"/>
              </w:rPr>
            </w:pPr>
            <w:r>
              <w:rPr>
                <w:rFonts w:ascii="Arial" w:cs="Arial" w:eastAsia="Arial" w:hAnsi="Arial"/>
                <w:sz w:val="18"/>
                <w:szCs w:val="18"/>
                <w:color w:val="0067B3"/>
              </w:rPr>
              <w:t xml:space="preserve">Ñ </w:t>
            </w:r>
            <w:r>
              <w:rPr>
                <w:rFonts w:ascii="Arial" w:cs="Arial" w:eastAsia="Arial" w:hAnsi="Arial"/>
                <w:sz w:val="18"/>
                <w:szCs w:val="18"/>
                <w:color w:val="000000"/>
              </w:rPr>
              <w:t>Any shares that have been pledged as collateral for a loan</w:t>
            </w:r>
          </w:p>
        </w:tc>
      </w:tr>
      <w:tr>
        <w:trPr>
          <w:trHeight w:val="23"/>
        </w:trPr>
        <w:tc>
          <w:tcPr>
            <w:tcW w:w="4240" w:type="dxa"/>
            <w:vAlign w:val="bottom"/>
            <w:tcBorders>
              <w:bottom w:val="single" w:sz="8" w:color="0067B3"/>
            </w:tcBorders>
          </w:tcPr>
          <w:p>
            <w:pPr>
              <w:spacing w:after="0"/>
              <w:rPr>
                <w:sz w:val="2"/>
                <w:szCs w:val="2"/>
                <w:color w:val="auto"/>
              </w:rPr>
            </w:pPr>
          </w:p>
        </w:tc>
        <w:tc>
          <w:tcPr>
            <w:tcW w:w="7000" w:type="dxa"/>
            <w:vAlign w:val="bottom"/>
            <w:tcBorders>
              <w:bottom w:val="single" w:sz="8" w:color="0067B3"/>
            </w:tcBorders>
          </w:tcPr>
          <w:p>
            <w:pPr>
              <w:spacing w:after="0"/>
              <w:rPr>
                <w:sz w:val="2"/>
                <w:szCs w:val="2"/>
                <w:color w:val="auto"/>
              </w:rPr>
            </w:pPr>
          </w:p>
        </w:tc>
      </w:tr>
    </w:tbl>
    <w:p>
      <w:pPr>
        <w:spacing w:after="0" w:line="184"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The CEO has four years from the date of his or her appointment as CEO to achieve his or her targeted level. Members of the Leadership Team other than the CEO have five years from the date he or she becomes part of the Leadership Team to achieve his or her targeted level.</w:t>
      </w:r>
    </w:p>
    <w:p>
      <w:pPr>
        <w:spacing w:after="0" w:line="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All members of our Leadership Team, other than Ms. Asgeirsson, who first joined ADI in fiscal year 2021, were in compliance with our stock ownership guidelines as of the end of fiscal year 2022. Ms. Asgeirsson is expected to be in compliance with our stock ownership guidelines within the first five years of her appointment to the Leadership Team.</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Compensation Recovery</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CEO and Chief Financial Officer. In addition, in December 2020, our Board of Directors adopted a compensation clawback policy. The policy provides that in the event of a material restatement of our financial results, the result of which is that any performance-based cash or equity compensation received by our CEO or other named executive officers, or awarded compensation, would have been lower had it been calculated based on such restated financial results, or actual compensation, the Compensation and Talent Committee may, in its sole discretion and as appropriate under the circumstances, seek to recover for our benefit all or a portion of the difference between the awarded compensation and the actual compensation of any named executive officer whose fraud or willful misconduct caused or partially caused the need for such restatement. For purposes of the policy, the term “executive officer” has the meaning given to that term in Rule 3b-7 under the Securities Exchange Act of 1934, as amended.</w:t>
      </w:r>
    </w:p>
    <w:p>
      <w:pPr>
        <w:spacing w:after="0" w:line="7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will amend our compensation clawback policy so that it is compliant with the regulations mandated under the Dodd-Frank Wall Street Reform and Consumer Protection Act as adopted by the SEC when corresponding listing standards become effective.</w:t>
      </w:r>
    </w:p>
    <w:p>
      <w:pPr>
        <w:spacing w:after="0" w:line="200" w:lineRule="exact"/>
        <w:rPr>
          <w:sz w:val="20"/>
          <w:szCs w:val="20"/>
          <w:color w:val="auto"/>
        </w:rPr>
      </w:pPr>
    </w:p>
    <w:p>
      <w:pPr>
        <w:spacing w:after="0" w:line="266" w:lineRule="exact"/>
        <w:rPr>
          <w:sz w:val="20"/>
          <w:szCs w:val="20"/>
          <w:color w:val="auto"/>
        </w:rPr>
      </w:pPr>
    </w:p>
    <w:p>
      <w:pPr>
        <w:ind w:left="480" w:hanging="454"/>
        <w:spacing w:after="0"/>
        <w:tabs>
          <w:tab w:leader="none" w:pos="480" w:val="left"/>
        </w:tabs>
        <w:numPr>
          <w:ilvl w:val="0"/>
          <w:numId w:val="88"/>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11" w:right="339" w:bottom="1440" w:gutter="0" w:footer="0" w:header="0"/>
        </w:sectPr>
      </w:pPr>
    </w:p>
    <w:bookmarkStart w:id="74" w:name="page75"/>
    <w:bookmarkEnd w:id="74"/>
    <w:p>
      <w:pPr>
        <w:spacing w:after="0"/>
        <w:rPr>
          <w:sz w:val="20"/>
          <w:szCs w:val="20"/>
          <w:color w:val="auto"/>
        </w:rPr>
      </w:pPr>
      <w:r>
        <w:rPr>
          <w:rFonts w:ascii="Arial" w:cs="Arial" w:eastAsia="Arial" w:hAnsi="Arial"/>
          <w:sz w:val="27"/>
          <w:szCs w:val="27"/>
          <w:b w:val="1"/>
          <w:bCs w:val="1"/>
          <w:color w:val="0067B3"/>
        </w:rPr>
        <w:t>Equity Award Grant Date Policy</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Compensation and Talent Committee has adopted specific policies regarding the grant dates equity awards for our executive officers and employees. In each case, the exercise price of stock options equals the closing price of our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0548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33" w:lineRule="exact"/>
        <w:rPr>
          <w:sz w:val="20"/>
          <w:szCs w:val="20"/>
          <w:color w:val="auto"/>
        </w:rPr>
      </w:pPr>
    </w:p>
    <w:p>
      <w:pPr>
        <w:ind w:left="20" w:right="220"/>
        <w:spacing w:after="0" w:line="287" w:lineRule="auto"/>
        <w:rPr>
          <w:sz w:val="20"/>
          <w:szCs w:val="20"/>
          <w:color w:val="auto"/>
        </w:rPr>
      </w:pPr>
      <w:r>
        <w:rPr>
          <w:rFonts w:ascii="Arial" w:cs="Arial" w:eastAsia="Arial" w:hAnsi="Arial"/>
          <w:sz w:val="18"/>
          <w:szCs w:val="18"/>
          <w:b w:val="1"/>
          <w:bCs w:val="1"/>
          <w:color w:val="auto"/>
        </w:rPr>
        <w:t xml:space="preserve">New-Hire Grants: </w:t>
      </w:r>
      <w:r>
        <w:rPr>
          <w:rFonts w:ascii="Arial" w:cs="Arial" w:eastAsia="Arial" w:hAnsi="Arial"/>
          <w:sz w:val="18"/>
          <w:szCs w:val="18"/>
          <w:color w:val="auto"/>
        </w:rPr>
        <w:t>The grant date of all awards to newly hired executive officers and employees is the 15th day of the month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individual commences employment with us (or the next succeeding business day that Nasdaq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548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Annual Grants: </w:t>
      </w:r>
      <w:r>
        <w:rPr>
          <w:rFonts w:ascii="Arial" w:cs="Arial" w:eastAsia="Arial" w:hAnsi="Arial"/>
          <w:sz w:val="18"/>
          <w:szCs w:val="18"/>
          <w:color w:val="auto"/>
        </w:rPr>
        <w:t>The grant date of all annual awards is the first business day of April that Nasdaq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0548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00" w:lineRule="exact"/>
        <w:rPr>
          <w:sz w:val="20"/>
          <w:szCs w:val="20"/>
          <w:color w:val="auto"/>
        </w:rPr>
      </w:pPr>
    </w:p>
    <w:p>
      <w:pPr>
        <w:ind w:left="20" w:right="220"/>
        <w:spacing w:after="0" w:line="268" w:lineRule="auto"/>
        <w:rPr>
          <w:sz w:val="20"/>
          <w:szCs w:val="20"/>
          <w:color w:val="auto"/>
        </w:rPr>
      </w:pPr>
      <w:r>
        <w:rPr>
          <w:rFonts w:ascii="Arial" w:cs="Arial" w:eastAsia="Arial" w:hAnsi="Arial"/>
          <w:sz w:val="18"/>
          <w:szCs w:val="18"/>
          <w:b w:val="1"/>
          <w:bCs w:val="1"/>
          <w:color w:val="auto"/>
        </w:rPr>
        <w:t xml:space="preserve">Other Grants: </w:t>
      </w:r>
      <w:r>
        <w:rPr>
          <w:rFonts w:ascii="Arial" w:cs="Arial" w:eastAsia="Arial" w:hAnsi="Arial"/>
          <w:sz w:val="18"/>
          <w:szCs w:val="18"/>
          <w:color w:val="auto"/>
        </w:rPr>
        <w:t>All other awards granted to existing executive officers and employees throughout the year (off-cycle awards) have a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15th day of the month (or the next succeeding business day that Nasdaq is open) provided the award is approved on or prior to such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0548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32" w:lineRule="exact"/>
        <w:rPr>
          <w:sz w:val="20"/>
          <w:szCs w:val="20"/>
          <w:color w:val="auto"/>
        </w:rPr>
      </w:pPr>
    </w:p>
    <w:p>
      <w:pPr>
        <w:ind w:left="20" w:right="340"/>
        <w:spacing w:after="0"/>
        <w:rPr>
          <w:sz w:val="20"/>
          <w:szCs w:val="20"/>
          <w:color w:val="auto"/>
        </w:rPr>
      </w:pPr>
      <w:r>
        <w:rPr>
          <w:rFonts w:ascii="Arial" w:cs="Arial" w:eastAsia="Arial" w:hAnsi="Arial"/>
          <w:sz w:val="18"/>
          <w:szCs w:val="18"/>
          <w:b w:val="1"/>
          <w:bCs w:val="1"/>
          <w:color w:val="auto"/>
        </w:rPr>
        <w:t xml:space="preserve">Foreign Registrations: </w:t>
      </w:r>
      <w:r>
        <w:rPr>
          <w:rFonts w:ascii="Arial" w:cs="Arial" w:eastAsia="Arial" w:hAnsi="Arial"/>
          <w:sz w:val="18"/>
          <w:szCs w:val="18"/>
          <w:color w:val="auto"/>
        </w:rPr>
        <w:t>Any awards requiring registration or approval in a foreign jurisdiction will have a grant date of the 15th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 the next succeeding business day that Nasdaq is open) following the effective date of that registration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548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41" w:lineRule="exact"/>
        <w:rPr>
          <w:sz w:val="20"/>
          <w:szCs w:val="20"/>
          <w:color w:val="auto"/>
        </w:rPr>
      </w:pPr>
    </w:p>
    <w:p>
      <w:pPr>
        <w:ind w:left="20" w:right="740"/>
        <w:spacing w:after="0"/>
        <w:rPr>
          <w:sz w:val="20"/>
          <w:szCs w:val="20"/>
          <w:color w:val="auto"/>
        </w:rPr>
      </w:pPr>
      <w:r>
        <w:rPr>
          <w:rFonts w:ascii="Arial" w:cs="Arial" w:eastAsia="Arial" w:hAnsi="Arial"/>
          <w:sz w:val="18"/>
          <w:szCs w:val="18"/>
          <w:b w:val="1"/>
          <w:bCs w:val="1"/>
          <w:color w:val="auto"/>
        </w:rPr>
        <w:t xml:space="preserve">Blackout Periods: </w:t>
      </w:r>
      <w:r>
        <w:rPr>
          <w:rFonts w:ascii="Arial" w:cs="Arial" w:eastAsia="Arial" w:hAnsi="Arial"/>
          <w:sz w:val="18"/>
          <w:szCs w:val="18"/>
          <w:color w:val="auto"/>
        </w:rPr>
        <w:t>Our Compensation and Talent Committee does not approve off-cycle awards to our executive officers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blackout periods under our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548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82"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 xml:space="preserve">We describe the Equity Award Grant Date Policy for our non-employee directors above under </w:t>
      </w:r>
      <w:r>
        <w:rPr>
          <w:rFonts w:ascii="Arial" w:cs="Arial" w:eastAsia="Arial" w:hAnsi="Arial"/>
          <w:sz w:val="18"/>
          <w:szCs w:val="18"/>
          <w:i w:val="1"/>
          <w:iCs w:val="1"/>
          <w:color w:val="auto"/>
        </w:rPr>
        <w:t>Corporate Governance—Director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and Accounting Considerations</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Section 162(m) of the Internal Revenue Code generally disallows a tax deduction to public companies for compensation in excess of $1 million paid to certain of the company’s executives. Pursuant to the Tax Cuts and Jobs Act of 2017, or the Tax Act, for fiscal years beginning after December 31, 2017, the group of executives whose compensation is subject to the deduction limitation is broader than under prior law. Prior to the effectiveness of the Tax Act, the deduction limit did not apply to “performance-based compensation” satisfying the requirements of Section 162(m). For fiscal years commencing after December 31, 2017 and future tax years, subject to the transition rules, all compensation in excess of $1 million paid to the specified executives will not be deductible.</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and Talent Committee considers the financial statement impact in determining the amount of, and allocation among the elements of, compensation. We account for stock-based compensation under our 2020 Plan, 2006 Plan, 2010 Plan, and 1996 Plan, as well as all predecessor plans, in accordance with U.S. generally accepted accounting principles.</w:t>
      </w:r>
    </w:p>
    <w:p>
      <w:pPr>
        <w:spacing w:after="0" w:line="25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and Talent Committee Report</w:t>
      </w:r>
    </w:p>
    <w:p>
      <w:pPr>
        <w:spacing w:after="0" w:line="1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The Compensation and Talent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required by Item 402(b) of Regulation S-K with our management. Based on this review and discussion, the Compensation and Talent Committee recommended to our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Talent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H. Frank,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Laurie H. Glimcher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Susie Wee</w:t>
      </w:r>
    </w:p>
    <w:p>
      <w:pPr>
        <w:sectPr>
          <w:pgSz w:w="11900" w:h="16838" w:orient="portrait"/>
          <w:cols w:equalWidth="0" w:num="1">
            <w:col w:w="11240"/>
          </w:cols>
          <w:pgMar w:left="320" w:top="1271" w:right="339" w:bottom="1440" w:gutter="0" w:footer="0" w:header="0"/>
        </w:sectPr>
      </w:pPr>
    </w:p>
    <w:p>
      <w:pPr>
        <w:spacing w:after="0" w:line="256"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67</w:t>
      </w:r>
    </w:p>
    <w:p>
      <w:pPr>
        <w:sectPr>
          <w:pgSz w:w="11900" w:h="16838" w:orient="portrait"/>
          <w:cols w:equalWidth="0" w:num="1">
            <w:col w:w="11240"/>
          </w:cols>
          <w:pgMar w:left="320" w:top="1271" w:right="339" w:bottom="1440" w:gutter="0" w:footer="0" w:header="0"/>
          <w:type w:val="continuous"/>
        </w:sectPr>
      </w:pPr>
    </w:p>
    <w:bookmarkStart w:id="75" w:name="page76"/>
    <w:bookmarkEnd w:id="75"/>
    <w:p>
      <w:pPr>
        <w:ind w:right="1020"/>
        <w:spacing w:after="0" w:line="276" w:lineRule="auto"/>
        <w:rPr>
          <w:sz w:val="20"/>
          <w:szCs w:val="20"/>
          <w:color w:val="auto"/>
        </w:rPr>
      </w:pPr>
      <w:r>
        <w:rPr>
          <w:rFonts w:ascii="Arial" w:cs="Arial" w:eastAsia="Arial" w:hAnsi="Arial"/>
          <w:sz w:val="41"/>
          <w:szCs w:val="41"/>
          <w:b w:val="1"/>
          <w:bCs w:val="1"/>
          <w:color w:val="0067B3"/>
        </w:rPr>
        <w:t>Compensation and Talent Committee Interlocks and Insider Participation</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year 2022, Drs. Frank, Glimcher and Wee served as members of our Compensation and Talent Committee. Additionally, Dr. Little served as a member of the Compensation and Talent Committee until his retirement from our Board of Directors in March 2022. No member of our Compensation and Talent Committee was at any time during fiscal year 2022, or formerly, an officer or employee of ADI or any subsidiary of ADI. No member of our Compensation and Talent Committee had any relationship with us during fiscal year 2022 requiring disclosure under Item 404 of Regulation S-K under the Exchange Act.</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fiscal year 2022, none of our executive officers served as a member of the board of directors or compensation committee (or other committee serving an equivalent function) of any entity that had one or more executive officers serving as a member of our Board of Directors or Compensation and Talent Committee.</w:t>
      </w:r>
    </w:p>
    <w:p>
      <w:pPr>
        <w:spacing w:after="0" w:line="245"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Compensation Tables</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5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contains certain information about the compensation that our NEOs earned in fiscal year 2022, fiscal year 2021 and fiscal year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shd w:val="clear" w:color="auto" w:fill="0067B3"/>
          </w:tcPr>
          <w:p>
            <w:pPr>
              <w:spacing w:after="0"/>
              <w:rPr>
                <w:sz w:val="17"/>
                <w:szCs w:val="17"/>
                <w:color w:val="auto"/>
              </w:rPr>
            </w:pPr>
          </w:p>
        </w:tc>
        <w:tc>
          <w:tcPr>
            <w:tcW w:w="560" w:type="dxa"/>
            <w:vAlign w:val="bottom"/>
            <w:shd w:val="clear" w:color="auto" w:fill="0067B3"/>
          </w:tcPr>
          <w:p>
            <w:pPr>
              <w:spacing w:after="0"/>
              <w:rPr>
                <w:sz w:val="17"/>
                <w:szCs w:val="17"/>
                <w:color w:val="auto"/>
              </w:rPr>
            </w:pPr>
          </w:p>
        </w:tc>
        <w:tc>
          <w:tcPr>
            <w:tcW w:w="140" w:type="dxa"/>
            <w:vAlign w:val="bottom"/>
            <w:shd w:val="clear" w:color="auto" w:fill="0067B3"/>
          </w:tcPr>
          <w:p>
            <w:pPr>
              <w:spacing w:after="0"/>
              <w:rPr>
                <w:sz w:val="17"/>
                <w:szCs w:val="17"/>
                <w:color w:val="auto"/>
              </w:rPr>
            </w:pPr>
          </w:p>
        </w:tc>
        <w:tc>
          <w:tcPr>
            <w:tcW w:w="120" w:type="dxa"/>
            <w:vAlign w:val="bottom"/>
            <w:shd w:val="clear" w:color="auto" w:fill="0067B3"/>
          </w:tcPr>
          <w:p>
            <w:pPr>
              <w:spacing w:after="0"/>
              <w:rPr>
                <w:sz w:val="17"/>
                <w:szCs w:val="17"/>
                <w:color w:val="auto"/>
              </w:rPr>
            </w:pPr>
          </w:p>
        </w:tc>
        <w:tc>
          <w:tcPr>
            <w:tcW w:w="94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760" w:type="dxa"/>
            <w:vAlign w:val="bottom"/>
            <w:shd w:val="clear" w:color="auto" w:fill="0067B3"/>
          </w:tcPr>
          <w:p>
            <w:pPr>
              <w:spacing w:after="0"/>
              <w:rPr>
                <w:sz w:val="17"/>
                <w:szCs w:val="17"/>
                <w:color w:val="auto"/>
              </w:rPr>
            </w:pPr>
          </w:p>
        </w:tc>
        <w:tc>
          <w:tcPr>
            <w:tcW w:w="180" w:type="dxa"/>
            <w:vAlign w:val="bottom"/>
            <w:shd w:val="clear" w:color="auto" w:fill="0067B3"/>
          </w:tcPr>
          <w:p>
            <w:pPr>
              <w:spacing w:after="0"/>
              <w:rPr>
                <w:sz w:val="17"/>
                <w:szCs w:val="17"/>
                <w:color w:val="auto"/>
              </w:rPr>
            </w:pPr>
          </w:p>
        </w:tc>
        <w:tc>
          <w:tcPr>
            <w:tcW w:w="1280" w:type="dxa"/>
            <w:vAlign w:val="bottom"/>
            <w:shd w:val="clear" w:color="auto" w:fill="0067B3"/>
          </w:tcPr>
          <w:p>
            <w:pPr>
              <w:spacing w:after="0"/>
              <w:rPr>
                <w:sz w:val="17"/>
                <w:szCs w:val="17"/>
                <w:color w:val="auto"/>
              </w:rPr>
            </w:pPr>
          </w:p>
        </w:tc>
        <w:tc>
          <w:tcPr>
            <w:tcW w:w="280" w:type="dxa"/>
            <w:vAlign w:val="bottom"/>
            <w:shd w:val="clear" w:color="auto" w:fill="0067B3"/>
          </w:tcPr>
          <w:p>
            <w:pPr>
              <w:spacing w:after="0"/>
              <w:rPr>
                <w:sz w:val="17"/>
                <w:szCs w:val="17"/>
                <w:color w:val="auto"/>
              </w:rPr>
            </w:pPr>
          </w:p>
        </w:tc>
        <w:tc>
          <w:tcPr>
            <w:tcW w:w="880" w:type="dxa"/>
            <w:vAlign w:val="bottom"/>
            <w:shd w:val="clear" w:color="auto" w:fill="0067B3"/>
          </w:tcPr>
          <w:p>
            <w:pPr>
              <w:spacing w:after="0"/>
              <w:rPr>
                <w:sz w:val="17"/>
                <w:szCs w:val="17"/>
                <w:color w:val="auto"/>
              </w:rPr>
            </w:pPr>
          </w:p>
        </w:tc>
        <w:tc>
          <w:tcPr>
            <w:tcW w:w="320" w:type="dxa"/>
            <w:vAlign w:val="bottom"/>
            <w:shd w:val="clear" w:color="auto" w:fill="0067B3"/>
          </w:tcPr>
          <w:p>
            <w:pPr>
              <w:spacing w:after="0"/>
              <w:rPr>
                <w:sz w:val="17"/>
                <w:szCs w:val="17"/>
                <w:color w:val="auto"/>
              </w:rPr>
            </w:pPr>
          </w:p>
        </w:tc>
        <w:tc>
          <w:tcPr>
            <w:tcW w:w="9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Non-Equity</w:t>
            </w:r>
          </w:p>
        </w:tc>
        <w:tc>
          <w:tcPr>
            <w:tcW w:w="500" w:type="dxa"/>
            <w:vAlign w:val="bottom"/>
            <w:shd w:val="clear" w:color="auto" w:fill="0067B3"/>
          </w:tcPr>
          <w:p>
            <w:pPr>
              <w:spacing w:after="0"/>
              <w:rPr>
                <w:sz w:val="17"/>
                <w:szCs w:val="17"/>
                <w:color w:val="auto"/>
              </w:rPr>
            </w:pPr>
          </w:p>
        </w:tc>
        <w:tc>
          <w:tcPr>
            <w:tcW w:w="800" w:type="dxa"/>
            <w:vAlign w:val="bottom"/>
            <w:shd w:val="clear" w:color="auto" w:fill="0067B3"/>
          </w:tcPr>
          <w:p>
            <w:pPr>
              <w:spacing w:after="0"/>
              <w:rPr>
                <w:sz w:val="17"/>
                <w:szCs w:val="17"/>
                <w:color w:val="auto"/>
              </w:rPr>
            </w:pPr>
          </w:p>
        </w:tc>
        <w:tc>
          <w:tcPr>
            <w:tcW w:w="200" w:type="dxa"/>
            <w:vAlign w:val="bottom"/>
            <w:shd w:val="clear" w:color="auto" w:fill="0067B3"/>
          </w:tcPr>
          <w:p>
            <w:pPr>
              <w:spacing w:after="0"/>
              <w:rPr>
                <w:sz w:val="17"/>
                <w:szCs w:val="17"/>
                <w:color w:val="auto"/>
              </w:rPr>
            </w:pPr>
          </w:p>
        </w:tc>
        <w:tc>
          <w:tcPr>
            <w:tcW w:w="980" w:type="dxa"/>
            <w:vAlign w:val="bottom"/>
            <w:shd w:val="clear" w:color="auto" w:fill="0067B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0067B3"/>
          </w:tcPr>
          <w:p>
            <w:pPr>
              <w:spacing w:after="0"/>
              <w:rPr>
                <w:sz w:val="16"/>
                <w:szCs w:val="16"/>
                <w:color w:val="auto"/>
              </w:rPr>
            </w:pPr>
          </w:p>
        </w:tc>
        <w:tc>
          <w:tcPr>
            <w:tcW w:w="56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20" w:type="dxa"/>
            <w:vAlign w:val="bottom"/>
            <w:shd w:val="clear" w:color="auto" w:fill="0067B3"/>
          </w:tcPr>
          <w:p>
            <w:pPr>
              <w:spacing w:after="0"/>
              <w:rPr>
                <w:sz w:val="16"/>
                <w:szCs w:val="16"/>
                <w:color w:val="auto"/>
              </w:rPr>
            </w:pPr>
          </w:p>
        </w:tc>
        <w:tc>
          <w:tcPr>
            <w:tcW w:w="940" w:type="dxa"/>
            <w:vAlign w:val="bottom"/>
            <w:shd w:val="clear" w:color="auto" w:fill="0067B3"/>
          </w:tcPr>
          <w:p>
            <w:pPr>
              <w:spacing w:after="0"/>
              <w:rPr>
                <w:sz w:val="16"/>
                <w:szCs w:val="16"/>
                <w:color w:val="auto"/>
              </w:rPr>
            </w:pPr>
          </w:p>
        </w:tc>
        <w:tc>
          <w:tcPr>
            <w:tcW w:w="200" w:type="dxa"/>
            <w:vAlign w:val="bottom"/>
            <w:shd w:val="clear" w:color="auto" w:fill="0067B3"/>
          </w:tcPr>
          <w:p>
            <w:pPr>
              <w:spacing w:after="0"/>
              <w:rPr>
                <w:sz w:val="16"/>
                <w:szCs w:val="16"/>
                <w:color w:val="auto"/>
              </w:rPr>
            </w:pPr>
          </w:p>
        </w:tc>
        <w:tc>
          <w:tcPr>
            <w:tcW w:w="760" w:type="dxa"/>
            <w:vAlign w:val="bottom"/>
            <w:shd w:val="clear" w:color="auto" w:fill="0067B3"/>
          </w:tcPr>
          <w:p>
            <w:pPr>
              <w:spacing w:after="0"/>
              <w:rPr>
                <w:sz w:val="16"/>
                <w:szCs w:val="16"/>
                <w:color w:val="auto"/>
              </w:rPr>
            </w:pPr>
          </w:p>
        </w:tc>
        <w:tc>
          <w:tcPr>
            <w:tcW w:w="180" w:type="dxa"/>
            <w:vAlign w:val="bottom"/>
            <w:shd w:val="clear" w:color="auto" w:fill="0067B3"/>
          </w:tcPr>
          <w:p>
            <w:pPr>
              <w:spacing w:after="0"/>
              <w:rPr>
                <w:sz w:val="16"/>
                <w:szCs w:val="16"/>
                <w:color w:val="auto"/>
              </w:rPr>
            </w:pP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Stock</w:t>
            </w:r>
          </w:p>
        </w:tc>
        <w:tc>
          <w:tcPr>
            <w:tcW w:w="280" w:type="dxa"/>
            <w:vAlign w:val="bottom"/>
            <w:shd w:val="clear" w:color="auto" w:fill="0067B3"/>
          </w:tcPr>
          <w:p>
            <w:pPr>
              <w:spacing w:after="0"/>
              <w:rPr>
                <w:sz w:val="16"/>
                <w:szCs w:val="16"/>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Option</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Incentive Plan</w:t>
            </w:r>
          </w:p>
        </w:tc>
        <w:tc>
          <w:tcPr>
            <w:tcW w:w="500" w:type="dxa"/>
            <w:vAlign w:val="bottom"/>
            <w:shd w:val="clear" w:color="auto" w:fill="0067B3"/>
          </w:tcPr>
          <w:p>
            <w:pPr>
              <w:spacing w:after="0"/>
              <w:rPr>
                <w:sz w:val="16"/>
                <w:szCs w:val="16"/>
                <w:color w:val="auto"/>
              </w:rPr>
            </w:pPr>
          </w:p>
        </w:tc>
        <w:tc>
          <w:tcPr>
            <w:tcW w:w="8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All Other</w:t>
            </w:r>
          </w:p>
        </w:tc>
        <w:tc>
          <w:tcPr>
            <w:tcW w:w="20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0067B3"/>
          </w:tcPr>
          <w:p>
            <w:pPr>
              <w:ind w:left="20"/>
              <w:spacing w:after="0"/>
              <w:rPr>
                <w:sz w:val="20"/>
                <w:szCs w:val="20"/>
                <w:color w:val="auto"/>
              </w:rPr>
            </w:pPr>
            <w:r>
              <w:rPr>
                <w:rFonts w:ascii="Arial" w:cs="Arial" w:eastAsia="Arial" w:hAnsi="Arial"/>
                <w:sz w:val="16"/>
                <w:szCs w:val="16"/>
                <w:b w:val="1"/>
                <w:bCs w:val="1"/>
                <w:color w:val="FFFFFF"/>
              </w:rPr>
              <w:t>Name and</w:t>
            </w:r>
          </w:p>
        </w:tc>
        <w:tc>
          <w:tcPr>
            <w:tcW w:w="560" w:type="dxa"/>
            <w:vAlign w:val="bottom"/>
            <w:shd w:val="clear" w:color="auto" w:fill="0067B3"/>
          </w:tcPr>
          <w:p>
            <w:pPr>
              <w:jc w:val="center"/>
              <w:spacing w:after="0"/>
              <w:rPr>
                <w:sz w:val="20"/>
                <w:szCs w:val="20"/>
                <w:color w:val="auto"/>
              </w:rPr>
            </w:pPr>
            <w:r>
              <w:rPr>
                <w:rFonts w:ascii="Arial" w:cs="Arial" w:eastAsia="Arial" w:hAnsi="Arial"/>
                <w:sz w:val="16"/>
                <w:szCs w:val="16"/>
                <w:b w:val="1"/>
                <w:bCs w:val="1"/>
                <w:color w:val="FFFFFF"/>
              </w:rPr>
              <w:t>Fiscal</w:t>
            </w:r>
          </w:p>
        </w:tc>
        <w:tc>
          <w:tcPr>
            <w:tcW w:w="140" w:type="dxa"/>
            <w:vAlign w:val="bottom"/>
            <w:shd w:val="clear" w:color="auto" w:fill="0067B3"/>
          </w:tcPr>
          <w:p>
            <w:pPr>
              <w:spacing w:after="0"/>
              <w:rPr>
                <w:sz w:val="17"/>
                <w:szCs w:val="17"/>
                <w:color w:val="auto"/>
              </w:rPr>
            </w:pPr>
          </w:p>
        </w:tc>
        <w:tc>
          <w:tcPr>
            <w:tcW w:w="120" w:type="dxa"/>
            <w:vAlign w:val="bottom"/>
            <w:shd w:val="clear" w:color="auto" w:fill="0067B3"/>
          </w:tcPr>
          <w:p>
            <w:pPr>
              <w:spacing w:after="0"/>
              <w:rPr>
                <w:sz w:val="17"/>
                <w:szCs w:val="17"/>
                <w:color w:val="auto"/>
              </w:rPr>
            </w:pPr>
          </w:p>
        </w:tc>
        <w:tc>
          <w:tcPr>
            <w:tcW w:w="9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Salary</w:t>
            </w:r>
          </w:p>
        </w:tc>
        <w:tc>
          <w:tcPr>
            <w:tcW w:w="200" w:type="dxa"/>
            <w:vAlign w:val="bottom"/>
            <w:shd w:val="clear" w:color="auto" w:fill="0067B3"/>
          </w:tcPr>
          <w:p>
            <w:pPr>
              <w:spacing w:after="0"/>
              <w:rPr>
                <w:sz w:val="17"/>
                <w:szCs w:val="17"/>
                <w:color w:val="auto"/>
              </w:rPr>
            </w:pPr>
          </w:p>
        </w:tc>
        <w:tc>
          <w:tcPr>
            <w:tcW w:w="76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Bonus</w:t>
            </w:r>
          </w:p>
        </w:tc>
        <w:tc>
          <w:tcPr>
            <w:tcW w:w="180" w:type="dxa"/>
            <w:vAlign w:val="bottom"/>
            <w:shd w:val="clear" w:color="auto" w:fill="0067B3"/>
          </w:tcPr>
          <w:p>
            <w:pPr>
              <w:spacing w:after="0"/>
              <w:rPr>
                <w:sz w:val="17"/>
                <w:szCs w:val="17"/>
                <w:color w:val="auto"/>
              </w:rPr>
            </w:pPr>
          </w:p>
        </w:tc>
        <w:tc>
          <w:tcPr>
            <w:tcW w:w="12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280" w:type="dxa"/>
            <w:vAlign w:val="bottom"/>
            <w:shd w:val="clear" w:color="auto" w:fill="0067B3"/>
          </w:tcPr>
          <w:p>
            <w:pPr>
              <w:spacing w:after="0"/>
              <w:rPr>
                <w:sz w:val="17"/>
                <w:szCs w:val="17"/>
                <w:color w:val="auto"/>
              </w:rPr>
            </w:pPr>
          </w:p>
        </w:tc>
        <w:tc>
          <w:tcPr>
            <w:tcW w:w="8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Awards</w:t>
            </w:r>
          </w:p>
        </w:tc>
        <w:tc>
          <w:tcPr>
            <w:tcW w:w="128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130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Compensation</w:t>
            </w:r>
          </w:p>
        </w:tc>
        <w:tc>
          <w:tcPr>
            <w:tcW w:w="20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4"/>
        </w:trPr>
        <w:tc>
          <w:tcPr>
            <w:tcW w:w="214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Principal Position</w:t>
            </w:r>
          </w:p>
        </w:tc>
        <w:tc>
          <w:tcPr>
            <w:tcW w:w="560" w:type="dxa"/>
            <w:vAlign w:val="bottom"/>
            <w:tcBorders>
              <w:bottom w:val="single" w:sz="8" w:color="auto"/>
            </w:tcBorders>
            <w:shd w:val="clear" w:color="auto" w:fill="0067B3"/>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40" w:type="dxa"/>
            <w:vAlign w:val="bottom"/>
            <w:tcBorders>
              <w:bottom w:val="single" w:sz="8" w:color="auto"/>
            </w:tcBorders>
            <w:shd w:val="clear" w:color="auto" w:fill="0067B3"/>
          </w:tcPr>
          <w:p>
            <w:pPr>
              <w:spacing w:after="0"/>
              <w:rPr>
                <w:sz w:val="21"/>
                <w:szCs w:val="21"/>
                <w:color w:val="auto"/>
              </w:rPr>
            </w:pPr>
          </w:p>
        </w:tc>
        <w:tc>
          <w:tcPr>
            <w:tcW w:w="120" w:type="dxa"/>
            <w:vAlign w:val="bottom"/>
            <w:tcBorders>
              <w:bottom w:val="single" w:sz="8" w:color="auto"/>
            </w:tcBorders>
            <w:shd w:val="clear" w:color="auto" w:fill="0067B3"/>
          </w:tcPr>
          <w:p>
            <w:pPr>
              <w:spacing w:after="0"/>
              <w:rPr>
                <w:sz w:val="21"/>
                <w:szCs w:val="21"/>
                <w:color w:val="auto"/>
              </w:rPr>
            </w:pPr>
          </w:p>
        </w:tc>
        <w:tc>
          <w:tcPr>
            <w:tcW w:w="9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21"/>
                <w:szCs w:val="21"/>
                <w:b w:val="1"/>
                <w:bCs w:val="1"/>
                <w:color w:val="FFFFFF"/>
                <w:vertAlign w:val="superscript"/>
              </w:rPr>
              <w:t>(1)</w:t>
            </w:r>
          </w:p>
        </w:tc>
        <w:tc>
          <w:tcPr>
            <w:tcW w:w="200" w:type="dxa"/>
            <w:vAlign w:val="bottom"/>
            <w:tcBorders>
              <w:bottom w:val="single" w:sz="8" w:color="auto"/>
            </w:tcBorders>
            <w:shd w:val="clear" w:color="auto" w:fill="0067B3"/>
          </w:tcPr>
          <w:p>
            <w:pPr>
              <w:spacing w:after="0"/>
              <w:rPr>
                <w:sz w:val="21"/>
                <w:szCs w:val="21"/>
                <w:color w:val="auto"/>
              </w:rPr>
            </w:pPr>
          </w:p>
        </w:tc>
        <w:tc>
          <w:tcPr>
            <w:tcW w:w="7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80" w:type="dxa"/>
            <w:vAlign w:val="bottom"/>
            <w:tcBorders>
              <w:bottom w:val="single" w:sz="8" w:color="auto"/>
            </w:tcBorders>
            <w:shd w:val="clear" w:color="auto" w:fill="0067B3"/>
          </w:tcPr>
          <w:p>
            <w:pPr>
              <w:spacing w:after="0"/>
              <w:rPr>
                <w:sz w:val="21"/>
                <w:szCs w:val="21"/>
                <w:color w:val="auto"/>
              </w:rPr>
            </w:pPr>
          </w:p>
        </w:tc>
        <w:tc>
          <w:tcPr>
            <w:tcW w:w="12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280" w:type="dxa"/>
            <w:vAlign w:val="bottom"/>
            <w:tcBorders>
              <w:bottom w:val="single" w:sz="8" w:color="auto"/>
            </w:tcBorders>
            <w:shd w:val="clear" w:color="auto" w:fill="0067B3"/>
          </w:tcPr>
          <w:p>
            <w:pPr>
              <w:spacing w:after="0"/>
              <w:rPr>
                <w:sz w:val="21"/>
                <w:szCs w:val="21"/>
                <w:color w:val="auto"/>
              </w:rPr>
            </w:pPr>
          </w:p>
        </w:tc>
        <w:tc>
          <w:tcPr>
            <w:tcW w:w="8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c>
          <w:tcPr>
            <w:tcW w:w="320" w:type="dxa"/>
            <w:vAlign w:val="bottom"/>
            <w:tcBorders>
              <w:bottom w:val="single" w:sz="8" w:color="auto"/>
            </w:tcBorders>
            <w:shd w:val="clear" w:color="auto" w:fill="0067B3"/>
          </w:tcPr>
          <w:p>
            <w:pPr>
              <w:spacing w:after="0"/>
              <w:rPr>
                <w:sz w:val="21"/>
                <w:szCs w:val="21"/>
                <w:color w:val="auto"/>
              </w:rPr>
            </w:pPr>
          </w:p>
        </w:tc>
        <w:tc>
          <w:tcPr>
            <w:tcW w:w="9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(4)</w:t>
            </w:r>
          </w:p>
        </w:tc>
        <w:tc>
          <w:tcPr>
            <w:tcW w:w="500" w:type="dxa"/>
            <w:vAlign w:val="bottom"/>
            <w:tcBorders>
              <w:bottom w:val="single" w:sz="8" w:color="auto"/>
            </w:tcBorders>
            <w:shd w:val="clear" w:color="auto" w:fill="0067B3"/>
          </w:tcPr>
          <w:p>
            <w:pPr>
              <w:spacing w:after="0"/>
              <w:rPr>
                <w:sz w:val="21"/>
                <w:szCs w:val="21"/>
                <w:color w:val="auto"/>
              </w:rPr>
            </w:pPr>
          </w:p>
        </w:tc>
        <w:tc>
          <w:tcPr>
            <w:tcW w:w="80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(5)</w:t>
            </w:r>
          </w:p>
        </w:tc>
        <w:tc>
          <w:tcPr>
            <w:tcW w:w="200" w:type="dxa"/>
            <w:vAlign w:val="bottom"/>
            <w:tcBorders>
              <w:bottom w:val="single" w:sz="8" w:color="auto"/>
            </w:tcBorders>
            <w:shd w:val="clear" w:color="auto" w:fill="0067B3"/>
          </w:tcPr>
          <w:p>
            <w:pPr>
              <w:spacing w:after="0"/>
              <w:rPr>
                <w:sz w:val="21"/>
                <w:szCs w:val="21"/>
                <w:color w:val="auto"/>
              </w:rPr>
            </w:pPr>
          </w:p>
        </w:tc>
        <w:tc>
          <w:tcPr>
            <w:tcW w:w="9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8"/>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w w:val="97"/>
              </w:rPr>
              <w:t>1,075,000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ind w:right="292"/>
              <w:spacing w:after="0"/>
              <w:rPr>
                <w:sz w:val="20"/>
                <w:szCs w:val="20"/>
                <w:color w:val="auto"/>
              </w:rPr>
            </w:pPr>
            <w:r>
              <w:rPr>
                <w:rFonts w:ascii="Arial" w:cs="Arial" w:eastAsia="Arial" w:hAnsi="Arial"/>
                <w:sz w:val="18"/>
                <w:szCs w:val="18"/>
                <w:color w:val="auto"/>
                <w:w w:val="97"/>
              </w:rPr>
              <w:t>15,000,172</w:t>
            </w: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w w:val="99"/>
              </w:rPr>
              <w:t>5,560,731</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w w:val="98"/>
              </w:rPr>
              <w:t>462,392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22,098,295</w:t>
            </w:r>
          </w:p>
        </w:tc>
        <w:tc>
          <w:tcPr>
            <w:tcW w:w="0" w:type="dxa"/>
            <w:vAlign w:val="bottom"/>
          </w:tcPr>
          <w:p>
            <w:pPr>
              <w:spacing w:after="0"/>
              <w:rPr>
                <w:sz w:val="1"/>
                <w:szCs w:val="1"/>
                <w:color w:val="auto"/>
              </w:rPr>
            </w:pPr>
          </w:p>
        </w:tc>
      </w:tr>
      <w:tr>
        <w:trPr>
          <w:trHeight w:val="216"/>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Chief Executive Officer &amp;</w:t>
            </w:r>
          </w:p>
        </w:tc>
        <w:tc>
          <w:tcPr>
            <w:tcW w:w="5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E2E6F4"/>
          </w:tcPr>
          <w:p>
            <w:pPr>
              <w:spacing w:after="0"/>
              <w:rPr>
                <w:sz w:val="18"/>
                <w:szCs w:val="18"/>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w w:val="97"/>
              </w:rPr>
              <w:t>1,050,000</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ind w:right="292"/>
              <w:spacing w:after="0"/>
              <w:rPr>
                <w:sz w:val="20"/>
                <w:szCs w:val="20"/>
                <w:color w:val="auto"/>
              </w:rPr>
            </w:pPr>
            <w:r>
              <w:rPr>
                <w:rFonts w:ascii="Arial" w:cs="Arial" w:eastAsia="Arial" w:hAnsi="Arial"/>
                <w:sz w:val="18"/>
                <w:szCs w:val="18"/>
                <w:color w:val="auto"/>
              </w:rPr>
              <w:t>8,591,204</w:t>
            </w:r>
          </w:p>
        </w:tc>
        <w:tc>
          <w:tcPr>
            <w:tcW w:w="1160" w:type="dxa"/>
            <w:vAlign w:val="bottom"/>
            <w:gridSpan w:val="2"/>
            <w:vMerge w:val="restart"/>
            <w:shd w:val="clear" w:color="auto" w:fill="E2E6F4"/>
          </w:tcPr>
          <w:p>
            <w:pPr>
              <w:jc w:val="right"/>
              <w:ind w:right="32"/>
              <w:spacing w:after="0"/>
              <w:rPr>
                <w:sz w:val="20"/>
                <w:szCs w:val="20"/>
                <w:color w:val="auto"/>
              </w:rPr>
            </w:pPr>
            <w:r>
              <w:rPr>
                <w:rFonts w:ascii="Arial" w:cs="Arial" w:eastAsia="Arial" w:hAnsi="Arial"/>
                <w:sz w:val="18"/>
                <w:szCs w:val="18"/>
                <w:color w:val="auto"/>
              </w:rPr>
              <w:t>$17,118,004</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w w:val="99"/>
              </w:rPr>
              <w:t>3,981,115</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rPr>
              <w:t>84,000</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30,824,323</w:t>
            </w:r>
          </w:p>
        </w:tc>
        <w:tc>
          <w:tcPr>
            <w:tcW w:w="0" w:type="dxa"/>
            <w:vAlign w:val="bottom"/>
          </w:tcPr>
          <w:p>
            <w:pPr>
              <w:spacing w:after="0"/>
              <w:rPr>
                <w:sz w:val="1"/>
                <w:szCs w:val="1"/>
                <w:color w:val="auto"/>
              </w:rPr>
            </w:pPr>
          </w:p>
        </w:tc>
      </w:tr>
      <w:tr>
        <w:trPr>
          <w:trHeight w:val="90"/>
        </w:trPr>
        <w:tc>
          <w:tcPr>
            <w:tcW w:w="214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Chair of the Board</w:t>
            </w:r>
          </w:p>
        </w:tc>
        <w:tc>
          <w:tcPr>
            <w:tcW w:w="560" w:type="dxa"/>
            <w:vAlign w:val="bottom"/>
            <w:vMerge w:val="continue"/>
            <w:shd w:val="clear" w:color="auto" w:fill="E2E6F4"/>
          </w:tcPr>
          <w:p>
            <w:pPr>
              <w:spacing w:after="0"/>
              <w:rPr>
                <w:sz w:val="7"/>
                <w:szCs w:val="7"/>
                <w:color w:val="auto"/>
              </w:rPr>
            </w:pPr>
          </w:p>
        </w:tc>
        <w:tc>
          <w:tcPr>
            <w:tcW w:w="140" w:type="dxa"/>
            <w:vAlign w:val="bottom"/>
            <w:shd w:val="clear" w:color="auto" w:fill="E2E6F4"/>
          </w:tcPr>
          <w:p>
            <w:pPr>
              <w:spacing w:after="0"/>
              <w:rPr>
                <w:sz w:val="7"/>
                <w:szCs w:val="7"/>
                <w:color w:val="auto"/>
              </w:rPr>
            </w:pPr>
          </w:p>
        </w:tc>
        <w:tc>
          <w:tcPr>
            <w:tcW w:w="120" w:type="dxa"/>
            <w:vAlign w:val="bottom"/>
            <w:vMerge w:val="continue"/>
            <w:shd w:val="clear" w:color="auto" w:fill="E2E6F4"/>
          </w:tcPr>
          <w:p>
            <w:pPr>
              <w:spacing w:after="0"/>
              <w:rPr>
                <w:sz w:val="7"/>
                <w:szCs w:val="7"/>
                <w:color w:val="auto"/>
              </w:rPr>
            </w:pPr>
          </w:p>
        </w:tc>
        <w:tc>
          <w:tcPr>
            <w:tcW w:w="940" w:type="dxa"/>
            <w:vAlign w:val="bottom"/>
            <w:vMerge w:val="continue"/>
            <w:shd w:val="clear" w:color="auto" w:fill="E2E6F4"/>
          </w:tcPr>
          <w:p>
            <w:pPr>
              <w:spacing w:after="0"/>
              <w:rPr>
                <w:sz w:val="7"/>
                <w:szCs w:val="7"/>
                <w:color w:val="auto"/>
              </w:rPr>
            </w:pPr>
          </w:p>
        </w:tc>
        <w:tc>
          <w:tcPr>
            <w:tcW w:w="200" w:type="dxa"/>
            <w:vAlign w:val="bottom"/>
            <w:vMerge w:val="continue"/>
            <w:shd w:val="clear" w:color="auto" w:fill="E2E6F4"/>
          </w:tcPr>
          <w:p>
            <w:pPr>
              <w:spacing w:after="0"/>
              <w:rPr>
                <w:sz w:val="7"/>
                <w:szCs w:val="7"/>
                <w:color w:val="auto"/>
              </w:rPr>
            </w:pPr>
          </w:p>
        </w:tc>
        <w:tc>
          <w:tcPr>
            <w:tcW w:w="760" w:type="dxa"/>
            <w:vAlign w:val="bottom"/>
            <w:vMerge w:val="continue"/>
            <w:shd w:val="clear" w:color="auto" w:fill="E2E6F4"/>
          </w:tcPr>
          <w:p>
            <w:pPr>
              <w:spacing w:after="0"/>
              <w:rPr>
                <w:sz w:val="7"/>
                <w:szCs w:val="7"/>
                <w:color w:val="auto"/>
              </w:rPr>
            </w:pPr>
          </w:p>
        </w:tc>
        <w:tc>
          <w:tcPr>
            <w:tcW w:w="180" w:type="dxa"/>
            <w:vAlign w:val="bottom"/>
            <w:vMerge w:val="continue"/>
            <w:shd w:val="clear" w:color="auto" w:fill="E2E6F4"/>
          </w:tcPr>
          <w:p>
            <w:pPr>
              <w:spacing w:after="0"/>
              <w:rPr>
                <w:sz w:val="7"/>
                <w:szCs w:val="7"/>
                <w:color w:val="auto"/>
              </w:rPr>
            </w:pPr>
          </w:p>
        </w:tc>
        <w:tc>
          <w:tcPr>
            <w:tcW w:w="1280" w:type="dxa"/>
            <w:vAlign w:val="bottom"/>
            <w:vMerge w:val="continue"/>
            <w:shd w:val="clear" w:color="auto" w:fill="E2E6F4"/>
          </w:tcPr>
          <w:p>
            <w:pPr>
              <w:spacing w:after="0"/>
              <w:rPr>
                <w:sz w:val="7"/>
                <w:szCs w:val="7"/>
                <w:color w:val="auto"/>
              </w:rPr>
            </w:pPr>
          </w:p>
        </w:tc>
        <w:tc>
          <w:tcPr>
            <w:tcW w:w="1160" w:type="dxa"/>
            <w:vAlign w:val="bottom"/>
            <w:gridSpan w:val="2"/>
            <w:vMerge w:val="continue"/>
            <w:shd w:val="clear" w:color="auto" w:fill="E2E6F4"/>
          </w:tcPr>
          <w:p>
            <w:pPr>
              <w:spacing w:after="0"/>
              <w:rPr>
                <w:sz w:val="7"/>
                <w:szCs w:val="7"/>
                <w:color w:val="auto"/>
              </w:rPr>
            </w:pPr>
          </w:p>
        </w:tc>
        <w:tc>
          <w:tcPr>
            <w:tcW w:w="320" w:type="dxa"/>
            <w:vAlign w:val="bottom"/>
            <w:vMerge w:val="continue"/>
            <w:shd w:val="clear" w:color="auto" w:fill="E2E6F4"/>
          </w:tcPr>
          <w:p>
            <w:pPr>
              <w:spacing w:after="0"/>
              <w:rPr>
                <w:sz w:val="7"/>
                <w:szCs w:val="7"/>
                <w:color w:val="auto"/>
              </w:rPr>
            </w:pPr>
          </w:p>
        </w:tc>
        <w:tc>
          <w:tcPr>
            <w:tcW w:w="960" w:type="dxa"/>
            <w:vAlign w:val="bottom"/>
            <w:vMerge w:val="continue"/>
            <w:shd w:val="clear" w:color="auto" w:fill="E2E6F4"/>
          </w:tcPr>
          <w:p>
            <w:pPr>
              <w:spacing w:after="0"/>
              <w:rPr>
                <w:sz w:val="7"/>
                <w:szCs w:val="7"/>
                <w:color w:val="auto"/>
              </w:rPr>
            </w:pPr>
          </w:p>
        </w:tc>
        <w:tc>
          <w:tcPr>
            <w:tcW w:w="500" w:type="dxa"/>
            <w:vAlign w:val="bottom"/>
            <w:vMerge w:val="continue"/>
            <w:shd w:val="clear" w:color="auto" w:fill="E2E6F4"/>
          </w:tcPr>
          <w:p>
            <w:pPr>
              <w:spacing w:after="0"/>
              <w:rPr>
                <w:sz w:val="7"/>
                <w:szCs w:val="7"/>
                <w:color w:val="auto"/>
              </w:rPr>
            </w:pPr>
          </w:p>
        </w:tc>
        <w:tc>
          <w:tcPr>
            <w:tcW w:w="800" w:type="dxa"/>
            <w:vAlign w:val="bottom"/>
            <w:vMerge w:val="continue"/>
            <w:shd w:val="clear" w:color="auto" w:fill="E2E6F4"/>
          </w:tcPr>
          <w:p>
            <w:pPr>
              <w:spacing w:after="0"/>
              <w:rPr>
                <w:sz w:val="7"/>
                <w:szCs w:val="7"/>
                <w:color w:val="auto"/>
              </w:rPr>
            </w:pPr>
          </w:p>
        </w:tc>
        <w:tc>
          <w:tcPr>
            <w:tcW w:w="200" w:type="dxa"/>
            <w:vAlign w:val="bottom"/>
            <w:vMerge w:val="continue"/>
            <w:shd w:val="clear" w:color="auto" w:fill="E2E6F4"/>
          </w:tcPr>
          <w:p>
            <w:pPr>
              <w:spacing w:after="0"/>
              <w:rPr>
                <w:sz w:val="7"/>
                <w:szCs w:val="7"/>
                <w:color w:val="auto"/>
              </w:rPr>
            </w:pPr>
          </w:p>
        </w:tc>
        <w:tc>
          <w:tcPr>
            <w:tcW w:w="980" w:type="dxa"/>
            <w:vAlign w:val="bottom"/>
            <w:vMerge w:val="continue"/>
            <w:shd w:val="clear" w:color="auto" w:fill="E2E6F4"/>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140" w:type="dxa"/>
            <w:vAlign w:val="bottom"/>
            <w:vMerge w:val="continue"/>
            <w:shd w:val="clear" w:color="auto" w:fill="E2E6F4"/>
          </w:tcPr>
          <w:p>
            <w:pPr>
              <w:spacing w:after="0"/>
              <w:rPr>
                <w:sz w:val="10"/>
                <w:szCs w:val="10"/>
                <w:color w:val="auto"/>
              </w:rPr>
            </w:pPr>
          </w:p>
        </w:tc>
        <w:tc>
          <w:tcPr>
            <w:tcW w:w="5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shd w:val="clear" w:color="auto" w:fill="E2E6F4"/>
          </w:tcPr>
          <w:p>
            <w:pPr>
              <w:spacing w:after="0"/>
              <w:rPr>
                <w:sz w:val="10"/>
                <w:szCs w:val="10"/>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w w:val="97"/>
              </w:rPr>
              <w:t>1,050,000</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ind w:right="292"/>
              <w:spacing w:after="0"/>
              <w:rPr>
                <w:sz w:val="20"/>
                <w:szCs w:val="20"/>
                <w:color w:val="auto"/>
              </w:rPr>
            </w:pPr>
            <w:r>
              <w:rPr>
                <w:rFonts w:ascii="Arial" w:cs="Arial" w:eastAsia="Arial" w:hAnsi="Arial"/>
                <w:sz w:val="18"/>
                <w:szCs w:val="18"/>
                <w:color w:val="auto"/>
              </w:rPr>
              <w:t>7,505,999</w:t>
            </w:r>
          </w:p>
        </w:tc>
        <w:tc>
          <w:tcPr>
            <w:tcW w:w="1160" w:type="dxa"/>
            <w:vAlign w:val="bottom"/>
            <w:gridSpan w:val="2"/>
            <w:vMerge w:val="restart"/>
            <w:shd w:val="clear" w:color="auto" w:fill="E2E6F4"/>
          </w:tcPr>
          <w:p>
            <w:pPr>
              <w:jc w:val="right"/>
              <w:ind w:right="32"/>
              <w:spacing w:after="0"/>
              <w:rPr>
                <w:sz w:val="20"/>
                <w:szCs w:val="20"/>
                <w:color w:val="auto"/>
              </w:rPr>
            </w:pPr>
            <w:r>
              <w:rPr>
                <w:rFonts w:ascii="Arial" w:cs="Arial" w:eastAsia="Arial" w:hAnsi="Arial"/>
                <w:sz w:val="18"/>
                <w:szCs w:val="18"/>
                <w:color w:val="auto"/>
              </w:rPr>
              <w:t>$ 2,484,988</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w w:val="99"/>
              </w:rPr>
              <w:t>1,229,106</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rPr>
              <w:t>87,825</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12,357,918</w:t>
            </w:r>
          </w:p>
        </w:tc>
        <w:tc>
          <w:tcPr>
            <w:tcW w:w="0" w:type="dxa"/>
            <w:vAlign w:val="bottom"/>
          </w:tcPr>
          <w:p>
            <w:pPr>
              <w:spacing w:after="0"/>
              <w:rPr>
                <w:sz w:val="1"/>
                <w:szCs w:val="1"/>
                <w:color w:val="auto"/>
              </w:rPr>
            </w:pPr>
          </w:p>
        </w:tc>
      </w:tr>
      <w:tr>
        <w:trPr>
          <w:trHeight w:val="158"/>
        </w:trPr>
        <w:tc>
          <w:tcPr>
            <w:tcW w:w="214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of Directors</w:t>
            </w:r>
          </w:p>
        </w:tc>
        <w:tc>
          <w:tcPr>
            <w:tcW w:w="560" w:type="dxa"/>
            <w:vAlign w:val="bottom"/>
            <w:vMerge w:val="continue"/>
            <w:shd w:val="clear" w:color="auto" w:fill="E2E6F4"/>
          </w:tcPr>
          <w:p>
            <w:pPr>
              <w:spacing w:after="0"/>
              <w:rPr>
                <w:sz w:val="13"/>
                <w:szCs w:val="13"/>
                <w:color w:val="auto"/>
              </w:rPr>
            </w:pPr>
          </w:p>
        </w:tc>
        <w:tc>
          <w:tcPr>
            <w:tcW w:w="140" w:type="dxa"/>
            <w:vAlign w:val="bottom"/>
            <w:shd w:val="clear" w:color="auto" w:fill="E2E6F4"/>
          </w:tcPr>
          <w:p>
            <w:pPr>
              <w:spacing w:after="0"/>
              <w:rPr>
                <w:sz w:val="13"/>
                <w:szCs w:val="13"/>
                <w:color w:val="auto"/>
              </w:rPr>
            </w:pPr>
          </w:p>
        </w:tc>
        <w:tc>
          <w:tcPr>
            <w:tcW w:w="120" w:type="dxa"/>
            <w:vAlign w:val="bottom"/>
            <w:vMerge w:val="continue"/>
            <w:shd w:val="clear" w:color="auto" w:fill="E2E6F4"/>
          </w:tcPr>
          <w:p>
            <w:pPr>
              <w:spacing w:after="0"/>
              <w:rPr>
                <w:sz w:val="13"/>
                <w:szCs w:val="13"/>
                <w:color w:val="auto"/>
              </w:rPr>
            </w:pPr>
          </w:p>
        </w:tc>
        <w:tc>
          <w:tcPr>
            <w:tcW w:w="940" w:type="dxa"/>
            <w:vAlign w:val="bottom"/>
            <w:vMerge w:val="continue"/>
            <w:shd w:val="clear" w:color="auto" w:fill="E2E6F4"/>
          </w:tcPr>
          <w:p>
            <w:pPr>
              <w:spacing w:after="0"/>
              <w:rPr>
                <w:sz w:val="13"/>
                <w:szCs w:val="13"/>
                <w:color w:val="auto"/>
              </w:rPr>
            </w:pPr>
          </w:p>
        </w:tc>
        <w:tc>
          <w:tcPr>
            <w:tcW w:w="200" w:type="dxa"/>
            <w:vAlign w:val="bottom"/>
            <w:vMerge w:val="continue"/>
            <w:shd w:val="clear" w:color="auto" w:fill="E2E6F4"/>
          </w:tcPr>
          <w:p>
            <w:pPr>
              <w:spacing w:after="0"/>
              <w:rPr>
                <w:sz w:val="13"/>
                <w:szCs w:val="13"/>
                <w:color w:val="auto"/>
              </w:rPr>
            </w:pPr>
          </w:p>
        </w:tc>
        <w:tc>
          <w:tcPr>
            <w:tcW w:w="760" w:type="dxa"/>
            <w:vAlign w:val="bottom"/>
            <w:vMerge w:val="continue"/>
            <w:shd w:val="clear" w:color="auto" w:fill="E2E6F4"/>
          </w:tcPr>
          <w:p>
            <w:pPr>
              <w:spacing w:after="0"/>
              <w:rPr>
                <w:sz w:val="13"/>
                <w:szCs w:val="13"/>
                <w:color w:val="auto"/>
              </w:rPr>
            </w:pPr>
          </w:p>
        </w:tc>
        <w:tc>
          <w:tcPr>
            <w:tcW w:w="180" w:type="dxa"/>
            <w:vAlign w:val="bottom"/>
            <w:vMerge w:val="continue"/>
            <w:shd w:val="clear" w:color="auto" w:fill="E2E6F4"/>
          </w:tcPr>
          <w:p>
            <w:pPr>
              <w:spacing w:after="0"/>
              <w:rPr>
                <w:sz w:val="13"/>
                <w:szCs w:val="13"/>
                <w:color w:val="auto"/>
              </w:rPr>
            </w:pPr>
          </w:p>
        </w:tc>
        <w:tc>
          <w:tcPr>
            <w:tcW w:w="1280" w:type="dxa"/>
            <w:vAlign w:val="bottom"/>
            <w:vMerge w:val="continue"/>
            <w:shd w:val="clear" w:color="auto" w:fill="E2E6F4"/>
          </w:tcPr>
          <w:p>
            <w:pPr>
              <w:spacing w:after="0"/>
              <w:rPr>
                <w:sz w:val="13"/>
                <w:szCs w:val="13"/>
                <w:color w:val="auto"/>
              </w:rPr>
            </w:pPr>
          </w:p>
        </w:tc>
        <w:tc>
          <w:tcPr>
            <w:tcW w:w="1160" w:type="dxa"/>
            <w:vAlign w:val="bottom"/>
            <w:gridSpan w:val="2"/>
            <w:vMerge w:val="continue"/>
            <w:shd w:val="clear" w:color="auto" w:fill="E2E6F4"/>
          </w:tcPr>
          <w:p>
            <w:pPr>
              <w:spacing w:after="0"/>
              <w:rPr>
                <w:sz w:val="13"/>
                <w:szCs w:val="13"/>
                <w:color w:val="auto"/>
              </w:rPr>
            </w:pPr>
          </w:p>
        </w:tc>
        <w:tc>
          <w:tcPr>
            <w:tcW w:w="320" w:type="dxa"/>
            <w:vAlign w:val="bottom"/>
            <w:vMerge w:val="continue"/>
            <w:shd w:val="clear" w:color="auto" w:fill="E2E6F4"/>
          </w:tcPr>
          <w:p>
            <w:pPr>
              <w:spacing w:after="0"/>
              <w:rPr>
                <w:sz w:val="13"/>
                <w:szCs w:val="13"/>
                <w:color w:val="auto"/>
              </w:rPr>
            </w:pPr>
          </w:p>
        </w:tc>
        <w:tc>
          <w:tcPr>
            <w:tcW w:w="960" w:type="dxa"/>
            <w:vAlign w:val="bottom"/>
            <w:vMerge w:val="continue"/>
            <w:shd w:val="clear" w:color="auto" w:fill="E2E6F4"/>
          </w:tcPr>
          <w:p>
            <w:pPr>
              <w:spacing w:after="0"/>
              <w:rPr>
                <w:sz w:val="13"/>
                <w:szCs w:val="13"/>
                <w:color w:val="auto"/>
              </w:rPr>
            </w:pPr>
          </w:p>
        </w:tc>
        <w:tc>
          <w:tcPr>
            <w:tcW w:w="500" w:type="dxa"/>
            <w:vAlign w:val="bottom"/>
            <w:vMerge w:val="continue"/>
            <w:shd w:val="clear" w:color="auto" w:fill="E2E6F4"/>
          </w:tcPr>
          <w:p>
            <w:pPr>
              <w:spacing w:after="0"/>
              <w:rPr>
                <w:sz w:val="13"/>
                <w:szCs w:val="13"/>
                <w:color w:val="auto"/>
              </w:rPr>
            </w:pPr>
          </w:p>
        </w:tc>
        <w:tc>
          <w:tcPr>
            <w:tcW w:w="800" w:type="dxa"/>
            <w:vAlign w:val="bottom"/>
            <w:vMerge w:val="continue"/>
            <w:shd w:val="clear" w:color="auto" w:fill="E2E6F4"/>
          </w:tcPr>
          <w:p>
            <w:pPr>
              <w:spacing w:after="0"/>
              <w:rPr>
                <w:sz w:val="13"/>
                <w:szCs w:val="13"/>
                <w:color w:val="auto"/>
              </w:rPr>
            </w:pPr>
          </w:p>
        </w:tc>
        <w:tc>
          <w:tcPr>
            <w:tcW w:w="200" w:type="dxa"/>
            <w:vAlign w:val="bottom"/>
            <w:vMerge w:val="continue"/>
            <w:shd w:val="clear" w:color="auto" w:fill="E2E6F4"/>
          </w:tcPr>
          <w:p>
            <w:pPr>
              <w:spacing w:after="0"/>
              <w:rPr>
                <w:sz w:val="13"/>
                <w:szCs w:val="13"/>
                <w:color w:val="auto"/>
              </w:rPr>
            </w:pPr>
          </w:p>
        </w:tc>
        <w:tc>
          <w:tcPr>
            <w:tcW w:w="980" w:type="dxa"/>
            <w:vAlign w:val="bottom"/>
            <w:vMerge w:val="continue"/>
            <w:shd w:val="clear" w:color="auto" w:fill="E2E6F4"/>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140" w:type="dxa"/>
            <w:vAlign w:val="bottom"/>
            <w:tcBorders>
              <w:bottom w:val="single" w:sz="8" w:color="E2E6F4"/>
            </w:tcBorders>
            <w:vMerge w:val="continue"/>
            <w:shd w:val="clear" w:color="auto" w:fill="E2E6F4"/>
          </w:tcPr>
          <w:p>
            <w:pPr>
              <w:spacing w:after="0"/>
              <w:rPr>
                <w:sz w:val="7"/>
                <w:szCs w:val="7"/>
                <w:color w:val="auto"/>
              </w:rPr>
            </w:pPr>
          </w:p>
        </w:tc>
        <w:tc>
          <w:tcPr>
            <w:tcW w:w="560" w:type="dxa"/>
            <w:vAlign w:val="bottom"/>
            <w:tcBorders>
              <w:bottom w:val="single" w:sz="8" w:color="E2E6F4"/>
            </w:tcBorders>
            <w:shd w:val="clear" w:color="auto" w:fill="E2E6F4"/>
          </w:tcPr>
          <w:p>
            <w:pPr>
              <w:spacing w:after="0"/>
              <w:rPr>
                <w:sz w:val="7"/>
                <w:szCs w:val="7"/>
                <w:color w:val="auto"/>
              </w:rPr>
            </w:pPr>
          </w:p>
        </w:tc>
        <w:tc>
          <w:tcPr>
            <w:tcW w:w="140" w:type="dxa"/>
            <w:vAlign w:val="bottom"/>
            <w:tcBorders>
              <w:bottom w:val="single" w:sz="8" w:color="E2E6F4"/>
            </w:tcBorders>
            <w:shd w:val="clear" w:color="auto" w:fill="E2E6F4"/>
          </w:tcPr>
          <w:p>
            <w:pPr>
              <w:spacing w:after="0"/>
              <w:rPr>
                <w:sz w:val="7"/>
                <w:szCs w:val="7"/>
                <w:color w:val="auto"/>
              </w:rPr>
            </w:pPr>
          </w:p>
        </w:tc>
        <w:tc>
          <w:tcPr>
            <w:tcW w:w="120" w:type="dxa"/>
            <w:vAlign w:val="bottom"/>
            <w:tcBorders>
              <w:bottom w:val="single" w:sz="8" w:color="E2E6F4"/>
            </w:tcBorders>
            <w:shd w:val="clear" w:color="auto" w:fill="E2E6F4"/>
          </w:tcPr>
          <w:p>
            <w:pPr>
              <w:spacing w:after="0"/>
              <w:rPr>
                <w:sz w:val="7"/>
                <w:szCs w:val="7"/>
                <w:color w:val="auto"/>
              </w:rPr>
            </w:pPr>
          </w:p>
        </w:tc>
        <w:tc>
          <w:tcPr>
            <w:tcW w:w="940" w:type="dxa"/>
            <w:vAlign w:val="bottom"/>
            <w:tcBorders>
              <w:bottom w:val="single" w:sz="8" w:color="E2E6F4"/>
            </w:tcBorders>
            <w:shd w:val="clear" w:color="auto" w:fill="E2E6F4"/>
          </w:tcPr>
          <w:p>
            <w:pPr>
              <w:spacing w:after="0"/>
              <w:rPr>
                <w:sz w:val="7"/>
                <w:szCs w:val="7"/>
                <w:color w:val="auto"/>
              </w:rPr>
            </w:pPr>
          </w:p>
        </w:tc>
        <w:tc>
          <w:tcPr>
            <w:tcW w:w="200" w:type="dxa"/>
            <w:vAlign w:val="bottom"/>
            <w:tcBorders>
              <w:bottom w:val="single" w:sz="8" w:color="E2E6F4"/>
            </w:tcBorders>
            <w:shd w:val="clear" w:color="auto" w:fill="E2E6F4"/>
          </w:tcPr>
          <w:p>
            <w:pPr>
              <w:spacing w:after="0"/>
              <w:rPr>
                <w:sz w:val="7"/>
                <w:szCs w:val="7"/>
                <w:color w:val="auto"/>
              </w:rPr>
            </w:pPr>
          </w:p>
        </w:tc>
        <w:tc>
          <w:tcPr>
            <w:tcW w:w="760" w:type="dxa"/>
            <w:vAlign w:val="bottom"/>
            <w:tcBorders>
              <w:bottom w:val="single" w:sz="8" w:color="E2E6F4"/>
            </w:tcBorders>
            <w:shd w:val="clear" w:color="auto" w:fill="E2E6F4"/>
          </w:tcPr>
          <w:p>
            <w:pPr>
              <w:spacing w:after="0"/>
              <w:rPr>
                <w:sz w:val="7"/>
                <w:szCs w:val="7"/>
                <w:color w:val="auto"/>
              </w:rPr>
            </w:pPr>
          </w:p>
        </w:tc>
        <w:tc>
          <w:tcPr>
            <w:tcW w:w="180" w:type="dxa"/>
            <w:vAlign w:val="bottom"/>
            <w:tcBorders>
              <w:bottom w:val="single" w:sz="8" w:color="E2E6F4"/>
            </w:tcBorders>
            <w:shd w:val="clear" w:color="auto" w:fill="E2E6F4"/>
          </w:tcPr>
          <w:p>
            <w:pPr>
              <w:spacing w:after="0"/>
              <w:rPr>
                <w:sz w:val="7"/>
                <w:szCs w:val="7"/>
                <w:color w:val="auto"/>
              </w:rPr>
            </w:pPr>
          </w:p>
        </w:tc>
        <w:tc>
          <w:tcPr>
            <w:tcW w:w="1280" w:type="dxa"/>
            <w:vAlign w:val="bottom"/>
            <w:tcBorders>
              <w:bottom w:val="single" w:sz="8" w:color="E2E6F4"/>
            </w:tcBorders>
            <w:shd w:val="clear" w:color="auto" w:fill="E2E6F4"/>
          </w:tcPr>
          <w:p>
            <w:pPr>
              <w:spacing w:after="0"/>
              <w:rPr>
                <w:sz w:val="7"/>
                <w:szCs w:val="7"/>
                <w:color w:val="auto"/>
              </w:rPr>
            </w:pPr>
          </w:p>
        </w:tc>
        <w:tc>
          <w:tcPr>
            <w:tcW w:w="280" w:type="dxa"/>
            <w:vAlign w:val="bottom"/>
            <w:tcBorders>
              <w:bottom w:val="single" w:sz="8" w:color="E2E6F4"/>
            </w:tcBorders>
            <w:shd w:val="clear" w:color="auto" w:fill="E2E6F4"/>
          </w:tcPr>
          <w:p>
            <w:pPr>
              <w:spacing w:after="0"/>
              <w:rPr>
                <w:sz w:val="7"/>
                <w:szCs w:val="7"/>
                <w:color w:val="auto"/>
              </w:rPr>
            </w:pPr>
          </w:p>
        </w:tc>
        <w:tc>
          <w:tcPr>
            <w:tcW w:w="880" w:type="dxa"/>
            <w:vAlign w:val="bottom"/>
            <w:tcBorders>
              <w:bottom w:val="single" w:sz="8" w:color="E2E6F4"/>
            </w:tcBorders>
            <w:shd w:val="clear" w:color="auto" w:fill="E2E6F4"/>
          </w:tcPr>
          <w:p>
            <w:pPr>
              <w:spacing w:after="0"/>
              <w:rPr>
                <w:sz w:val="7"/>
                <w:szCs w:val="7"/>
                <w:color w:val="auto"/>
              </w:rPr>
            </w:pPr>
          </w:p>
        </w:tc>
        <w:tc>
          <w:tcPr>
            <w:tcW w:w="320" w:type="dxa"/>
            <w:vAlign w:val="bottom"/>
            <w:tcBorders>
              <w:bottom w:val="single" w:sz="8" w:color="E2E6F4"/>
            </w:tcBorders>
            <w:shd w:val="clear" w:color="auto" w:fill="E2E6F4"/>
          </w:tcPr>
          <w:p>
            <w:pPr>
              <w:spacing w:after="0"/>
              <w:rPr>
                <w:sz w:val="7"/>
                <w:szCs w:val="7"/>
                <w:color w:val="auto"/>
              </w:rPr>
            </w:pPr>
          </w:p>
        </w:tc>
        <w:tc>
          <w:tcPr>
            <w:tcW w:w="960" w:type="dxa"/>
            <w:vAlign w:val="bottom"/>
            <w:tcBorders>
              <w:bottom w:val="single" w:sz="8" w:color="E2E6F4"/>
            </w:tcBorders>
            <w:shd w:val="clear" w:color="auto" w:fill="E2E6F4"/>
          </w:tcPr>
          <w:p>
            <w:pPr>
              <w:spacing w:after="0"/>
              <w:rPr>
                <w:sz w:val="7"/>
                <w:szCs w:val="7"/>
                <w:color w:val="auto"/>
              </w:rPr>
            </w:pPr>
          </w:p>
        </w:tc>
        <w:tc>
          <w:tcPr>
            <w:tcW w:w="500" w:type="dxa"/>
            <w:vAlign w:val="bottom"/>
            <w:tcBorders>
              <w:bottom w:val="single" w:sz="8" w:color="E2E6F4"/>
            </w:tcBorders>
            <w:shd w:val="clear" w:color="auto" w:fill="E2E6F4"/>
          </w:tcPr>
          <w:p>
            <w:pPr>
              <w:spacing w:after="0"/>
              <w:rPr>
                <w:sz w:val="7"/>
                <w:szCs w:val="7"/>
                <w:color w:val="auto"/>
              </w:rPr>
            </w:pPr>
          </w:p>
        </w:tc>
        <w:tc>
          <w:tcPr>
            <w:tcW w:w="800" w:type="dxa"/>
            <w:vAlign w:val="bottom"/>
            <w:tcBorders>
              <w:bottom w:val="single" w:sz="8" w:color="E2E6F4"/>
            </w:tcBorders>
            <w:shd w:val="clear" w:color="auto" w:fill="E2E6F4"/>
          </w:tcPr>
          <w:p>
            <w:pPr>
              <w:spacing w:after="0"/>
              <w:rPr>
                <w:sz w:val="7"/>
                <w:szCs w:val="7"/>
                <w:color w:val="auto"/>
              </w:rPr>
            </w:pPr>
          </w:p>
        </w:tc>
        <w:tc>
          <w:tcPr>
            <w:tcW w:w="200" w:type="dxa"/>
            <w:vAlign w:val="bottom"/>
            <w:tcBorders>
              <w:bottom w:val="single" w:sz="8" w:color="E2E6F4"/>
            </w:tcBorders>
            <w:shd w:val="clear" w:color="auto" w:fill="E2E6F4"/>
          </w:tcPr>
          <w:p>
            <w:pPr>
              <w:spacing w:after="0"/>
              <w:rPr>
                <w:sz w:val="7"/>
                <w:szCs w:val="7"/>
                <w:color w:val="auto"/>
              </w:rPr>
            </w:pPr>
          </w:p>
        </w:tc>
        <w:tc>
          <w:tcPr>
            <w:tcW w:w="980" w:type="dxa"/>
            <w:vAlign w:val="bottom"/>
            <w:tcBorders>
              <w:bottom w:val="single" w:sz="8" w:color="E2E6F4"/>
            </w:tcBorders>
            <w:shd w:val="clear" w:color="auto" w:fill="E2E6F4"/>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4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622,500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5,500,292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2,081,597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61,898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8,266,287</w:t>
            </w:r>
          </w:p>
        </w:tc>
        <w:tc>
          <w:tcPr>
            <w:tcW w:w="0" w:type="dxa"/>
            <w:vAlign w:val="bottom"/>
          </w:tcPr>
          <w:p>
            <w:pPr>
              <w:spacing w:after="0"/>
              <w:rPr>
                <w:sz w:val="1"/>
                <w:szCs w:val="1"/>
                <w:color w:val="auto"/>
              </w:rPr>
            </w:pPr>
          </w:p>
        </w:tc>
      </w:tr>
      <w:tr>
        <w:trPr>
          <w:trHeight w:val="248"/>
        </w:trPr>
        <w:tc>
          <w:tcPr>
            <w:tcW w:w="2140" w:type="dxa"/>
            <w:vAlign w:val="bottom"/>
          </w:tcPr>
          <w:p>
            <w:pPr>
              <w:ind w:left="20"/>
              <w:spacing w:after="0"/>
              <w:rPr>
                <w:sz w:val="20"/>
                <w:szCs w:val="20"/>
                <w:color w:val="auto"/>
              </w:rPr>
            </w:pPr>
            <w:r>
              <w:rPr>
                <w:rFonts w:ascii="Arial" w:cs="Arial" w:eastAsia="Arial" w:hAnsi="Arial"/>
                <w:sz w:val="18"/>
                <w:szCs w:val="18"/>
                <w:b w:val="1"/>
                <w:bCs w:val="1"/>
                <w:color w:val="0067B3"/>
              </w:rPr>
              <w:t xml:space="preserve">Rajah </w:t>
            </w:r>
            <w:r>
              <w:rPr>
                <w:rFonts w:ascii="Arial" w:cs="Arial" w:eastAsia="Arial" w:hAnsi="Arial"/>
                <w:sz w:val="18"/>
                <w:szCs w:val="18"/>
                <w:color w:val="000000"/>
              </w:rPr>
              <w:t>Executive Vice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575,000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5,024,568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744,775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1,453,423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57,200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7,854,966</w:t>
            </w:r>
          </w:p>
        </w:tc>
        <w:tc>
          <w:tcPr>
            <w:tcW w:w="0" w:type="dxa"/>
            <w:vAlign w:val="bottom"/>
          </w:tcPr>
          <w:p>
            <w:pPr>
              <w:spacing w:after="0"/>
              <w:rPr>
                <w:sz w:val="1"/>
                <w:szCs w:val="1"/>
                <w:color w:val="auto"/>
              </w:rPr>
            </w:pPr>
          </w:p>
        </w:tc>
      </w:tr>
      <w:tr>
        <w:trPr>
          <w:trHeight w:val="184"/>
        </w:trPr>
        <w:tc>
          <w:tcPr>
            <w:tcW w:w="2140" w:type="dxa"/>
            <w:vAlign w:val="bottom"/>
          </w:tcPr>
          <w:p>
            <w:pPr>
              <w:ind w:left="20"/>
              <w:spacing w:after="0" w:line="183" w:lineRule="exact"/>
              <w:rPr>
                <w:sz w:val="20"/>
                <w:szCs w:val="20"/>
                <w:color w:val="auto"/>
              </w:rPr>
            </w:pPr>
            <w:r>
              <w:rPr>
                <w:rFonts w:ascii="Arial" w:cs="Arial" w:eastAsia="Arial" w:hAnsi="Arial"/>
                <w:sz w:val="18"/>
                <w:szCs w:val="18"/>
                <w:color w:val="auto"/>
              </w:rPr>
              <w:t>President, Finance &amp;</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2020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rPr>
              <w:t>575,000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292"/>
              <w:spacing w:after="0"/>
              <w:rPr>
                <w:sz w:val="20"/>
                <w:szCs w:val="20"/>
                <w:color w:val="auto"/>
              </w:rPr>
            </w:pPr>
            <w:r>
              <w:rPr>
                <w:rFonts w:ascii="Arial" w:cs="Arial" w:eastAsia="Arial" w:hAnsi="Arial"/>
                <w:sz w:val="18"/>
                <w:szCs w:val="18"/>
                <w:color w:val="auto"/>
              </w:rPr>
              <w:t>1,951,648</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646,093</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448,721</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57,200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3,678,662</w:t>
            </w:r>
          </w:p>
        </w:tc>
        <w:tc>
          <w:tcPr>
            <w:tcW w:w="0" w:type="dxa"/>
            <w:vAlign w:val="bottom"/>
          </w:tcPr>
          <w:p>
            <w:pPr>
              <w:spacing w:after="0"/>
              <w:rPr>
                <w:sz w:val="1"/>
                <w:szCs w:val="1"/>
                <w:color w:val="auto"/>
              </w:rPr>
            </w:pPr>
          </w:p>
        </w:tc>
      </w:tr>
      <w:tr>
        <w:trPr>
          <w:trHeight w:val="158"/>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5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 xml:space="preserve">31,500,396  </w:t>
            </w:r>
            <w:r>
              <w:rPr>
                <w:rFonts w:ascii="Arial" w:cs="Arial" w:eastAsia="Arial" w:hAnsi="Arial"/>
                <w:sz w:val="23"/>
                <w:szCs w:val="23"/>
                <w:color w:val="auto"/>
                <w:vertAlign w:val="superscript"/>
              </w:rPr>
              <w:t>(7)</w:t>
            </w: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140" w:type="dxa"/>
            <w:vAlign w:val="bottom"/>
          </w:tcPr>
          <w:p>
            <w:pPr>
              <w:ind w:left="20"/>
              <w:spacing w:after="0" w:line="247" w:lineRule="exact"/>
              <w:rPr>
                <w:sz w:val="20"/>
                <w:szCs w:val="20"/>
                <w:color w:val="auto"/>
              </w:rPr>
            </w:pPr>
            <w:r>
              <w:rPr>
                <w:rFonts w:ascii="Arial" w:cs="Arial" w:eastAsia="Arial" w:hAnsi="Arial"/>
                <w:sz w:val="18"/>
                <w:szCs w:val="18"/>
                <w:b w:val="1"/>
                <w:bCs w:val="1"/>
                <w:color w:val="0067B3"/>
              </w:rPr>
              <w:t>Gregory Bryant</w:t>
            </w:r>
            <w:r>
              <w:rPr>
                <w:rFonts w:ascii="Arial" w:cs="Arial" w:eastAsia="Arial" w:hAnsi="Arial"/>
                <w:sz w:val="23"/>
                <w:szCs w:val="23"/>
                <w:color w:val="000000"/>
                <w:vertAlign w:val="superscript"/>
              </w:rPr>
              <w:t>(6)</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475,962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continue"/>
          </w:tcPr>
          <w:p>
            <w:pPr>
              <w:spacing w:after="0"/>
              <w:rPr>
                <w:sz w:val="21"/>
                <w:szCs w:val="21"/>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2,141,827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49,277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34,167,462</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&amp; President of Business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Arial" w:cs="Arial" w:eastAsia="Arial" w:hAnsi="Arial"/>
                <w:sz w:val="18"/>
                <w:szCs w:val="18"/>
                <w:color w:val="auto"/>
              </w:rPr>
              <w:t>Units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40" w:type="dxa"/>
            <w:vAlign w:val="bottom"/>
          </w:tcPr>
          <w:p>
            <w:pPr>
              <w:ind w:left="20"/>
              <w:spacing w:after="0" w:line="247" w:lineRule="exact"/>
              <w:rPr>
                <w:sz w:val="20"/>
                <w:szCs w:val="20"/>
                <w:color w:val="auto"/>
              </w:rPr>
            </w:pPr>
            <w:r>
              <w:rPr>
                <w:rFonts w:ascii="Arial" w:cs="Arial" w:eastAsia="Arial" w:hAnsi="Arial"/>
                <w:sz w:val="18"/>
                <w:szCs w:val="18"/>
                <w:b w:val="1"/>
                <w:bCs w:val="1"/>
                <w:color w:val="0067B3"/>
              </w:rPr>
              <w:t>Vivek Jain</w:t>
            </w:r>
            <w:r>
              <w:rPr>
                <w:rFonts w:ascii="Arial" w:cs="Arial" w:eastAsia="Arial" w:hAnsi="Arial"/>
                <w:sz w:val="23"/>
                <w:szCs w:val="23"/>
                <w:color w:val="000000"/>
                <w:vertAlign w:val="superscript"/>
              </w:rPr>
              <w:t>(8)</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579,212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5,000,181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1,936,907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40,738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7,557,038</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of Global Operations &amp;</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140" w:type="dxa"/>
            <w:vAlign w:val="bottom"/>
            <w:shd w:val="clear" w:color="auto" w:fill="E2E6F4"/>
          </w:tcPr>
          <w:p>
            <w:pPr>
              <w:ind w:left="20"/>
              <w:spacing w:after="0" w:line="224" w:lineRule="exact"/>
              <w:rPr>
                <w:sz w:val="20"/>
                <w:szCs w:val="20"/>
                <w:color w:val="auto"/>
              </w:rPr>
            </w:pPr>
            <w:r>
              <w:rPr>
                <w:rFonts w:ascii="Arial" w:cs="Arial" w:eastAsia="Arial" w:hAnsi="Arial"/>
                <w:sz w:val="18"/>
                <w:szCs w:val="18"/>
                <w:b w:val="1"/>
                <w:bCs w:val="1"/>
                <w:color w:val="0067B3"/>
              </w:rPr>
              <w:t>Anelise Sacks</w:t>
            </w:r>
            <w:r>
              <w:rPr>
                <w:rFonts w:ascii="Arial" w:cs="Arial" w:eastAsia="Arial" w:hAnsi="Arial"/>
                <w:sz w:val="23"/>
                <w:szCs w:val="23"/>
                <w:color w:val="000000"/>
                <w:vertAlign w:val="superscript"/>
              </w:rPr>
              <w:t>(9)</w:t>
            </w:r>
          </w:p>
        </w:tc>
        <w:tc>
          <w:tcPr>
            <w:tcW w:w="560" w:type="dxa"/>
            <w:vAlign w:val="bottom"/>
            <w:shd w:val="clear" w:color="auto" w:fill="E2E6F4"/>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gridSpan w:val="2"/>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rPr>
              <w:t>512,500</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6F4"/>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E6F4"/>
          </w:tcPr>
          <w:p>
            <w:pPr>
              <w:jc w:val="right"/>
              <w:ind w:right="292"/>
              <w:spacing w:after="0"/>
              <w:rPr>
                <w:sz w:val="20"/>
                <w:szCs w:val="20"/>
                <w:color w:val="auto"/>
              </w:rPr>
            </w:pPr>
            <w:r>
              <w:rPr>
                <w:rFonts w:ascii="Arial" w:cs="Arial" w:eastAsia="Arial" w:hAnsi="Arial"/>
                <w:sz w:val="18"/>
                <w:szCs w:val="18"/>
                <w:color w:val="auto"/>
              </w:rPr>
              <w:t>4,700,101</w:t>
            </w:r>
          </w:p>
        </w:tc>
        <w:tc>
          <w:tcPr>
            <w:tcW w:w="280" w:type="dxa"/>
            <w:vAlign w:val="bottom"/>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w w:val="99"/>
              </w:rPr>
              <w:t>1,735,039</w:t>
            </w:r>
          </w:p>
        </w:tc>
        <w:tc>
          <w:tcPr>
            <w:tcW w:w="5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6F4"/>
          </w:tcPr>
          <w:p>
            <w:pPr>
              <w:jc w:val="right"/>
              <w:ind w:right="52"/>
              <w:spacing w:after="0"/>
              <w:rPr>
                <w:sz w:val="20"/>
                <w:szCs w:val="20"/>
                <w:color w:val="auto"/>
              </w:rPr>
            </w:pPr>
            <w:r>
              <w:rPr>
                <w:rFonts w:ascii="Arial" w:cs="Arial" w:eastAsia="Arial" w:hAnsi="Arial"/>
                <w:sz w:val="18"/>
                <w:szCs w:val="18"/>
                <w:color w:val="auto"/>
                <w:w w:val="98"/>
              </w:rPr>
              <w:t>205,102</w:t>
            </w:r>
          </w:p>
        </w:tc>
        <w:tc>
          <w:tcPr>
            <w:tcW w:w="20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7,152,742</w:t>
            </w:r>
          </w:p>
        </w:tc>
        <w:tc>
          <w:tcPr>
            <w:tcW w:w="0" w:type="dxa"/>
            <w:vAlign w:val="bottom"/>
          </w:tcPr>
          <w:p>
            <w:pPr>
              <w:spacing w:after="0"/>
              <w:rPr>
                <w:sz w:val="1"/>
                <w:szCs w:val="1"/>
                <w:color w:val="auto"/>
              </w:rPr>
            </w:pPr>
          </w:p>
        </w:tc>
      </w:tr>
      <w:tr>
        <w:trPr>
          <w:trHeight w:val="216"/>
        </w:trPr>
        <w:tc>
          <w:tcPr>
            <w:tcW w:w="2140" w:type="dxa"/>
            <w:vAlign w:val="bottom"/>
            <w:shd w:val="clear" w:color="auto" w:fill="E2E6F4"/>
          </w:tcPr>
          <w:p>
            <w:pPr>
              <w:ind w:left="20"/>
              <w:spacing w:after="0"/>
              <w:rPr>
                <w:sz w:val="20"/>
                <w:szCs w:val="20"/>
                <w:color w:val="auto"/>
              </w:rPr>
            </w:pPr>
            <w:r>
              <w:rPr>
                <w:rFonts w:ascii="Arial" w:cs="Arial" w:eastAsia="Arial" w:hAnsi="Arial"/>
                <w:sz w:val="18"/>
                <w:szCs w:val="18"/>
                <w:color w:val="auto"/>
              </w:rPr>
              <w:t>Senior Vice President &amp;</w:t>
            </w:r>
          </w:p>
        </w:tc>
        <w:tc>
          <w:tcPr>
            <w:tcW w:w="560" w:type="dxa"/>
            <w:vAlign w:val="bottom"/>
            <w:vMerge w:val="restart"/>
            <w:shd w:val="clear" w:color="auto" w:fill="E2E6F4"/>
          </w:tcPr>
          <w:p>
            <w:pPr>
              <w:jc w:val="center"/>
              <w:spacing w:after="0"/>
              <w:rPr>
                <w:sz w:val="20"/>
                <w:szCs w:val="20"/>
                <w:color w:val="auto"/>
              </w:rPr>
            </w:pPr>
            <w:r>
              <w:rPr>
                <w:rFonts w:ascii="Arial" w:cs="Arial" w:eastAsia="Arial" w:hAnsi="Arial"/>
                <w:sz w:val="18"/>
                <w:szCs w:val="18"/>
                <w:color w:val="auto"/>
                <w:w w:val="99"/>
              </w:rPr>
              <w:t>2021</w:t>
            </w:r>
          </w:p>
        </w:tc>
        <w:tc>
          <w:tcPr>
            <w:tcW w:w="2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rPr>
              <w:t>294,231</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E2E6F4"/>
          </w:tcPr>
          <w:p>
            <w:pPr>
              <w:jc w:val="right"/>
              <w:ind w:right="12"/>
              <w:spacing w:after="0"/>
              <w:rPr>
                <w:sz w:val="20"/>
                <w:szCs w:val="20"/>
                <w:color w:val="auto"/>
              </w:rPr>
            </w:pPr>
            <w:r>
              <w:rPr>
                <w:rFonts w:ascii="Arial" w:cs="Arial" w:eastAsia="Arial" w:hAnsi="Arial"/>
                <w:sz w:val="18"/>
                <w:szCs w:val="18"/>
                <w:color w:val="auto"/>
                <w:w w:val="98"/>
              </w:rPr>
              <w:t>400,000</w:t>
            </w:r>
          </w:p>
        </w:tc>
        <w:tc>
          <w:tcPr>
            <w:tcW w:w="1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E2E6F4"/>
          </w:tcPr>
          <w:p>
            <w:pPr>
              <w:jc w:val="right"/>
              <w:ind w:right="292"/>
              <w:spacing w:after="0"/>
              <w:rPr>
                <w:sz w:val="20"/>
                <w:szCs w:val="20"/>
                <w:color w:val="auto"/>
              </w:rPr>
            </w:pPr>
            <w:r>
              <w:rPr>
                <w:rFonts w:ascii="Arial" w:cs="Arial" w:eastAsia="Arial" w:hAnsi="Arial"/>
                <w:sz w:val="18"/>
                <w:szCs w:val="18"/>
                <w:color w:val="auto"/>
              </w:rPr>
              <w:t>2,673,979</w:t>
            </w:r>
          </w:p>
        </w:tc>
        <w:tc>
          <w:tcPr>
            <w:tcW w:w="280" w:type="dxa"/>
            <w:vAlign w:val="bottom"/>
            <w:vMerge w:val="restart"/>
            <w:shd w:val="clear" w:color="auto" w:fill="E2E6F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E2E6F4"/>
          </w:tcPr>
          <w:p>
            <w:pPr>
              <w:jc w:val="right"/>
              <w:ind w:right="32"/>
              <w:spacing w:after="0"/>
              <w:rPr>
                <w:sz w:val="20"/>
                <w:szCs w:val="20"/>
                <w:color w:val="auto"/>
              </w:rPr>
            </w:pPr>
            <w:r>
              <w:rPr>
                <w:rFonts w:ascii="Arial" w:cs="Arial" w:eastAsia="Arial" w:hAnsi="Arial"/>
                <w:sz w:val="18"/>
                <w:szCs w:val="18"/>
                <w:color w:val="auto"/>
              </w:rPr>
              <w:t>333,805</w:t>
            </w:r>
          </w:p>
        </w:tc>
        <w:tc>
          <w:tcPr>
            <w:tcW w:w="3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rPr>
              <w:t>769,250</w:t>
            </w:r>
          </w:p>
        </w:tc>
        <w:tc>
          <w:tcPr>
            <w:tcW w:w="5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2E6F4"/>
          </w:tcPr>
          <w:p>
            <w:pPr>
              <w:jc w:val="right"/>
              <w:ind w:right="52"/>
              <w:spacing w:after="0"/>
              <w:rPr>
                <w:sz w:val="20"/>
                <w:szCs w:val="20"/>
                <w:color w:val="auto"/>
              </w:rPr>
            </w:pPr>
            <w:r>
              <w:rPr>
                <w:rFonts w:ascii="Arial" w:cs="Arial" w:eastAsia="Arial" w:hAnsi="Arial"/>
                <w:sz w:val="18"/>
                <w:szCs w:val="18"/>
                <w:color w:val="auto"/>
                <w:w w:val="98"/>
              </w:rPr>
              <w:t>323,619</w:t>
            </w:r>
          </w:p>
        </w:tc>
        <w:tc>
          <w:tcPr>
            <w:tcW w:w="20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4,794,884</w:t>
            </w:r>
          </w:p>
        </w:tc>
        <w:tc>
          <w:tcPr>
            <w:tcW w:w="0" w:type="dxa"/>
            <w:vAlign w:val="bottom"/>
          </w:tcPr>
          <w:p>
            <w:pPr>
              <w:spacing w:after="0"/>
              <w:rPr>
                <w:sz w:val="1"/>
                <w:szCs w:val="1"/>
                <w:color w:val="auto"/>
              </w:rPr>
            </w:pPr>
          </w:p>
        </w:tc>
      </w:tr>
      <w:tr>
        <w:trPr>
          <w:trHeight w:val="90"/>
        </w:trPr>
        <w:tc>
          <w:tcPr>
            <w:tcW w:w="2140" w:type="dxa"/>
            <w:vAlign w:val="bottom"/>
            <w:vMerge w:val="restart"/>
            <w:shd w:val="clear" w:color="auto" w:fill="E2E6F4"/>
          </w:tcPr>
          <w:p>
            <w:pPr>
              <w:ind w:left="20"/>
              <w:spacing w:after="0"/>
              <w:rPr>
                <w:sz w:val="20"/>
                <w:szCs w:val="20"/>
                <w:color w:val="auto"/>
              </w:rPr>
            </w:pPr>
            <w:r>
              <w:rPr>
                <w:rFonts w:ascii="Arial" w:cs="Arial" w:eastAsia="Arial" w:hAnsi="Arial"/>
                <w:sz w:val="18"/>
                <w:szCs w:val="18"/>
                <w:color w:val="auto"/>
              </w:rPr>
              <w:t>Chief Customer Officer</w:t>
            </w:r>
          </w:p>
        </w:tc>
        <w:tc>
          <w:tcPr>
            <w:tcW w:w="560" w:type="dxa"/>
            <w:vAlign w:val="bottom"/>
            <w:vMerge w:val="continue"/>
            <w:shd w:val="clear" w:color="auto" w:fill="E2E6F4"/>
          </w:tcPr>
          <w:p>
            <w:pPr>
              <w:spacing w:after="0"/>
              <w:rPr>
                <w:sz w:val="7"/>
                <w:szCs w:val="7"/>
                <w:color w:val="auto"/>
              </w:rPr>
            </w:pPr>
          </w:p>
        </w:tc>
        <w:tc>
          <w:tcPr>
            <w:tcW w:w="260" w:type="dxa"/>
            <w:vAlign w:val="bottom"/>
            <w:gridSpan w:val="2"/>
            <w:vMerge w:val="continue"/>
            <w:shd w:val="clear" w:color="auto" w:fill="E2E6F4"/>
          </w:tcPr>
          <w:p>
            <w:pPr>
              <w:spacing w:after="0"/>
              <w:rPr>
                <w:sz w:val="7"/>
                <w:szCs w:val="7"/>
                <w:color w:val="auto"/>
              </w:rPr>
            </w:pPr>
          </w:p>
        </w:tc>
        <w:tc>
          <w:tcPr>
            <w:tcW w:w="940" w:type="dxa"/>
            <w:vAlign w:val="bottom"/>
            <w:vMerge w:val="continue"/>
            <w:shd w:val="clear" w:color="auto" w:fill="E2E6F4"/>
          </w:tcPr>
          <w:p>
            <w:pPr>
              <w:spacing w:after="0"/>
              <w:rPr>
                <w:sz w:val="7"/>
                <w:szCs w:val="7"/>
                <w:color w:val="auto"/>
              </w:rPr>
            </w:pPr>
          </w:p>
        </w:tc>
        <w:tc>
          <w:tcPr>
            <w:tcW w:w="200" w:type="dxa"/>
            <w:vAlign w:val="bottom"/>
            <w:vMerge w:val="continue"/>
            <w:shd w:val="clear" w:color="auto" w:fill="E2E6F4"/>
          </w:tcPr>
          <w:p>
            <w:pPr>
              <w:spacing w:after="0"/>
              <w:rPr>
                <w:sz w:val="7"/>
                <w:szCs w:val="7"/>
                <w:color w:val="auto"/>
              </w:rPr>
            </w:pPr>
          </w:p>
        </w:tc>
        <w:tc>
          <w:tcPr>
            <w:tcW w:w="760" w:type="dxa"/>
            <w:vAlign w:val="bottom"/>
            <w:vMerge w:val="continue"/>
            <w:shd w:val="clear" w:color="auto" w:fill="E2E6F4"/>
          </w:tcPr>
          <w:p>
            <w:pPr>
              <w:spacing w:after="0"/>
              <w:rPr>
                <w:sz w:val="7"/>
                <w:szCs w:val="7"/>
                <w:color w:val="auto"/>
              </w:rPr>
            </w:pPr>
          </w:p>
        </w:tc>
        <w:tc>
          <w:tcPr>
            <w:tcW w:w="180" w:type="dxa"/>
            <w:vAlign w:val="bottom"/>
            <w:vMerge w:val="continue"/>
            <w:shd w:val="clear" w:color="auto" w:fill="E2E6F4"/>
          </w:tcPr>
          <w:p>
            <w:pPr>
              <w:spacing w:after="0"/>
              <w:rPr>
                <w:sz w:val="7"/>
                <w:szCs w:val="7"/>
                <w:color w:val="auto"/>
              </w:rPr>
            </w:pPr>
          </w:p>
        </w:tc>
        <w:tc>
          <w:tcPr>
            <w:tcW w:w="1280" w:type="dxa"/>
            <w:vAlign w:val="bottom"/>
            <w:vMerge w:val="continue"/>
            <w:shd w:val="clear" w:color="auto" w:fill="E2E6F4"/>
          </w:tcPr>
          <w:p>
            <w:pPr>
              <w:spacing w:after="0"/>
              <w:rPr>
                <w:sz w:val="7"/>
                <w:szCs w:val="7"/>
                <w:color w:val="auto"/>
              </w:rPr>
            </w:pPr>
          </w:p>
        </w:tc>
        <w:tc>
          <w:tcPr>
            <w:tcW w:w="280" w:type="dxa"/>
            <w:vAlign w:val="bottom"/>
            <w:vMerge w:val="continue"/>
            <w:shd w:val="clear" w:color="auto" w:fill="E2E6F4"/>
          </w:tcPr>
          <w:p>
            <w:pPr>
              <w:spacing w:after="0"/>
              <w:rPr>
                <w:sz w:val="7"/>
                <w:szCs w:val="7"/>
                <w:color w:val="auto"/>
              </w:rPr>
            </w:pPr>
          </w:p>
        </w:tc>
        <w:tc>
          <w:tcPr>
            <w:tcW w:w="880" w:type="dxa"/>
            <w:vAlign w:val="bottom"/>
            <w:vMerge w:val="continue"/>
            <w:shd w:val="clear" w:color="auto" w:fill="E2E6F4"/>
          </w:tcPr>
          <w:p>
            <w:pPr>
              <w:spacing w:after="0"/>
              <w:rPr>
                <w:sz w:val="7"/>
                <w:szCs w:val="7"/>
                <w:color w:val="auto"/>
              </w:rPr>
            </w:pPr>
          </w:p>
        </w:tc>
        <w:tc>
          <w:tcPr>
            <w:tcW w:w="320" w:type="dxa"/>
            <w:vAlign w:val="bottom"/>
            <w:vMerge w:val="continue"/>
            <w:shd w:val="clear" w:color="auto" w:fill="E2E6F4"/>
          </w:tcPr>
          <w:p>
            <w:pPr>
              <w:spacing w:after="0"/>
              <w:rPr>
                <w:sz w:val="7"/>
                <w:szCs w:val="7"/>
                <w:color w:val="auto"/>
              </w:rPr>
            </w:pPr>
          </w:p>
        </w:tc>
        <w:tc>
          <w:tcPr>
            <w:tcW w:w="960" w:type="dxa"/>
            <w:vAlign w:val="bottom"/>
            <w:vMerge w:val="continue"/>
            <w:shd w:val="clear" w:color="auto" w:fill="E2E6F4"/>
          </w:tcPr>
          <w:p>
            <w:pPr>
              <w:spacing w:after="0"/>
              <w:rPr>
                <w:sz w:val="7"/>
                <w:szCs w:val="7"/>
                <w:color w:val="auto"/>
              </w:rPr>
            </w:pPr>
          </w:p>
        </w:tc>
        <w:tc>
          <w:tcPr>
            <w:tcW w:w="500" w:type="dxa"/>
            <w:vAlign w:val="bottom"/>
            <w:vMerge w:val="continue"/>
            <w:shd w:val="clear" w:color="auto" w:fill="E2E6F4"/>
          </w:tcPr>
          <w:p>
            <w:pPr>
              <w:spacing w:after="0"/>
              <w:rPr>
                <w:sz w:val="7"/>
                <w:szCs w:val="7"/>
                <w:color w:val="auto"/>
              </w:rPr>
            </w:pPr>
          </w:p>
        </w:tc>
        <w:tc>
          <w:tcPr>
            <w:tcW w:w="800" w:type="dxa"/>
            <w:vAlign w:val="bottom"/>
            <w:vMerge w:val="continue"/>
            <w:shd w:val="clear" w:color="auto" w:fill="E2E6F4"/>
          </w:tcPr>
          <w:p>
            <w:pPr>
              <w:spacing w:after="0"/>
              <w:rPr>
                <w:sz w:val="7"/>
                <w:szCs w:val="7"/>
                <w:color w:val="auto"/>
              </w:rPr>
            </w:pPr>
          </w:p>
        </w:tc>
        <w:tc>
          <w:tcPr>
            <w:tcW w:w="200" w:type="dxa"/>
            <w:vAlign w:val="bottom"/>
            <w:vMerge w:val="continue"/>
            <w:shd w:val="clear" w:color="auto" w:fill="E2E6F4"/>
          </w:tcPr>
          <w:p>
            <w:pPr>
              <w:spacing w:after="0"/>
              <w:rPr>
                <w:sz w:val="7"/>
                <w:szCs w:val="7"/>
                <w:color w:val="auto"/>
              </w:rPr>
            </w:pPr>
          </w:p>
        </w:tc>
        <w:tc>
          <w:tcPr>
            <w:tcW w:w="980" w:type="dxa"/>
            <w:vAlign w:val="bottom"/>
            <w:vMerge w:val="continue"/>
            <w:shd w:val="clear" w:color="auto" w:fill="E2E6F4"/>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140" w:type="dxa"/>
            <w:vAlign w:val="bottom"/>
            <w:tcBorders>
              <w:bottom w:val="single" w:sz="8" w:color="E2E6F4"/>
            </w:tcBorders>
            <w:vMerge w:val="continue"/>
            <w:shd w:val="clear" w:color="auto" w:fill="E2E6F4"/>
          </w:tcPr>
          <w:p>
            <w:pPr>
              <w:spacing w:after="0"/>
              <w:rPr>
                <w:sz w:val="13"/>
                <w:szCs w:val="13"/>
                <w:color w:val="auto"/>
              </w:rPr>
            </w:pPr>
          </w:p>
        </w:tc>
        <w:tc>
          <w:tcPr>
            <w:tcW w:w="560" w:type="dxa"/>
            <w:vAlign w:val="bottom"/>
            <w:tcBorders>
              <w:bottom w:val="single" w:sz="8" w:color="E2E6F4"/>
            </w:tcBorders>
            <w:shd w:val="clear" w:color="auto" w:fill="E2E6F4"/>
          </w:tcPr>
          <w:p>
            <w:pPr>
              <w:spacing w:after="0"/>
              <w:rPr>
                <w:sz w:val="13"/>
                <w:szCs w:val="13"/>
                <w:color w:val="auto"/>
              </w:rPr>
            </w:pPr>
          </w:p>
        </w:tc>
        <w:tc>
          <w:tcPr>
            <w:tcW w:w="140" w:type="dxa"/>
            <w:vAlign w:val="bottom"/>
            <w:tcBorders>
              <w:bottom w:val="single" w:sz="8" w:color="E2E6F4"/>
            </w:tcBorders>
            <w:shd w:val="clear" w:color="auto" w:fill="E2E6F4"/>
          </w:tcPr>
          <w:p>
            <w:pPr>
              <w:spacing w:after="0"/>
              <w:rPr>
                <w:sz w:val="13"/>
                <w:szCs w:val="13"/>
                <w:color w:val="auto"/>
              </w:rPr>
            </w:pPr>
          </w:p>
        </w:tc>
        <w:tc>
          <w:tcPr>
            <w:tcW w:w="120" w:type="dxa"/>
            <w:vAlign w:val="bottom"/>
            <w:tcBorders>
              <w:bottom w:val="single" w:sz="8" w:color="E2E6F4"/>
            </w:tcBorders>
            <w:shd w:val="clear" w:color="auto" w:fill="E2E6F4"/>
          </w:tcPr>
          <w:p>
            <w:pPr>
              <w:spacing w:after="0"/>
              <w:rPr>
                <w:sz w:val="13"/>
                <w:szCs w:val="13"/>
                <w:color w:val="auto"/>
              </w:rPr>
            </w:pPr>
          </w:p>
        </w:tc>
        <w:tc>
          <w:tcPr>
            <w:tcW w:w="940" w:type="dxa"/>
            <w:vAlign w:val="bottom"/>
            <w:tcBorders>
              <w:bottom w:val="single" w:sz="8" w:color="E2E6F4"/>
            </w:tcBorders>
            <w:shd w:val="clear" w:color="auto" w:fill="E2E6F4"/>
          </w:tcPr>
          <w:p>
            <w:pPr>
              <w:spacing w:after="0"/>
              <w:rPr>
                <w:sz w:val="13"/>
                <w:szCs w:val="13"/>
                <w:color w:val="auto"/>
              </w:rPr>
            </w:pPr>
          </w:p>
        </w:tc>
        <w:tc>
          <w:tcPr>
            <w:tcW w:w="200" w:type="dxa"/>
            <w:vAlign w:val="bottom"/>
            <w:tcBorders>
              <w:bottom w:val="single" w:sz="8" w:color="E2E6F4"/>
            </w:tcBorders>
            <w:shd w:val="clear" w:color="auto" w:fill="E2E6F4"/>
          </w:tcPr>
          <w:p>
            <w:pPr>
              <w:spacing w:after="0"/>
              <w:rPr>
                <w:sz w:val="13"/>
                <w:szCs w:val="13"/>
                <w:color w:val="auto"/>
              </w:rPr>
            </w:pPr>
          </w:p>
        </w:tc>
        <w:tc>
          <w:tcPr>
            <w:tcW w:w="760" w:type="dxa"/>
            <w:vAlign w:val="bottom"/>
            <w:tcBorders>
              <w:bottom w:val="single" w:sz="8" w:color="E2E6F4"/>
            </w:tcBorders>
            <w:shd w:val="clear" w:color="auto" w:fill="E2E6F4"/>
          </w:tcPr>
          <w:p>
            <w:pPr>
              <w:spacing w:after="0"/>
              <w:rPr>
                <w:sz w:val="13"/>
                <w:szCs w:val="13"/>
                <w:color w:val="auto"/>
              </w:rPr>
            </w:pPr>
          </w:p>
        </w:tc>
        <w:tc>
          <w:tcPr>
            <w:tcW w:w="180" w:type="dxa"/>
            <w:vAlign w:val="bottom"/>
            <w:tcBorders>
              <w:bottom w:val="single" w:sz="8" w:color="E2E6F4"/>
            </w:tcBorders>
            <w:shd w:val="clear" w:color="auto" w:fill="E2E6F4"/>
          </w:tcPr>
          <w:p>
            <w:pPr>
              <w:spacing w:after="0"/>
              <w:rPr>
                <w:sz w:val="13"/>
                <w:szCs w:val="13"/>
                <w:color w:val="auto"/>
              </w:rPr>
            </w:pPr>
          </w:p>
        </w:tc>
        <w:tc>
          <w:tcPr>
            <w:tcW w:w="1280" w:type="dxa"/>
            <w:vAlign w:val="bottom"/>
            <w:tcBorders>
              <w:bottom w:val="single" w:sz="8" w:color="E2E6F4"/>
            </w:tcBorders>
            <w:shd w:val="clear" w:color="auto" w:fill="E2E6F4"/>
          </w:tcPr>
          <w:p>
            <w:pPr>
              <w:spacing w:after="0"/>
              <w:rPr>
                <w:sz w:val="13"/>
                <w:szCs w:val="13"/>
                <w:color w:val="auto"/>
              </w:rPr>
            </w:pPr>
          </w:p>
        </w:tc>
        <w:tc>
          <w:tcPr>
            <w:tcW w:w="280" w:type="dxa"/>
            <w:vAlign w:val="bottom"/>
            <w:tcBorders>
              <w:bottom w:val="single" w:sz="8" w:color="E2E6F4"/>
            </w:tcBorders>
            <w:shd w:val="clear" w:color="auto" w:fill="E2E6F4"/>
          </w:tcPr>
          <w:p>
            <w:pPr>
              <w:spacing w:after="0"/>
              <w:rPr>
                <w:sz w:val="13"/>
                <w:szCs w:val="13"/>
                <w:color w:val="auto"/>
              </w:rPr>
            </w:pPr>
          </w:p>
        </w:tc>
        <w:tc>
          <w:tcPr>
            <w:tcW w:w="880" w:type="dxa"/>
            <w:vAlign w:val="bottom"/>
            <w:tcBorders>
              <w:bottom w:val="single" w:sz="8" w:color="E2E6F4"/>
            </w:tcBorders>
            <w:shd w:val="clear" w:color="auto" w:fill="E2E6F4"/>
          </w:tcPr>
          <w:p>
            <w:pPr>
              <w:spacing w:after="0"/>
              <w:rPr>
                <w:sz w:val="13"/>
                <w:szCs w:val="13"/>
                <w:color w:val="auto"/>
              </w:rPr>
            </w:pPr>
          </w:p>
        </w:tc>
        <w:tc>
          <w:tcPr>
            <w:tcW w:w="320" w:type="dxa"/>
            <w:vAlign w:val="bottom"/>
            <w:tcBorders>
              <w:bottom w:val="single" w:sz="8" w:color="E2E6F4"/>
            </w:tcBorders>
            <w:shd w:val="clear" w:color="auto" w:fill="E2E6F4"/>
          </w:tcPr>
          <w:p>
            <w:pPr>
              <w:spacing w:after="0"/>
              <w:rPr>
                <w:sz w:val="13"/>
                <w:szCs w:val="13"/>
                <w:color w:val="auto"/>
              </w:rPr>
            </w:pPr>
          </w:p>
        </w:tc>
        <w:tc>
          <w:tcPr>
            <w:tcW w:w="960" w:type="dxa"/>
            <w:vAlign w:val="bottom"/>
            <w:tcBorders>
              <w:bottom w:val="single" w:sz="8" w:color="E2E6F4"/>
            </w:tcBorders>
            <w:shd w:val="clear" w:color="auto" w:fill="E2E6F4"/>
          </w:tcPr>
          <w:p>
            <w:pPr>
              <w:spacing w:after="0"/>
              <w:rPr>
                <w:sz w:val="13"/>
                <w:szCs w:val="13"/>
                <w:color w:val="auto"/>
              </w:rPr>
            </w:pPr>
          </w:p>
        </w:tc>
        <w:tc>
          <w:tcPr>
            <w:tcW w:w="500" w:type="dxa"/>
            <w:vAlign w:val="bottom"/>
            <w:tcBorders>
              <w:bottom w:val="single" w:sz="8" w:color="E2E6F4"/>
            </w:tcBorders>
            <w:shd w:val="clear" w:color="auto" w:fill="E2E6F4"/>
          </w:tcPr>
          <w:p>
            <w:pPr>
              <w:spacing w:after="0"/>
              <w:rPr>
                <w:sz w:val="13"/>
                <w:szCs w:val="13"/>
                <w:color w:val="auto"/>
              </w:rPr>
            </w:pPr>
          </w:p>
        </w:tc>
        <w:tc>
          <w:tcPr>
            <w:tcW w:w="800" w:type="dxa"/>
            <w:vAlign w:val="bottom"/>
            <w:tcBorders>
              <w:bottom w:val="single" w:sz="8" w:color="E2E6F4"/>
            </w:tcBorders>
            <w:shd w:val="clear" w:color="auto" w:fill="E2E6F4"/>
          </w:tcPr>
          <w:p>
            <w:pPr>
              <w:spacing w:after="0"/>
              <w:rPr>
                <w:sz w:val="13"/>
                <w:szCs w:val="13"/>
                <w:color w:val="auto"/>
              </w:rPr>
            </w:pPr>
          </w:p>
        </w:tc>
        <w:tc>
          <w:tcPr>
            <w:tcW w:w="200" w:type="dxa"/>
            <w:vAlign w:val="bottom"/>
            <w:tcBorders>
              <w:bottom w:val="single" w:sz="8" w:color="E2E6F4"/>
            </w:tcBorders>
            <w:shd w:val="clear" w:color="auto" w:fill="E2E6F4"/>
          </w:tcPr>
          <w:p>
            <w:pPr>
              <w:spacing w:after="0"/>
              <w:rPr>
                <w:sz w:val="13"/>
                <w:szCs w:val="13"/>
                <w:color w:val="auto"/>
              </w:rPr>
            </w:pPr>
          </w:p>
        </w:tc>
        <w:tc>
          <w:tcPr>
            <w:tcW w:w="980" w:type="dxa"/>
            <w:vAlign w:val="bottom"/>
            <w:tcBorders>
              <w:bottom w:val="single" w:sz="8" w:color="E2E6F4"/>
            </w:tcBorders>
            <w:shd w:val="clear" w:color="auto" w:fill="E2E6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67B3"/>
          </w:tcPr>
          <w:p>
            <w:pPr>
              <w:spacing w:after="0" w:line="20" w:lineRule="exact"/>
              <w:rPr>
                <w:sz w:val="1"/>
                <w:szCs w:val="1"/>
                <w:color w:val="auto"/>
              </w:rPr>
            </w:pPr>
          </w:p>
        </w:tc>
        <w:tc>
          <w:tcPr>
            <w:tcW w:w="560" w:type="dxa"/>
            <w:vAlign w:val="bottom"/>
            <w:shd w:val="clear" w:color="auto" w:fill="0067B3"/>
          </w:tcPr>
          <w:p>
            <w:pPr>
              <w:spacing w:after="0" w:line="20" w:lineRule="exact"/>
              <w:rPr>
                <w:sz w:val="1"/>
                <w:szCs w:val="1"/>
                <w:color w:val="auto"/>
              </w:rPr>
            </w:pPr>
          </w:p>
        </w:tc>
        <w:tc>
          <w:tcPr>
            <w:tcW w:w="140" w:type="dxa"/>
            <w:vAlign w:val="bottom"/>
            <w:shd w:val="clear" w:color="auto" w:fill="0067B3"/>
          </w:tcPr>
          <w:p>
            <w:pPr>
              <w:spacing w:after="0" w:line="20" w:lineRule="exact"/>
              <w:rPr>
                <w:sz w:val="1"/>
                <w:szCs w:val="1"/>
                <w:color w:val="auto"/>
              </w:rPr>
            </w:pPr>
          </w:p>
        </w:tc>
        <w:tc>
          <w:tcPr>
            <w:tcW w:w="12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200" w:type="dxa"/>
            <w:vAlign w:val="bottom"/>
            <w:shd w:val="clear" w:color="auto" w:fill="0067B3"/>
          </w:tcPr>
          <w:p>
            <w:pPr>
              <w:spacing w:after="0" w:line="20" w:lineRule="exact"/>
              <w:rPr>
                <w:sz w:val="1"/>
                <w:szCs w:val="1"/>
                <w:color w:val="auto"/>
              </w:rPr>
            </w:pPr>
          </w:p>
        </w:tc>
        <w:tc>
          <w:tcPr>
            <w:tcW w:w="760" w:type="dxa"/>
            <w:vAlign w:val="bottom"/>
            <w:shd w:val="clear" w:color="auto" w:fill="0067B3"/>
          </w:tcPr>
          <w:p>
            <w:pPr>
              <w:spacing w:after="0" w:line="20" w:lineRule="exact"/>
              <w:rPr>
                <w:sz w:val="1"/>
                <w:szCs w:val="1"/>
                <w:color w:val="auto"/>
              </w:rPr>
            </w:pPr>
          </w:p>
        </w:tc>
        <w:tc>
          <w:tcPr>
            <w:tcW w:w="180" w:type="dxa"/>
            <w:vAlign w:val="bottom"/>
            <w:shd w:val="clear" w:color="auto" w:fill="0067B3"/>
          </w:tcPr>
          <w:p>
            <w:pPr>
              <w:spacing w:after="0" w:line="20" w:lineRule="exact"/>
              <w:rPr>
                <w:sz w:val="1"/>
                <w:szCs w:val="1"/>
                <w:color w:val="auto"/>
              </w:rPr>
            </w:pPr>
          </w:p>
        </w:tc>
        <w:tc>
          <w:tcPr>
            <w:tcW w:w="1280" w:type="dxa"/>
            <w:vAlign w:val="bottom"/>
            <w:shd w:val="clear" w:color="auto" w:fill="0067B3"/>
          </w:tcPr>
          <w:p>
            <w:pPr>
              <w:spacing w:after="0" w:line="20" w:lineRule="exact"/>
              <w:rPr>
                <w:sz w:val="1"/>
                <w:szCs w:val="1"/>
                <w:color w:val="auto"/>
              </w:rPr>
            </w:pPr>
          </w:p>
        </w:tc>
        <w:tc>
          <w:tcPr>
            <w:tcW w:w="28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c>
          <w:tcPr>
            <w:tcW w:w="320" w:type="dxa"/>
            <w:vAlign w:val="bottom"/>
            <w:shd w:val="clear" w:color="auto" w:fill="0067B3"/>
          </w:tcPr>
          <w:p>
            <w:pPr>
              <w:spacing w:after="0" w:line="20" w:lineRule="exact"/>
              <w:rPr>
                <w:sz w:val="1"/>
                <w:szCs w:val="1"/>
                <w:color w:val="auto"/>
              </w:rPr>
            </w:pPr>
          </w:p>
        </w:tc>
        <w:tc>
          <w:tcPr>
            <w:tcW w:w="960" w:type="dxa"/>
            <w:vAlign w:val="bottom"/>
            <w:shd w:val="clear" w:color="auto" w:fill="0067B3"/>
          </w:tcPr>
          <w:p>
            <w:pPr>
              <w:spacing w:after="0" w:line="20" w:lineRule="exact"/>
              <w:rPr>
                <w:sz w:val="1"/>
                <w:szCs w:val="1"/>
                <w:color w:val="auto"/>
              </w:rPr>
            </w:pPr>
          </w:p>
        </w:tc>
        <w:tc>
          <w:tcPr>
            <w:tcW w:w="500" w:type="dxa"/>
            <w:vAlign w:val="bottom"/>
            <w:shd w:val="clear" w:color="auto" w:fill="0067B3"/>
          </w:tcPr>
          <w:p>
            <w:pPr>
              <w:spacing w:after="0" w:line="20" w:lineRule="exact"/>
              <w:rPr>
                <w:sz w:val="1"/>
                <w:szCs w:val="1"/>
                <w:color w:val="auto"/>
              </w:rPr>
            </w:pPr>
          </w:p>
        </w:tc>
        <w:tc>
          <w:tcPr>
            <w:tcW w:w="800" w:type="dxa"/>
            <w:vAlign w:val="bottom"/>
            <w:shd w:val="clear" w:color="auto" w:fill="0067B3"/>
          </w:tcPr>
          <w:p>
            <w:pPr>
              <w:spacing w:after="0" w:line="20" w:lineRule="exact"/>
              <w:rPr>
                <w:sz w:val="1"/>
                <w:szCs w:val="1"/>
                <w:color w:val="auto"/>
              </w:rPr>
            </w:pPr>
          </w:p>
        </w:tc>
        <w:tc>
          <w:tcPr>
            <w:tcW w:w="20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5829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55" w:lineRule="exact"/>
        <w:rPr>
          <w:sz w:val="20"/>
          <w:szCs w:val="20"/>
          <w:color w:val="auto"/>
        </w:rPr>
      </w:pPr>
    </w:p>
    <w:p>
      <w:pPr>
        <w:ind w:left="200" w:right="180" w:hanging="192"/>
        <w:spacing w:after="0" w:line="235" w:lineRule="auto"/>
        <w:tabs>
          <w:tab w:leader="none" w:pos="215"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For fiscal year 2022, our salary levels were determined in April and became effective May 1, 2022, except in connection with promotions and new hires. The amounts represented in this table reflect salary earned during fiscal year 2022.</w:t>
      </w:r>
    </w:p>
    <w:p>
      <w:pPr>
        <w:spacing w:after="0" w:line="42" w:lineRule="exact"/>
        <w:rPr>
          <w:rFonts w:ascii="Arial" w:cs="Arial" w:eastAsia="Arial" w:hAnsi="Arial"/>
          <w:sz w:val="21"/>
          <w:szCs w:val="21"/>
          <w:color w:val="auto"/>
          <w:vertAlign w:val="superscript"/>
        </w:rPr>
      </w:pPr>
    </w:p>
    <w:p>
      <w:pPr>
        <w:ind w:left="200" w:right="20" w:hanging="192"/>
        <w:spacing w:after="0" w:line="246" w:lineRule="auto"/>
        <w:tabs>
          <w:tab w:leader="none" w:pos="215"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time-based RSUs and PRSUs granted in fiscal years 2022, 2021 and 2020. Such amounts do not represent the actual amounts paid to or realized by the NEO for these awards during the respective fiscal years. For Mr. Bryant, amount includes new-hire equity awards with an aggregate grant date fair value of $24,000,230. We recognize the value as of the grant date for time-based RSUs and PRSUs over the number of days of service required for the grant to become vested in accordance with FASB ASC 718. The grant date fair value of time-based RSUs represents the value of our common stock on the date of grant, reduced by the present value of dividends expected to be paid on our common stock prior to vesting. Further, the grant date fair values of the relative TSR PRSUs granted as part of our annual compensation program and the PRSUs granted to Mr. Bryant as a new-hire equity award were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Further, the grant date fair values of the relative TSR PRSUs granted as part of our annual compensation program and the PRSUs granted to Mr. Bryant as a new-hire equity award were calculated using the Monte Carlo simulation model, which utilizes multiple input variables that determine the probability of</w:t>
      </w:r>
    </w:p>
    <w:p>
      <w:pPr>
        <w:spacing w:after="0" w:line="200" w:lineRule="exact"/>
        <w:rPr>
          <w:sz w:val="20"/>
          <w:szCs w:val="20"/>
          <w:color w:val="auto"/>
        </w:rPr>
      </w:pPr>
    </w:p>
    <w:p>
      <w:pPr>
        <w:spacing w:after="0" w:line="257" w:lineRule="exact"/>
        <w:rPr>
          <w:sz w:val="20"/>
          <w:szCs w:val="20"/>
          <w:color w:val="auto"/>
        </w:rPr>
      </w:pPr>
    </w:p>
    <w:p>
      <w:pPr>
        <w:ind w:left="480" w:hanging="454"/>
        <w:spacing w:after="0"/>
        <w:tabs>
          <w:tab w:leader="none" w:pos="480" w:val="left"/>
        </w:tabs>
        <w:numPr>
          <w:ilvl w:val="0"/>
          <w:numId w:val="9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56" w:right="339" w:bottom="975" w:gutter="0" w:footer="0" w:header="0"/>
        </w:sectPr>
      </w:pPr>
    </w:p>
    <w:bookmarkStart w:id="76" w:name="page77"/>
    <w:bookmarkEnd w:id="76"/>
    <w:p>
      <w:pPr>
        <w:ind w:left="192" w:right="100"/>
        <w:spacing w:after="0" w:line="254" w:lineRule="auto"/>
        <w:rPr>
          <w:sz w:val="20"/>
          <w:szCs w:val="20"/>
          <w:color w:val="auto"/>
        </w:rPr>
      </w:pPr>
      <w:r>
        <w:rPr>
          <w:rFonts w:ascii="Arial" w:cs="Arial" w:eastAsia="Arial" w:hAnsi="Arial"/>
          <w:sz w:val="16"/>
          <w:szCs w:val="16"/>
          <w:color w:val="auto"/>
        </w:rPr>
        <w:t>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Further, with respect to the PRSUs granted to Mr. Bryant as a new-hire equity award, a Monte Carlo simulation with a derived service period is used to calculate the grant date fair value. The grant date fair value of the financial metric PRSUs and Maxim Integration PRSUs represents the value at the grant date based upon the probable outcome of the performance conditions at the date of grant. For a more detailed description of the assumptions used for purposes of determining grant date fair value, see Note 2r and Note 3 to the Consolidated Financial Statements and Management’s Discussion and Analysis of Financial Condition and Results of Operations—Critical Accounting Policies and Estimates—Stock-Based Compensation, included in our Annual Report on Form 10-K for the year ended October 29, 2022. The grant date fair value of awards at the maximum level of achievement for PRSUs included in this table for fiscal year 2022 is as follows: Mr. Roche, $19,500,288; Mr. Mahendra-Rajah, $7,150,513; Mr. Bryant, $30,750,211; Mr. Jain, $6,500,237; and Ms. Sacks, $6,110,112.</w:t>
      </w:r>
    </w:p>
    <w:p>
      <w:pPr>
        <w:spacing w:after="0" w:line="24" w:lineRule="exact"/>
        <w:rPr>
          <w:sz w:val="20"/>
          <w:szCs w:val="20"/>
          <w:color w:val="auto"/>
        </w:rPr>
      </w:pPr>
    </w:p>
    <w:p>
      <w:pPr>
        <w:ind w:left="192" w:right="40" w:hanging="192"/>
        <w:spacing w:after="0" w:line="237" w:lineRule="auto"/>
        <w:tabs>
          <w:tab w:leader="none" w:pos="207"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Amounts represent the aggregate grant date fair value of stock options and performance-based stock options granted in fiscal years 2022, 2021 and 2020. Such amounts do not represent the actual amounts paid to or realized by the NEO for these awards during the respective fiscal years. We recognize the value as of the grant date for stock options over the number of days of service required for the grant to become vested in accordance with FASB ASC 718. The grant date fair value of stock options is computed using a Black-Scholes valuation methodology. The grant date fair value of the performance-based stock options is computed using a Monte Carlo simulation with a derived service period. For a more detailed description of the assumptions used for purposes of determining grant date fair value, see Note 2r and Note 3 to the Consolidated Financial Statements and Management’s Discussion and Analysis of Financial Condition and Results of Operations—Critical Accounting Policies and Estimates—Stock-Based Compensation, included in our Annual Report on Form 10-K for the year ended October 29, 2022.</w:t>
      </w:r>
    </w:p>
    <w:p>
      <w:pPr>
        <w:spacing w:after="0" w:line="42" w:lineRule="exact"/>
        <w:rPr>
          <w:rFonts w:ascii="Arial" w:cs="Arial" w:eastAsia="Arial" w:hAnsi="Arial"/>
          <w:sz w:val="21"/>
          <w:szCs w:val="21"/>
          <w:color w:val="auto"/>
          <w:vertAlign w:val="superscript"/>
        </w:rPr>
      </w:pPr>
    </w:p>
    <w:p>
      <w:pPr>
        <w:ind w:left="192" w:right="80" w:hanging="192"/>
        <w:spacing w:after="0" w:line="227" w:lineRule="auto"/>
        <w:tabs>
          <w:tab w:leader="none" w:pos="207"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Reflects the amounts earned under our executive performance incentive plan in fiscal years 2022, 2021 and 2020, paid on a semi-annual basis following the end of the second and fourth quarters of each fiscal year.</w:t>
      </w:r>
    </w:p>
    <w:p>
      <w:pPr>
        <w:spacing w:after="0" w:line="16"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The amounts shown in the “All Other Compensation” column are comprised of the following:</w:t>
      </w:r>
    </w:p>
    <w:p>
      <w:pPr>
        <w:spacing w:after="0" w:line="97" w:lineRule="exact"/>
        <w:rPr>
          <w:sz w:val="20"/>
          <w:szCs w:val="20"/>
          <w:color w:val="auto"/>
        </w:rPr>
      </w:pPr>
    </w:p>
    <w:tbl>
      <w:tblPr>
        <w:tblLayout w:type="fixed"/>
        <w:tblInd w:w="192" w:type="dxa"/>
        <w:tblCellMar>
          <w:top w:w="0" w:type="dxa"/>
          <w:left w:w="0" w:type="dxa"/>
          <w:bottom w:w="0" w:type="dxa"/>
          <w:right w:w="0" w:type="dxa"/>
        </w:tblCellMar>
      </w:tblPr>
      <w:tr>
        <w:trPr>
          <w:trHeight w:val="180"/>
        </w:trPr>
        <w:tc>
          <w:tcPr>
            <w:tcW w:w="1340" w:type="dxa"/>
            <w:vAlign w:val="bottom"/>
            <w:shd w:val="clear" w:color="auto" w:fill="0067B3"/>
          </w:tcPr>
          <w:p>
            <w:pPr>
              <w:spacing w:after="0"/>
              <w:rPr>
                <w:sz w:val="15"/>
                <w:szCs w:val="15"/>
                <w:color w:val="auto"/>
              </w:rPr>
            </w:pPr>
          </w:p>
        </w:tc>
        <w:tc>
          <w:tcPr>
            <w:tcW w:w="520" w:type="dxa"/>
            <w:vAlign w:val="bottom"/>
            <w:shd w:val="clear" w:color="auto" w:fill="0067B3"/>
          </w:tcPr>
          <w:p>
            <w:pPr>
              <w:spacing w:after="0"/>
              <w:rPr>
                <w:sz w:val="15"/>
                <w:szCs w:val="15"/>
                <w:color w:val="auto"/>
              </w:rPr>
            </w:pPr>
          </w:p>
        </w:tc>
        <w:tc>
          <w:tcPr>
            <w:tcW w:w="1220" w:type="dxa"/>
            <w:vAlign w:val="bottom"/>
            <w:gridSpan w:val="2"/>
            <w:shd w:val="clear" w:color="auto" w:fill="0067B3"/>
          </w:tcPr>
          <w:p>
            <w:pPr>
              <w:jc w:val="right"/>
              <w:ind w:right="80"/>
              <w:spacing w:after="0"/>
              <w:rPr>
                <w:sz w:val="20"/>
                <w:szCs w:val="20"/>
                <w:color w:val="auto"/>
              </w:rPr>
            </w:pPr>
            <w:r>
              <w:rPr>
                <w:rFonts w:ascii="Arial" w:cs="Arial" w:eastAsia="Arial" w:hAnsi="Arial"/>
                <w:sz w:val="14"/>
                <w:szCs w:val="14"/>
                <w:b w:val="1"/>
                <w:bCs w:val="1"/>
                <w:color w:val="FFFFFF"/>
              </w:rPr>
              <w:t>Company</w:t>
            </w:r>
          </w:p>
        </w:tc>
        <w:tc>
          <w:tcPr>
            <w:tcW w:w="94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Healthcare</w:t>
            </w:r>
          </w:p>
        </w:tc>
        <w:tc>
          <w:tcPr>
            <w:tcW w:w="940" w:type="dxa"/>
            <w:vAlign w:val="bottom"/>
            <w:shd w:val="clear" w:color="auto" w:fill="0067B3"/>
          </w:tcPr>
          <w:p>
            <w:pPr>
              <w:spacing w:after="0"/>
              <w:rPr>
                <w:sz w:val="15"/>
                <w:szCs w:val="15"/>
                <w:color w:val="auto"/>
              </w:rPr>
            </w:pPr>
          </w:p>
        </w:tc>
        <w:tc>
          <w:tcPr>
            <w:tcW w:w="1300" w:type="dxa"/>
            <w:vAlign w:val="bottom"/>
            <w:shd w:val="clear" w:color="auto" w:fill="0067B3"/>
          </w:tcPr>
          <w:p>
            <w:pPr>
              <w:spacing w:after="0"/>
              <w:rPr>
                <w:sz w:val="15"/>
                <w:szCs w:val="15"/>
                <w:color w:val="auto"/>
              </w:rPr>
            </w:pPr>
          </w:p>
        </w:tc>
        <w:tc>
          <w:tcPr>
            <w:tcW w:w="660" w:type="dxa"/>
            <w:vAlign w:val="bottom"/>
            <w:shd w:val="clear" w:color="auto" w:fill="0067B3"/>
          </w:tcPr>
          <w:p>
            <w:pPr>
              <w:spacing w:after="0"/>
              <w:rPr>
                <w:sz w:val="15"/>
                <w:szCs w:val="15"/>
                <w:color w:val="auto"/>
              </w:rPr>
            </w:pPr>
          </w:p>
        </w:tc>
        <w:tc>
          <w:tcPr>
            <w:tcW w:w="920" w:type="dxa"/>
            <w:vAlign w:val="bottom"/>
            <w:shd w:val="clear" w:color="auto" w:fill="0067B3"/>
          </w:tcPr>
          <w:p>
            <w:pPr>
              <w:spacing w:after="0"/>
              <w:rPr>
                <w:sz w:val="15"/>
                <w:szCs w:val="15"/>
                <w:color w:val="auto"/>
              </w:rPr>
            </w:pPr>
          </w:p>
        </w:tc>
        <w:tc>
          <w:tcPr>
            <w:tcW w:w="1080" w:type="dxa"/>
            <w:vAlign w:val="bottom"/>
            <w:shd w:val="clear" w:color="auto" w:fill="0067B3"/>
          </w:tcPr>
          <w:p>
            <w:pPr>
              <w:spacing w:after="0"/>
              <w:rPr>
                <w:sz w:val="15"/>
                <w:szCs w:val="15"/>
                <w:color w:val="auto"/>
              </w:rPr>
            </w:pPr>
          </w:p>
        </w:tc>
        <w:tc>
          <w:tcPr>
            <w:tcW w:w="1160" w:type="dxa"/>
            <w:vAlign w:val="bottom"/>
            <w:gridSpan w:val="2"/>
            <w:shd w:val="clear" w:color="auto" w:fill="0067B3"/>
          </w:tcPr>
          <w:p>
            <w:pPr>
              <w:jc w:val="right"/>
              <w:ind w:right="50"/>
              <w:spacing w:after="0"/>
              <w:rPr>
                <w:sz w:val="20"/>
                <w:szCs w:val="20"/>
                <w:color w:val="auto"/>
              </w:rPr>
            </w:pPr>
            <w:r>
              <w:rPr>
                <w:rFonts w:ascii="Arial" w:cs="Arial" w:eastAsia="Arial" w:hAnsi="Arial"/>
                <w:sz w:val="14"/>
                <w:szCs w:val="14"/>
                <w:b w:val="1"/>
                <w:bCs w:val="1"/>
                <w:color w:val="FFFFFF"/>
              </w:rPr>
              <w:t>Travel</w:t>
            </w:r>
          </w:p>
        </w:tc>
        <w:tc>
          <w:tcPr>
            <w:tcW w:w="720" w:type="dxa"/>
            <w:vAlign w:val="bottom"/>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0067B3"/>
          </w:tcPr>
          <w:p>
            <w:pPr>
              <w:spacing w:after="0"/>
              <w:rPr>
                <w:sz w:val="15"/>
                <w:szCs w:val="15"/>
                <w:color w:val="auto"/>
              </w:rPr>
            </w:pPr>
          </w:p>
        </w:tc>
        <w:tc>
          <w:tcPr>
            <w:tcW w:w="520" w:type="dxa"/>
            <w:vAlign w:val="bottom"/>
            <w:shd w:val="clear" w:color="auto" w:fill="0067B3"/>
          </w:tcPr>
          <w:p>
            <w:pPr>
              <w:spacing w:after="0"/>
              <w:rPr>
                <w:sz w:val="15"/>
                <w:szCs w:val="15"/>
                <w:color w:val="auto"/>
              </w:rPr>
            </w:pPr>
          </w:p>
        </w:tc>
        <w:tc>
          <w:tcPr>
            <w:tcW w:w="1220" w:type="dxa"/>
            <w:vAlign w:val="bottom"/>
            <w:gridSpan w:val="2"/>
            <w:shd w:val="clear" w:color="auto" w:fill="0067B3"/>
          </w:tcPr>
          <w:p>
            <w:pPr>
              <w:jc w:val="right"/>
              <w:ind w:right="80"/>
              <w:spacing w:after="0"/>
              <w:rPr>
                <w:sz w:val="20"/>
                <w:szCs w:val="20"/>
                <w:color w:val="auto"/>
              </w:rPr>
            </w:pPr>
            <w:r>
              <w:rPr>
                <w:rFonts w:ascii="Arial" w:cs="Arial" w:eastAsia="Arial" w:hAnsi="Arial"/>
                <w:sz w:val="14"/>
                <w:szCs w:val="14"/>
                <w:b w:val="1"/>
                <w:bCs w:val="1"/>
                <w:color w:val="FFFFFF"/>
              </w:rPr>
              <w:t>401(k) and</w:t>
            </w:r>
          </w:p>
        </w:tc>
        <w:tc>
          <w:tcPr>
            <w:tcW w:w="94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Savings</w:t>
            </w:r>
          </w:p>
        </w:tc>
        <w:tc>
          <w:tcPr>
            <w:tcW w:w="940" w:type="dxa"/>
            <w:vAlign w:val="bottom"/>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Relocation</w:t>
            </w:r>
          </w:p>
        </w:tc>
        <w:tc>
          <w:tcPr>
            <w:tcW w:w="1300" w:type="dxa"/>
            <w:vAlign w:val="bottom"/>
            <w:shd w:val="clear" w:color="auto" w:fill="0067B3"/>
          </w:tcPr>
          <w:p>
            <w:pPr>
              <w:jc w:val="right"/>
              <w:ind w:right="45"/>
              <w:spacing w:after="0"/>
              <w:rPr>
                <w:sz w:val="20"/>
                <w:szCs w:val="20"/>
                <w:color w:val="auto"/>
              </w:rPr>
            </w:pPr>
            <w:r>
              <w:rPr>
                <w:rFonts w:ascii="Arial" w:cs="Arial" w:eastAsia="Arial" w:hAnsi="Arial"/>
                <w:sz w:val="14"/>
                <w:szCs w:val="14"/>
                <w:b w:val="1"/>
                <w:bCs w:val="1"/>
                <w:color w:val="FFFFFF"/>
              </w:rPr>
              <w:t>Tax</w:t>
            </w:r>
          </w:p>
        </w:tc>
        <w:tc>
          <w:tcPr>
            <w:tcW w:w="66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Service</w:t>
            </w:r>
          </w:p>
        </w:tc>
        <w:tc>
          <w:tcPr>
            <w:tcW w:w="920" w:type="dxa"/>
            <w:vAlign w:val="bottom"/>
            <w:vMerge w:val="restart"/>
            <w:shd w:val="clear" w:color="auto" w:fill="0067B3"/>
          </w:tcPr>
          <w:p>
            <w:pPr>
              <w:jc w:val="right"/>
              <w:ind w:right="7"/>
              <w:spacing w:after="0"/>
              <w:rPr>
                <w:sz w:val="20"/>
                <w:szCs w:val="20"/>
                <w:color w:val="auto"/>
              </w:rPr>
            </w:pPr>
            <w:r>
              <w:rPr>
                <w:rFonts w:ascii="Arial" w:cs="Arial" w:eastAsia="Arial" w:hAnsi="Arial"/>
                <w:sz w:val="14"/>
                <w:szCs w:val="14"/>
                <w:b w:val="1"/>
                <w:bCs w:val="1"/>
                <w:color w:val="FFFFFF"/>
              </w:rPr>
              <w:t>Tax</w:t>
            </w:r>
          </w:p>
        </w:tc>
        <w:tc>
          <w:tcPr>
            <w:tcW w:w="1080" w:type="dxa"/>
            <w:vAlign w:val="bottom"/>
            <w:shd w:val="clear" w:color="auto" w:fill="0067B3"/>
          </w:tcPr>
          <w:p>
            <w:pPr>
              <w:spacing w:after="0"/>
              <w:rPr>
                <w:sz w:val="15"/>
                <w:szCs w:val="15"/>
                <w:color w:val="auto"/>
              </w:rPr>
            </w:pPr>
          </w:p>
        </w:tc>
        <w:tc>
          <w:tcPr>
            <w:tcW w:w="1160" w:type="dxa"/>
            <w:vAlign w:val="bottom"/>
            <w:gridSpan w:val="2"/>
            <w:shd w:val="clear" w:color="auto" w:fill="0067B3"/>
          </w:tcPr>
          <w:p>
            <w:pPr>
              <w:jc w:val="right"/>
              <w:ind w:right="50"/>
              <w:spacing w:after="0"/>
              <w:rPr>
                <w:sz w:val="20"/>
                <w:szCs w:val="20"/>
                <w:color w:val="auto"/>
              </w:rPr>
            </w:pPr>
            <w:r>
              <w:rPr>
                <w:rFonts w:ascii="Arial" w:cs="Arial" w:eastAsia="Arial" w:hAnsi="Arial"/>
                <w:sz w:val="14"/>
                <w:szCs w:val="14"/>
                <w:b w:val="1"/>
                <w:bCs w:val="1"/>
                <w:color w:val="FFFFFF"/>
              </w:rPr>
              <w:t>Insurance and</w:t>
            </w:r>
          </w:p>
        </w:tc>
        <w:tc>
          <w:tcPr>
            <w:tcW w:w="720" w:type="dxa"/>
            <w:vAlign w:val="bottom"/>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40" w:type="dxa"/>
            <w:vAlign w:val="bottom"/>
            <w:shd w:val="clear" w:color="auto" w:fill="0067B3"/>
          </w:tcPr>
          <w:p>
            <w:pPr>
              <w:spacing w:after="0"/>
              <w:rPr>
                <w:sz w:val="4"/>
                <w:szCs w:val="4"/>
                <w:color w:val="auto"/>
              </w:rPr>
            </w:pPr>
          </w:p>
        </w:tc>
        <w:tc>
          <w:tcPr>
            <w:tcW w:w="520" w:type="dxa"/>
            <w:vAlign w:val="bottom"/>
            <w:vMerge w:val="restart"/>
            <w:shd w:val="clear" w:color="auto" w:fill="0067B3"/>
          </w:tcPr>
          <w:p>
            <w:pPr>
              <w:jc w:val="right"/>
              <w:spacing w:after="0"/>
              <w:rPr>
                <w:sz w:val="20"/>
                <w:szCs w:val="20"/>
                <w:color w:val="auto"/>
              </w:rPr>
            </w:pPr>
            <w:r>
              <w:rPr>
                <w:rFonts w:ascii="Arial" w:cs="Arial" w:eastAsia="Arial" w:hAnsi="Arial"/>
                <w:sz w:val="14"/>
                <w:szCs w:val="14"/>
                <w:b w:val="1"/>
                <w:bCs w:val="1"/>
                <w:color w:val="FFFFFF"/>
              </w:rPr>
              <w:t>Fiscal</w:t>
            </w:r>
          </w:p>
        </w:tc>
        <w:tc>
          <w:tcPr>
            <w:tcW w:w="1220" w:type="dxa"/>
            <w:vAlign w:val="bottom"/>
            <w:gridSpan w:val="2"/>
            <w:vMerge w:val="restart"/>
            <w:shd w:val="clear" w:color="auto" w:fill="0067B3"/>
          </w:tcPr>
          <w:p>
            <w:pPr>
              <w:jc w:val="right"/>
              <w:ind w:right="80"/>
              <w:spacing w:after="0"/>
              <w:rPr>
                <w:sz w:val="20"/>
                <w:szCs w:val="20"/>
                <w:color w:val="auto"/>
              </w:rPr>
            </w:pPr>
            <w:r>
              <w:rPr>
                <w:rFonts w:ascii="Arial" w:cs="Arial" w:eastAsia="Arial" w:hAnsi="Arial"/>
                <w:sz w:val="14"/>
                <w:szCs w:val="14"/>
                <w:b w:val="1"/>
                <w:bCs w:val="1"/>
                <w:color w:val="FFFFFF"/>
              </w:rPr>
              <w:t>DCP Payments</w:t>
            </w:r>
          </w:p>
        </w:tc>
        <w:tc>
          <w:tcPr>
            <w:tcW w:w="940" w:type="dxa"/>
            <w:vAlign w:val="bottom"/>
            <w:vMerge w:val="restart"/>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Account</w:t>
            </w:r>
          </w:p>
        </w:tc>
        <w:tc>
          <w:tcPr>
            <w:tcW w:w="940" w:type="dxa"/>
            <w:vAlign w:val="bottom"/>
            <w:vMerge w:val="restart"/>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Expenses</w:t>
            </w:r>
          </w:p>
        </w:tc>
        <w:tc>
          <w:tcPr>
            <w:tcW w:w="1300" w:type="dxa"/>
            <w:vAlign w:val="bottom"/>
            <w:vMerge w:val="restart"/>
            <w:shd w:val="clear" w:color="auto" w:fill="0067B3"/>
          </w:tcPr>
          <w:p>
            <w:pPr>
              <w:jc w:val="right"/>
              <w:ind w:right="45"/>
              <w:spacing w:after="0"/>
              <w:rPr>
                <w:sz w:val="20"/>
                <w:szCs w:val="20"/>
                <w:color w:val="auto"/>
              </w:rPr>
            </w:pPr>
            <w:r>
              <w:rPr>
                <w:rFonts w:ascii="Arial" w:cs="Arial" w:eastAsia="Arial" w:hAnsi="Arial"/>
                <w:sz w:val="14"/>
                <w:szCs w:val="14"/>
                <w:b w:val="1"/>
                <w:bCs w:val="1"/>
                <w:color w:val="FFFFFF"/>
              </w:rPr>
              <w:t>Reimbursement</w:t>
            </w:r>
          </w:p>
        </w:tc>
        <w:tc>
          <w:tcPr>
            <w:tcW w:w="660" w:type="dxa"/>
            <w:vAlign w:val="bottom"/>
            <w:vMerge w:val="restart"/>
            <w:shd w:val="clear" w:color="auto" w:fill="0067B3"/>
          </w:tcPr>
          <w:p>
            <w:pPr>
              <w:jc w:val="right"/>
              <w:spacing w:after="0"/>
              <w:rPr>
                <w:sz w:val="20"/>
                <w:szCs w:val="20"/>
                <w:color w:val="auto"/>
              </w:rPr>
            </w:pPr>
            <w:r>
              <w:rPr>
                <w:rFonts w:ascii="Arial" w:cs="Arial" w:eastAsia="Arial" w:hAnsi="Arial"/>
                <w:sz w:val="14"/>
                <w:szCs w:val="14"/>
                <w:b w:val="1"/>
                <w:bCs w:val="1"/>
                <w:color w:val="FFFFFF"/>
              </w:rPr>
              <w:t>Awards</w:t>
            </w:r>
          </w:p>
        </w:tc>
        <w:tc>
          <w:tcPr>
            <w:tcW w:w="920" w:type="dxa"/>
            <w:vAlign w:val="bottom"/>
            <w:vMerge w:val="continue"/>
            <w:shd w:val="clear" w:color="auto" w:fill="0067B3"/>
          </w:tcPr>
          <w:p>
            <w:pPr>
              <w:spacing w:after="0"/>
              <w:rPr>
                <w:sz w:val="4"/>
                <w:szCs w:val="4"/>
                <w:color w:val="auto"/>
              </w:rPr>
            </w:pPr>
          </w:p>
        </w:tc>
        <w:tc>
          <w:tcPr>
            <w:tcW w:w="1080" w:type="dxa"/>
            <w:vAlign w:val="bottom"/>
            <w:vMerge w:val="restart"/>
            <w:shd w:val="clear" w:color="auto" w:fill="0067B3"/>
          </w:tcPr>
          <w:p>
            <w:pPr>
              <w:jc w:val="right"/>
              <w:ind w:right="4"/>
              <w:spacing w:after="0"/>
              <w:rPr>
                <w:sz w:val="20"/>
                <w:szCs w:val="20"/>
                <w:color w:val="auto"/>
              </w:rPr>
            </w:pPr>
            <w:r>
              <w:rPr>
                <w:rFonts w:ascii="Arial" w:cs="Arial" w:eastAsia="Arial" w:hAnsi="Arial"/>
                <w:sz w:val="14"/>
                <w:szCs w:val="14"/>
                <w:b w:val="1"/>
                <w:bCs w:val="1"/>
                <w:color w:val="FFFFFF"/>
              </w:rPr>
              <w:t>Corporate</w:t>
            </w:r>
          </w:p>
        </w:tc>
        <w:tc>
          <w:tcPr>
            <w:tcW w:w="1160" w:type="dxa"/>
            <w:vAlign w:val="bottom"/>
            <w:gridSpan w:val="2"/>
            <w:vMerge w:val="restart"/>
            <w:shd w:val="clear" w:color="auto" w:fill="0067B3"/>
          </w:tcPr>
          <w:p>
            <w:pPr>
              <w:jc w:val="right"/>
              <w:ind w:right="50"/>
              <w:spacing w:after="0"/>
              <w:rPr>
                <w:sz w:val="20"/>
                <w:szCs w:val="20"/>
                <w:color w:val="auto"/>
              </w:rPr>
            </w:pPr>
            <w:r>
              <w:rPr>
                <w:rFonts w:ascii="Arial" w:cs="Arial" w:eastAsia="Arial" w:hAnsi="Arial"/>
                <w:sz w:val="14"/>
                <w:szCs w:val="14"/>
                <w:b w:val="1"/>
                <w:bCs w:val="1"/>
                <w:color w:val="FFFFFF"/>
              </w:rPr>
              <w:t>Executive</w:t>
            </w:r>
          </w:p>
        </w:tc>
        <w:tc>
          <w:tcPr>
            <w:tcW w:w="720" w:type="dxa"/>
            <w:vAlign w:val="bottom"/>
            <w:vMerge w:val="restart"/>
            <w:shd w:val="clear" w:color="auto" w:fill="0067B3"/>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134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520" w:type="dxa"/>
            <w:vAlign w:val="bottom"/>
            <w:vMerge w:val="continue"/>
            <w:shd w:val="clear" w:color="auto" w:fill="0067B3"/>
          </w:tcPr>
          <w:p>
            <w:pPr>
              <w:spacing w:after="0"/>
              <w:rPr>
                <w:sz w:val="12"/>
                <w:szCs w:val="12"/>
                <w:color w:val="auto"/>
              </w:rPr>
            </w:pPr>
          </w:p>
        </w:tc>
        <w:tc>
          <w:tcPr>
            <w:tcW w:w="1220" w:type="dxa"/>
            <w:vAlign w:val="bottom"/>
            <w:gridSpan w:val="2"/>
            <w:vMerge w:val="continue"/>
            <w:shd w:val="clear" w:color="auto" w:fill="0067B3"/>
          </w:tcPr>
          <w:p>
            <w:pPr>
              <w:spacing w:after="0"/>
              <w:rPr>
                <w:sz w:val="12"/>
                <w:szCs w:val="12"/>
                <w:color w:val="auto"/>
              </w:rPr>
            </w:pPr>
          </w:p>
        </w:tc>
        <w:tc>
          <w:tcPr>
            <w:tcW w:w="940" w:type="dxa"/>
            <w:vAlign w:val="bottom"/>
            <w:vMerge w:val="continue"/>
            <w:shd w:val="clear" w:color="auto" w:fill="0067B3"/>
          </w:tcPr>
          <w:p>
            <w:pPr>
              <w:spacing w:after="0"/>
              <w:rPr>
                <w:sz w:val="12"/>
                <w:szCs w:val="12"/>
                <w:color w:val="auto"/>
              </w:rPr>
            </w:pPr>
          </w:p>
        </w:tc>
        <w:tc>
          <w:tcPr>
            <w:tcW w:w="940" w:type="dxa"/>
            <w:vAlign w:val="bottom"/>
            <w:vMerge w:val="continue"/>
            <w:shd w:val="clear" w:color="auto" w:fill="0067B3"/>
          </w:tcPr>
          <w:p>
            <w:pPr>
              <w:spacing w:after="0"/>
              <w:rPr>
                <w:sz w:val="12"/>
                <w:szCs w:val="12"/>
                <w:color w:val="auto"/>
              </w:rPr>
            </w:pPr>
          </w:p>
        </w:tc>
        <w:tc>
          <w:tcPr>
            <w:tcW w:w="1300" w:type="dxa"/>
            <w:vAlign w:val="bottom"/>
            <w:vMerge w:val="continue"/>
            <w:shd w:val="clear" w:color="auto" w:fill="0067B3"/>
          </w:tcPr>
          <w:p>
            <w:pPr>
              <w:spacing w:after="0"/>
              <w:rPr>
                <w:sz w:val="12"/>
                <w:szCs w:val="12"/>
                <w:color w:val="auto"/>
              </w:rPr>
            </w:pPr>
          </w:p>
        </w:tc>
        <w:tc>
          <w:tcPr>
            <w:tcW w:w="660" w:type="dxa"/>
            <w:vAlign w:val="bottom"/>
            <w:vMerge w:val="continue"/>
            <w:shd w:val="clear" w:color="auto" w:fill="0067B3"/>
          </w:tcPr>
          <w:p>
            <w:pPr>
              <w:spacing w:after="0"/>
              <w:rPr>
                <w:sz w:val="12"/>
                <w:szCs w:val="12"/>
                <w:color w:val="auto"/>
              </w:rPr>
            </w:pPr>
          </w:p>
        </w:tc>
        <w:tc>
          <w:tcPr>
            <w:tcW w:w="920" w:type="dxa"/>
            <w:vAlign w:val="bottom"/>
            <w:shd w:val="clear" w:color="auto" w:fill="0067B3"/>
          </w:tcPr>
          <w:p>
            <w:pPr>
              <w:jc w:val="right"/>
              <w:ind w:right="7"/>
              <w:spacing w:after="0" w:line="145" w:lineRule="exact"/>
              <w:rPr>
                <w:sz w:val="20"/>
                <w:szCs w:val="20"/>
                <w:color w:val="auto"/>
              </w:rPr>
            </w:pPr>
            <w:r>
              <w:rPr>
                <w:rFonts w:ascii="Arial" w:cs="Arial" w:eastAsia="Arial" w:hAnsi="Arial"/>
                <w:sz w:val="14"/>
                <w:szCs w:val="14"/>
                <w:b w:val="1"/>
                <w:bCs w:val="1"/>
                <w:color w:val="FFFFFF"/>
              </w:rPr>
              <w:t>Planning ($)</w:t>
            </w:r>
          </w:p>
        </w:tc>
        <w:tc>
          <w:tcPr>
            <w:tcW w:w="1080" w:type="dxa"/>
            <w:vAlign w:val="bottom"/>
            <w:vMerge w:val="continue"/>
            <w:shd w:val="clear" w:color="auto" w:fill="0067B3"/>
          </w:tcPr>
          <w:p>
            <w:pPr>
              <w:spacing w:after="0"/>
              <w:rPr>
                <w:sz w:val="12"/>
                <w:szCs w:val="12"/>
                <w:color w:val="auto"/>
              </w:rPr>
            </w:pPr>
          </w:p>
        </w:tc>
        <w:tc>
          <w:tcPr>
            <w:tcW w:w="1160" w:type="dxa"/>
            <w:vAlign w:val="bottom"/>
            <w:gridSpan w:val="2"/>
            <w:vMerge w:val="continue"/>
            <w:shd w:val="clear" w:color="auto" w:fill="0067B3"/>
          </w:tcPr>
          <w:p>
            <w:pPr>
              <w:spacing w:after="0"/>
              <w:rPr>
                <w:sz w:val="12"/>
                <w:szCs w:val="12"/>
                <w:color w:val="auto"/>
              </w:rPr>
            </w:pPr>
          </w:p>
        </w:tc>
        <w:tc>
          <w:tcPr>
            <w:tcW w:w="720" w:type="dxa"/>
            <w:vAlign w:val="bottom"/>
            <w:vMerge w:val="continue"/>
            <w:shd w:val="clear" w:color="auto" w:fill="0067B3"/>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40" w:type="dxa"/>
            <w:vAlign w:val="bottom"/>
            <w:tcBorders>
              <w:bottom w:val="single" w:sz="8" w:color="auto"/>
            </w:tcBorders>
            <w:vMerge w:val="continue"/>
            <w:shd w:val="clear" w:color="auto" w:fill="0067B3"/>
          </w:tcPr>
          <w:p>
            <w:pPr>
              <w:spacing w:after="0"/>
              <w:rPr>
                <w:sz w:val="16"/>
                <w:szCs w:val="16"/>
                <w:color w:val="auto"/>
              </w:rPr>
            </w:pPr>
          </w:p>
        </w:tc>
        <w:tc>
          <w:tcPr>
            <w:tcW w:w="5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Year</w:t>
            </w:r>
          </w:p>
        </w:tc>
        <w:tc>
          <w:tcPr>
            <w:tcW w:w="1220" w:type="dxa"/>
            <w:vAlign w:val="bottom"/>
            <w:tcBorders>
              <w:bottom w:val="single" w:sz="8" w:color="auto"/>
            </w:tcBorders>
            <w:gridSpan w:val="2"/>
            <w:shd w:val="clear" w:color="auto" w:fill="0067B3"/>
          </w:tcPr>
          <w:p>
            <w:pPr>
              <w:jc w:val="right"/>
              <w:ind w:right="80"/>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(a)</w:t>
            </w:r>
          </w:p>
        </w:tc>
        <w:tc>
          <w:tcPr>
            <w:tcW w:w="940" w:type="dxa"/>
            <w:vAlign w:val="bottom"/>
            <w:tcBorders>
              <w:bottom w:val="single" w:sz="8" w:color="auto"/>
            </w:tcBorders>
            <w:shd w:val="clear" w:color="auto" w:fill="0067B3"/>
          </w:tcPr>
          <w:p>
            <w:pPr>
              <w:jc w:val="right"/>
              <w:ind w:right="25"/>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auto"/>
            </w:tcBorders>
            <w:shd w:val="clear" w:color="auto" w:fill="0067B3"/>
          </w:tcPr>
          <w:p>
            <w:pPr>
              <w:jc w:val="right"/>
              <w:ind w:right="25"/>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(b)</w:t>
            </w:r>
          </w:p>
        </w:tc>
        <w:tc>
          <w:tcPr>
            <w:tcW w:w="1300" w:type="dxa"/>
            <w:vAlign w:val="bottom"/>
            <w:tcBorders>
              <w:bottom w:val="single" w:sz="8" w:color="auto"/>
            </w:tcBorders>
            <w:shd w:val="clear" w:color="auto" w:fill="0067B3"/>
          </w:tcPr>
          <w:p>
            <w:pPr>
              <w:jc w:val="right"/>
              <w:ind w:right="45"/>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auto"/>
            </w:tcBorders>
            <w:shd w:val="clear" w:color="auto" w:fill="0067B3"/>
          </w:tcPr>
          <w:p>
            <w:pPr>
              <w:jc w:val="right"/>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(c)</w:t>
            </w:r>
          </w:p>
        </w:tc>
        <w:tc>
          <w:tcPr>
            <w:tcW w:w="920" w:type="dxa"/>
            <w:vAlign w:val="bottom"/>
            <w:tcBorders>
              <w:bottom w:val="single" w:sz="8" w:color="auto"/>
            </w:tcBorders>
            <w:shd w:val="clear" w:color="auto" w:fill="0067B3"/>
          </w:tcPr>
          <w:p>
            <w:pPr>
              <w:jc w:val="right"/>
              <w:ind w:right="7"/>
              <w:spacing w:after="0"/>
              <w:rPr>
                <w:sz w:val="20"/>
                <w:szCs w:val="20"/>
                <w:color w:val="auto"/>
              </w:rPr>
            </w:pPr>
            <w:r>
              <w:rPr>
                <w:rFonts w:ascii="Arial" w:cs="Arial" w:eastAsia="Arial" w:hAnsi="Arial"/>
                <w:sz w:val="9"/>
                <w:szCs w:val="9"/>
                <w:b w:val="1"/>
                <w:bCs w:val="1"/>
                <w:color w:val="FFFFFF"/>
              </w:rPr>
              <w:t>(d)</w:t>
            </w:r>
          </w:p>
        </w:tc>
        <w:tc>
          <w:tcPr>
            <w:tcW w:w="1080" w:type="dxa"/>
            <w:vAlign w:val="bottom"/>
            <w:tcBorders>
              <w:bottom w:val="single" w:sz="8" w:color="auto"/>
            </w:tcBorders>
            <w:shd w:val="clear" w:color="auto" w:fill="0067B3"/>
          </w:tcPr>
          <w:p>
            <w:pPr>
              <w:jc w:val="right"/>
              <w:ind w:right="4"/>
              <w:spacing w:after="0"/>
              <w:rPr>
                <w:sz w:val="20"/>
                <w:szCs w:val="20"/>
                <w:color w:val="auto"/>
              </w:rPr>
            </w:pPr>
            <w:r>
              <w:rPr>
                <w:rFonts w:ascii="Arial" w:cs="Arial" w:eastAsia="Arial" w:hAnsi="Arial"/>
                <w:sz w:val="14"/>
                <w:szCs w:val="14"/>
                <w:b w:val="1"/>
                <w:bCs w:val="1"/>
                <w:color w:val="FFFFFF"/>
              </w:rPr>
              <w:t>Aircraft Use</w:t>
            </w:r>
            <w:r>
              <w:rPr>
                <w:rFonts w:ascii="Arial" w:cs="Arial" w:eastAsia="Arial" w:hAnsi="Arial"/>
                <w:sz w:val="9"/>
                <w:szCs w:val="9"/>
                <w:b w:val="1"/>
                <w:bCs w:val="1"/>
                <w:color w:val="FFFFFF"/>
              </w:rPr>
              <w:t>(e)</w:t>
            </w:r>
          </w:p>
        </w:tc>
        <w:tc>
          <w:tcPr>
            <w:tcW w:w="1160" w:type="dxa"/>
            <w:vAlign w:val="bottom"/>
            <w:tcBorders>
              <w:bottom w:val="single" w:sz="8" w:color="auto"/>
            </w:tcBorders>
            <w:gridSpan w:val="2"/>
            <w:shd w:val="clear" w:color="auto" w:fill="0067B3"/>
          </w:tcPr>
          <w:p>
            <w:pPr>
              <w:jc w:val="right"/>
              <w:ind w:right="50"/>
              <w:spacing w:after="0"/>
              <w:rPr>
                <w:sz w:val="20"/>
                <w:szCs w:val="20"/>
                <w:color w:val="auto"/>
              </w:rPr>
            </w:pPr>
            <w:r>
              <w:rPr>
                <w:rFonts w:ascii="Arial" w:cs="Arial" w:eastAsia="Arial" w:hAnsi="Arial"/>
                <w:sz w:val="14"/>
                <w:szCs w:val="14"/>
                <w:b w:val="1"/>
                <w:bCs w:val="1"/>
                <w:color w:val="FFFFFF"/>
              </w:rPr>
              <w:t>Security</w:t>
            </w:r>
          </w:p>
        </w:tc>
        <w:tc>
          <w:tcPr>
            <w:tcW w:w="7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7"/>
        </w:trPr>
        <w:tc>
          <w:tcPr>
            <w:tcW w:w="1340" w:type="dxa"/>
            <w:vAlign w:val="bottom"/>
            <w:shd w:val="clear" w:color="auto" w:fill="E2E6F4"/>
          </w:tcPr>
          <w:p>
            <w:pPr>
              <w:spacing w:after="0"/>
              <w:rPr>
                <w:sz w:val="18"/>
                <w:szCs w:val="18"/>
                <w:color w:val="auto"/>
              </w:rPr>
            </w:pPr>
          </w:p>
        </w:tc>
        <w:tc>
          <w:tcPr>
            <w:tcW w:w="5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2022</w:t>
            </w:r>
          </w:p>
        </w:tc>
        <w:tc>
          <w:tcPr>
            <w:tcW w:w="11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86,000</w:t>
            </w:r>
          </w:p>
        </w:tc>
        <w:tc>
          <w:tcPr>
            <w:tcW w:w="100" w:type="dxa"/>
            <w:vAlign w:val="bottom"/>
            <w:shd w:val="clear" w:color="auto" w:fill="E2E6F4"/>
          </w:tcPr>
          <w:p>
            <w:pPr>
              <w:spacing w:after="0"/>
              <w:rPr>
                <w:sz w:val="18"/>
                <w:szCs w:val="18"/>
                <w:color w:val="auto"/>
              </w:rPr>
            </w:pP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shd w:val="clear" w:color="auto" w:fill="E2E6F4"/>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shd w:val="clear" w:color="auto" w:fill="E2E6F4"/>
          </w:tcPr>
          <w:p>
            <w:pPr>
              <w:jc w:val="right"/>
              <w:ind w:right="67"/>
              <w:spacing w:after="0"/>
              <w:rPr>
                <w:sz w:val="20"/>
                <w:szCs w:val="20"/>
                <w:color w:val="auto"/>
              </w:rPr>
            </w:pPr>
            <w:r>
              <w:rPr>
                <w:rFonts w:ascii="Arial" w:cs="Arial" w:eastAsia="Arial" w:hAnsi="Arial"/>
                <w:sz w:val="15"/>
                <w:szCs w:val="15"/>
                <w:color w:val="auto"/>
              </w:rPr>
              <w:t>—</w:t>
            </w:r>
          </w:p>
        </w:tc>
        <w:tc>
          <w:tcPr>
            <w:tcW w:w="1080" w:type="dxa"/>
            <w:vAlign w:val="bottom"/>
            <w:shd w:val="clear" w:color="auto" w:fill="E2E6F4"/>
          </w:tcPr>
          <w:p>
            <w:pPr>
              <w:jc w:val="right"/>
              <w:ind w:right="64"/>
              <w:spacing w:after="0"/>
              <w:rPr>
                <w:sz w:val="20"/>
                <w:szCs w:val="20"/>
                <w:color w:val="auto"/>
              </w:rPr>
            </w:pPr>
            <w:r>
              <w:rPr>
                <w:rFonts w:ascii="Arial" w:cs="Arial" w:eastAsia="Arial" w:hAnsi="Arial"/>
                <w:sz w:val="15"/>
                <w:szCs w:val="15"/>
                <w:color w:val="auto"/>
              </w:rPr>
              <w:t>345,040</w:t>
            </w:r>
          </w:p>
        </w:tc>
        <w:tc>
          <w:tcPr>
            <w:tcW w:w="880" w:type="dxa"/>
            <w:vAlign w:val="bottom"/>
            <w:shd w:val="clear" w:color="auto" w:fill="E2E6F4"/>
          </w:tcPr>
          <w:p>
            <w:pPr>
              <w:jc w:val="right"/>
              <w:ind w:right="25"/>
              <w:spacing w:after="0"/>
              <w:rPr>
                <w:sz w:val="20"/>
                <w:szCs w:val="20"/>
                <w:color w:val="auto"/>
              </w:rPr>
            </w:pPr>
            <w:r>
              <w:rPr>
                <w:rFonts w:ascii="Arial" w:cs="Arial" w:eastAsia="Arial" w:hAnsi="Arial"/>
                <w:sz w:val="15"/>
                <w:szCs w:val="15"/>
                <w:color w:val="auto"/>
              </w:rPr>
              <w:t>31,352</w:t>
            </w:r>
          </w:p>
        </w:tc>
        <w:tc>
          <w:tcPr>
            <w:tcW w:w="280" w:type="dxa"/>
            <w:vAlign w:val="bottom"/>
            <w:shd w:val="clear" w:color="auto" w:fill="E2E6F4"/>
          </w:tcPr>
          <w:p>
            <w:pPr>
              <w:jc w:val="right"/>
              <w:ind w:right="50"/>
              <w:spacing w:after="0"/>
              <w:rPr>
                <w:sz w:val="20"/>
                <w:szCs w:val="20"/>
                <w:color w:val="auto"/>
              </w:rPr>
            </w:pPr>
            <w:r>
              <w:rPr>
                <w:rFonts w:ascii="Arial" w:cs="Arial" w:eastAsia="Arial" w:hAnsi="Arial"/>
                <w:sz w:val="10"/>
                <w:szCs w:val="10"/>
                <w:color w:val="auto"/>
              </w:rPr>
              <w:t>(f)</w:t>
            </w:r>
          </w:p>
        </w:tc>
        <w:tc>
          <w:tcPr>
            <w:tcW w:w="7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462,392</w:t>
            </w:r>
          </w:p>
        </w:tc>
        <w:tc>
          <w:tcPr>
            <w:tcW w:w="0" w:type="dxa"/>
            <w:vAlign w:val="bottom"/>
          </w:tcPr>
          <w:p>
            <w:pPr>
              <w:spacing w:after="0"/>
              <w:rPr>
                <w:sz w:val="1"/>
                <w:szCs w:val="1"/>
                <w:color w:val="auto"/>
              </w:rPr>
            </w:pPr>
          </w:p>
        </w:tc>
      </w:tr>
      <w:tr>
        <w:trPr>
          <w:trHeight w:val="270"/>
        </w:trPr>
        <w:tc>
          <w:tcPr>
            <w:tcW w:w="1340" w:type="dxa"/>
            <w:vAlign w:val="bottom"/>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5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2021</w:t>
            </w:r>
          </w:p>
        </w:tc>
        <w:tc>
          <w:tcPr>
            <w:tcW w:w="11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84,000</w:t>
            </w:r>
          </w:p>
        </w:tc>
        <w:tc>
          <w:tcPr>
            <w:tcW w:w="100" w:type="dxa"/>
            <w:vAlign w:val="bottom"/>
            <w:shd w:val="clear" w:color="auto" w:fill="E2E6F4"/>
          </w:tcPr>
          <w:p>
            <w:pPr>
              <w:spacing w:after="0"/>
              <w:rPr>
                <w:sz w:val="23"/>
                <w:szCs w:val="23"/>
                <w:color w:val="auto"/>
              </w:rPr>
            </w:pP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shd w:val="clear" w:color="auto" w:fill="E2E6F4"/>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shd w:val="clear" w:color="auto" w:fill="E2E6F4"/>
          </w:tcPr>
          <w:p>
            <w:pPr>
              <w:jc w:val="right"/>
              <w:ind w:right="67"/>
              <w:spacing w:after="0"/>
              <w:rPr>
                <w:sz w:val="20"/>
                <w:szCs w:val="20"/>
                <w:color w:val="auto"/>
              </w:rPr>
            </w:pPr>
            <w:r>
              <w:rPr>
                <w:rFonts w:ascii="Arial" w:cs="Arial" w:eastAsia="Arial" w:hAnsi="Arial"/>
                <w:sz w:val="15"/>
                <w:szCs w:val="15"/>
                <w:color w:val="auto"/>
              </w:rPr>
              <w:t>—</w:t>
            </w:r>
          </w:p>
        </w:tc>
        <w:tc>
          <w:tcPr>
            <w:tcW w:w="1080" w:type="dxa"/>
            <w:vAlign w:val="bottom"/>
            <w:shd w:val="clear" w:color="auto" w:fill="E2E6F4"/>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shd w:val="clear" w:color="auto" w:fill="E2E6F4"/>
          </w:tcPr>
          <w:p>
            <w:pPr>
              <w:spacing w:after="0"/>
              <w:rPr>
                <w:sz w:val="23"/>
                <w:szCs w:val="23"/>
                <w:color w:val="auto"/>
              </w:rPr>
            </w:pPr>
          </w:p>
        </w:tc>
        <w:tc>
          <w:tcPr>
            <w:tcW w:w="7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84,000</w:t>
            </w:r>
          </w:p>
        </w:tc>
        <w:tc>
          <w:tcPr>
            <w:tcW w:w="0" w:type="dxa"/>
            <w:vAlign w:val="bottom"/>
          </w:tcPr>
          <w:p>
            <w:pPr>
              <w:spacing w:after="0"/>
              <w:rPr>
                <w:sz w:val="1"/>
                <w:szCs w:val="1"/>
                <w:color w:val="auto"/>
              </w:rPr>
            </w:pPr>
          </w:p>
        </w:tc>
      </w:tr>
      <w:tr>
        <w:trPr>
          <w:trHeight w:val="283"/>
        </w:trPr>
        <w:tc>
          <w:tcPr>
            <w:tcW w:w="1340" w:type="dxa"/>
            <w:vAlign w:val="bottom"/>
            <w:tcBorders>
              <w:bottom w:val="single" w:sz="8" w:color="E2E6F4"/>
            </w:tcBorders>
            <w:shd w:val="clear" w:color="auto" w:fill="E2E6F4"/>
          </w:tcPr>
          <w:p>
            <w:pPr>
              <w:spacing w:after="0"/>
              <w:rPr>
                <w:sz w:val="24"/>
                <w:szCs w:val="24"/>
                <w:color w:val="auto"/>
              </w:rPr>
            </w:pPr>
          </w:p>
        </w:tc>
        <w:tc>
          <w:tcPr>
            <w:tcW w:w="5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2020</w:t>
            </w:r>
          </w:p>
        </w:tc>
        <w:tc>
          <w:tcPr>
            <w:tcW w:w="11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84,000</w:t>
            </w:r>
          </w:p>
        </w:tc>
        <w:tc>
          <w:tcPr>
            <w:tcW w:w="100" w:type="dxa"/>
            <w:vAlign w:val="bottom"/>
            <w:tcBorders>
              <w:bottom w:val="single" w:sz="8" w:color="E2E6F4"/>
            </w:tcBorders>
            <w:shd w:val="clear" w:color="auto" w:fill="E2E6F4"/>
          </w:tcPr>
          <w:p>
            <w:pPr>
              <w:spacing w:after="0"/>
              <w:rPr>
                <w:sz w:val="24"/>
                <w:szCs w:val="24"/>
                <w:color w:val="auto"/>
              </w:rPr>
            </w:pPr>
          </w:p>
        </w:tc>
        <w:tc>
          <w:tcPr>
            <w:tcW w:w="94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2E6F4"/>
            </w:tcBorders>
            <w:shd w:val="clear" w:color="auto" w:fill="E2E6F4"/>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E2E6F4"/>
            </w:tcBorders>
            <w:shd w:val="clear" w:color="auto" w:fill="E2E6F4"/>
          </w:tcPr>
          <w:p>
            <w:pPr>
              <w:jc w:val="right"/>
              <w:ind w:right="67"/>
              <w:spacing w:after="0"/>
              <w:rPr>
                <w:sz w:val="20"/>
                <w:szCs w:val="20"/>
                <w:color w:val="auto"/>
              </w:rPr>
            </w:pPr>
            <w:r>
              <w:rPr>
                <w:rFonts w:ascii="Arial" w:cs="Arial" w:eastAsia="Arial" w:hAnsi="Arial"/>
                <w:sz w:val="15"/>
                <w:szCs w:val="15"/>
                <w:color w:val="auto"/>
              </w:rPr>
              <w:t>3,825</w:t>
            </w:r>
          </w:p>
        </w:tc>
        <w:tc>
          <w:tcPr>
            <w:tcW w:w="1080" w:type="dxa"/>
            <w:vAlign w:val="bottom"/>
            <w:tcBorders>
              <w:bottom w:val="single" w:sz="8" w:color="E2E6F4"/>
            </w:tcBorders>
            <w:shd w:val="clear" w:color="auto" w:fill="E2E6F4"/>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E2E6F4"/>
            </w:tcBorders>
            <w:shd w:val="clear" w:color="auto" w:fill="E2E6F4"/>
          </w:tcPr>
          <w:p>
            <w:pPr>
              <w:spacing w:after="0"/>
              <w:rPr>
                <w:sz w:val="24"/>
                <w:szCs w:val="24"/>
                <w:color w:val="auto"/>
              </w:rPr>
            </w:pP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87,825</w:t>
            </w:r>
          </w:p>
        </w:tc>
        <w:tc>
          <w:tcPr>
            <w:tcW w:w="0" w:type="dxa"/>
            <w:vAlign w:val="bottom"/>
          </w:tcPr>
          <w:p>
            <w:pPr>
              <w:spacing w:after="0"/>
              <w:rPr>
                <w:sz w:val="1"/>
                <w:szCs w:val="1"/>
                <w:color w:val="auto"/>
              </w:rPr>
            </w:pPr>
          </w:p>
        </w:tc>
      </w:tr>
      <w:tr>
        <w:trPr>
          <w:trHeight w:val="237"/>
        </w:trPr>
        <w:tc>
          <w:tcPr>
            <w:tcW w:w="1340" w:type="dxa"/>
            <w:vAlign w:val="bottom"/>
            <w:vMerge w:val="restart"/>
          </w:tcPr>
          <w:p>
            <w:pPr>
              <w:ind w:left="20"/>
              <w:spacing w:after="0"/>
              <w:rPr>
                <w:sz w:val="20"/>
                <w:szCs w:val="20"/>
                <w:color w:val="auto"/>
              </w:rPr>
            </w:pPr>
            <w:r>
              <w:rPr>
                <w:rFonts w:ascii="Arial" w:cs="Arial" w:eastAsia="Arial" w:hAnsi="Arial"/>
                <w:sz w:val="15"/>
                <w:szCs w:val="15"/>
                <w:b w:val="1"/>
                <w:bCs w:val="1"/>
                <w:color w:val="0067B3"/>
              </w:rPr>
              <w:t>Prashanth</w:t>
            </w:r>
          </w:p>
        </w:tc>
        <w:tc>
          <w:tcPr>
            <w:tcW w:w="520" w:type="dxa"/>
            <w:vAlign w:val="bottom"/>
          </w:tcPr>
          <w:p>
            <w:pPr>
              <w:jc w:val="right"/>
              <w:spacing w:after="0"/>
              <w:rPr>
                <w:sz w:val="20"/>
                <w:szCs w:val="20"/>
                <w:color w:val="auto"/>
              </w:rPr>
            </w:pPr>
            <w:r>
              <w:rPr>
                <w:rFonts w:ascii="Arial" w:cs="Arial" w:eastAsia="Arial" w:hAnsi="Arial"/>
                <w:sz w:val="15"/>
                <w:szCs w:val="15"/>
                <w:color w:val="auto"/>
              </w:rPr>
              <w:t>2022</w:t>
            </w:r>
          </w:p>
        </w:tc>
        <w:tc>
          <w:tcPr>
            <w:tcW w:w="1120" w:type="dxa"/>
            <w:vAlign w:val="bottom"/>
          </w:tcPr>
          <w:p>
            <w:pPr>
              <w:jc w:val="right"/>
              <w:spacing w:after="0"/>
              <w:rPr>
                <w:sz w:val="20"/>
                <w:szCs w:val="20"/>
                <w:color w:val="auto"/>
              </w:rPr>
            </w:pPr>
            <w:r>
              <w:rPr>
                <w:rFonts w:ascii="Arial" w:cs="Arial" w:eastAsia="Arial" w:hAnsi="Arial"/>
                <w:sz w:val="15"/>
                <w:szCs w:val="15"/>
                <w:color w:val="auto"/>
              </w:rPr>
              <w:t>49,800</w:t>
            </w:r>
          </w:p>
        </w:tc>
        <w:tc>
          <w:tcPr>
            <w:tcW w:w="100" w:type="dxa"/>
            <w:vAlign w:val="bottom"/>
          </w:tcPr>
          <w:p>
            <w:pPr>
              <w:spacing w:after="0"/>
              <w:rPr>
                <w:sz w:val="20"/>
                <w:szCs w:val="20"/>
                <w:color w:val="auto"/>
              </w:rPr>
            </w:pPr>
          </w:p>
        </w:tc>
        <w:tc>
          <w:tcPr>
            <w:tcW w:w="940" w:type="dxa"/>
            <w:vAlign w:val="bottom"/>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898</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10,000</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61,898</w:t>
            </w: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2021</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46,000</w:t>
            </w:r>
          </w:p>
        </w:tc>
        <w:tc>
          <w:tcPr>
            <w:tcW w:w="100" w:type="dxa"/>
            <w:vAlign w:val="bottom"/>
          </w:tcPr>
          <w:p>
            <w:pPr>
              <w:spacing w:after="0"/>
              <w:rPr>
                <w:sz w:val="11"/>
                <w:szCs w:val="11"/>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7"/>
              <w:spacing w:after="0"/>
              <w:rPr>
                <w:sz w:val="20"/>
                <w:szCs w:val="20"/>
                <w:color w:val="auto"/>
              </w:rPr>
            </w:pPr>
            <w:r>
              <w:rPr>
                <w:rFonts w:ascii="Arial" w:cs="Arial" w:eastAsia="Arial" w:hAnsi="Arial"/>
                <w:sz w:val="15"/>
                <w:szCs w:val="15"/>
                <w:color w:val="auto"/>
              </w:rPr>
              <w:t>10,000</w:t>
            </w:r>
          </w:p>
        </w:tc>
        <w:tc>
          <w:tcPr>
            <w:tcW w:w="108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57,200</w:t>
            </w: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5"/>
                <w:szCs w:val="15"/>
                <w:b w:val="1"/>
                <w:bCs w:val="1"/>
                <w:color w:val="0067B3"/>
              </w:rPr>
              <w:t>Mahendra-Rajah</w:t>
            </w:r>
          </w:p>
        </w:tc>
        <w:tc>
          <w:tcPr>
            <w:tcW w:w="5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2020</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46,000</w:t>
            </w:r>
          </w:p>
        </w:tc>
        <w:tc>
          <w:tcPr>
            <w:tcW w:w="100" w:type="dxa"/>
            <w:vAlign w:val="bottom"/>
          </w:tcPr>
          <w:p>
            <w:pPr>
              <w:spacing w:after="0"/>
              <w:rPr>
                <w:sz w:val="6"/>
                <w:szCs w:val="6"/>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7"/>
              <w:spacing w:after="0"/>
              <w:rPr>
                <w:sz w:val="20"/>
                <w:szCs w:val="20"/>
                <w:color w:val="auto"/>
              </w:rPr>
            </w:pPr>
            <w:r>
              <w:rPr>
                <w:rFonts w:ascii="Arial" w:cs="Arial" w:eastAsia="Arial" w:hAnsi="Arial"/>
                <w:sz w:val="15"/>
                <w:szCs w:val="15"/>
                <w:color w:val="auto"/>
              </w:rPr>
              <w:t>10,000</w:t>
            </w:r>
          </w:p>
        </w:tc>
        <w:tc>
          <w:tcPr>
            <w:tcW w:w="108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57,200</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5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38,077</w:t>
            </w:r>
          </w:p>
        </w:tc>
        <w:tc>
          <w:tcPr>
            <w:tcW w:w="100" w:type="dxa"/>
            <w:vAlign w:val="bottom"/>
            <w:tcBorders>
              <w:bottom w:val="single" w:sz="8" w:color="E2E6F4"/>
            </w:tcBorders>
            <w:shd w:val="clear" w:color="auto" w:fill="E2E6F4"/>
          </w:tcPr>
          <w:p>
            <w:pPr>
              <w:spacing w:after="0"/>
              <w:rPr>
                <w:sz w:val="19"/>
                <w:szCs w:val="19"/>
                <w:color w:val="auto"/>
              </w:rPr>
            </w:pPr>
          </w:p>
        </w:tc>
        <w:tc>
          <w:tcPr>
            <w:tcW w:w="94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tcBorders>
              <w:bottom w:val="single" w:sz="8" w:color="E2E6F4"/>
            </w:tcBorders>
            <w:shd w:val="clear" w:color="auto" w:fill="E2E6F4"/>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2E6F4"/>
            </w:tcBorders>
            <w:shd w:val="clear" w:color="auto" w:fill="E2E6F4"/>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2E6F4"/>
            </w:tcBorders>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E2E6F4"/>
            </w:tcBorders>
            <w:shd w:val="clear" w:color="auto" w:fill="E2E6F4"/>
          </w:tcPr>
          <w:p>
            <w:pPr>
              <w:jc w:val="right"/>
              <w:ind w:right="67"/>
              <w:spacing w:after="0"/>
              <w:rPr>
                <w:sz w:val="20"/>
                <w:szCs w:val="20"/>
                <w:color w:val="auto"/>
              </w:rPr>
            </w:pPr>
            <w:r>
              <w:rPr>
                <w:rFonts w:ascii="Arial" w:cs="Arial" w:eastAsia="Arial" w:hAnsi="Arial"/>
                <w:sz w:val="15"/>
                <w:szCs w:val="15"/>
                <w:color w:val="auto"/>
              </w:rPr>
              <w:t>10,000</w:t>
            </w:r>
          </w:p>
        </w:tc>
        <w:tc>
          <w:tcPr>
            <w:tcW w:w="1080" w:type="dxa"/>
            <w:vAlign w:val="bottom"/>
            <w:tcBorders>
              <w:bottom w:val="single" w:sz="8" w:color="E2E6F4"/>
            </w:tcBorders>
            <w:shd w:val="clear" w:color="auto" w:fill="E2E6F4"/>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2E6F4"/>
            </w:tcBorders>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E2E6F4"/>
            </w:tcBorders>
            <w:shd w:val="clear" w:color="auto" w:fill="E2E6F4"/>
          </w:tcPr>
          <w:p>
            <w:pPr>
              <w:spacing w:after="0"/>
              <w:rPr>
                <w:sz w:val="19"/>
                <w:szCs w:val="19"/>
                <w:color w:val="auto"/>
              </w:rPr>
            </w:pPr>
          </w:p>
        </w:tc>
        <w:tc>
          <w:tcPr>
            <w:tcW w:w="7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49,277</w:t>
            </w:r>
          </w:p>
        </w:tc>
        <w:tc>
          <w:tcPr>
            <w:tcW w:w="0" w:type="dxa"/>
            <w:vAlign w:val="bottom"/>
          </w:tcPr>
          <w:p>
            <w:pPr>
              <w:spacing w:after="0"/>
              <w:rPr>
                <w:sz w:val="1"/>
                <w:szCs w:val="1"/>
                <w:color w:val="auto"/>
              </w:rPr>
            </w:pPr>
          </w:p>
        </w:tc>
      </w:tr>
      <w:tr>
        <w:trPr>
          <w:trHeight w:val="218"/>
        </w:trPr>
        <w:tc>
          <w:tcPr>
            <w:tcW w:w="134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520" w:type="dxa"/>
            <w:vAlign w:val="bottom"/>
          </w:tcPr>
          <w:p>
            <w:pPr>
              <w:jc w:val="right"/>
              <w:spacing w:after="0"/>
              <w:rPr>
                <w:sz w:val="20"/>
                <w:szCs w:val="20"/>
                <w:color w:val="auto"/>
              </w:rPr>
            </w:pPr>
            <w:r>
              <w:rPr>
                <w:rFonts w:ascii="Arial" w:cs="Arial" w:eastAsia="Arial" w:hAnsi="Arial"/>
                <w:sz w:val="15"/>
                <w:szCs w:val="15"/>
                <w:color w:val="auto"/>
              </w:rPr>
              <w:t>2022</w:t>
            </w:r>
          </w:p>
        </w:tc>
        <w:tc>
          <w:tcPr>
            <w:tcW w:w="1120" w:type="dxa"/>
            <w:vAlign w:val="bottom"/>
          </w:tcPr>
          <w:p>
            <w:pPr>
              <w:jc w:val="right"/>
              <w:spacing w:after="0"/>
              <w:rPr>
                <w:sz w:val="20"/>
                <w:szCs w:val="20"/>
                <w:color w:val="auto"/>
              </w:rPr>
            </w:pPr>
            <w:r>
              <w:rPr>
                <w:rFonts w:ascii="Arial" w:cs="Arial" w:eastAsia="Arial" w:hAnsi="Arial"/>
                <w:sz w:val="15"/>
                <w:szCs w:val="15"/>
                <w:color w:val="auto"/>
              </w:rPr>
              <w:t>39,538</w:t>
            </w:r>
          </w:p>
        </w:tc>
        <w:tc>
          <w:tcPr>
            <w:tcW w:w="100" w:type="dxa"/>
            <w:vAlign w:val="bottom"/>
          </w:tcPr>
          <w:p>
            <w:pPr>
              <w:spacing w:after="0"/>
              <w:rPr>
                <w:sz w:val="18"/>
                <w:szCs w:val="18"/>
                <w:color w:val="auto"/>
              </w:rPr>
            </w:pPr>
          </w:p>
        </w:tc>
        <w:tc>
          <w:tcPr>
            <w:tcW w:w="940" w:type="dxa"/>
            <w:vAlign w:val="bottom"/>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00" w:type="dxa"/>
            <w:vAlign w:val="bottom"/>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40,738</w:t>
            </w:r>
          </w:p>
        </w:tc>
        <w:tc>
          <w:tcPr>
            <w:tcW w:w="0" w:type="dxa"/>
            <w:vAlign w:val="bottom"/>
          </w:tcPr>
          <w:p>
            <w:pPr>
              <w:spacing w:after="0"/>
              <w:rPr>
                <w:sz w:val="1"/>
                <w:szCs w:val="1"/>
                <w:color w:val="auto"/>
              </w:rPr>
            </w:pPr>
          </w:p>
        </w:tc>
      </w:tr>
      <w:tr>
        <w:trPr>
          <w:trHeight w:val="25"/>
        </w:trPr>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restart"/>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5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2022</w:t>
            </w:r>
          </w:p>
        </w:tc>
        <w:tc>
          <w:tcPr>
            <w:tcW w:w="11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41,000</w:t>
            </w:r>
          </w:p>
        </w:tc>
        <w:tc>
          <w:tcPr>
            <w:tcW w:w="100" w:type="dxa"/>
            <w:vAlign w:val="bottom"/>
            <w:shd w:val="clear" w:color="auto" w:fill="E2E6F4"/>
          </w:tcPr>
          <w:p>
            <w:pPr>
              <w:spacing w:after="0"/>
              <w:rPr>
                <w:sz w:val="20"/>
                <w:szCs w:val="20"/>
                <w:color w:val="auto"/>
              </w:rPr>
            </w:pP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shd w:val="clear" w:color="auto" w:fill="E2E6F4"/>
          </w:tcPr>
          <w:p>
            <w:pPr>
              <w:jc w:val="right"/>
              <w:ind w:right="85"/>
              <w:spacing w:after="0"/>
              <w:rPr>
                <w:sz w:val="20"/>
                <w:szCs w:val="20"/>
                <w:color w:val="auto"/>
              </w:rPr>
            </w:pPr>
            <w:r>
              <w:rPr>
                <w:rFonts w:ascii="Arial" w:cs="Arial" w:eastAsia="Arial" w:hAnsi="Arial"/>
                <w:sz w:val="15"/>
                <w:szCs w:val="15"/>
                <w:color w:val="auto"/>
              </w:rPr>
              <w:t>109,541</w:t>
            </w:r>
          </w:p>
        </w:tc>
        <w:tc>
          <w:tcPr>
            <w:tcW w:w="1300" w:type="dxa"/>
            <w:vAlign w:val="bottom"/>
            <w:shd w:val="clear" w:color="auto" w:fill="E2E6F4"/>
          </w:tcPr>
          <w:p>
            <w:pPr>
              <w:jc w:val="center"/>
              <w:ind w:left="265"/>
              <w:spacing w:after="0"/>
              <w:rPr>
                <w:sz w:val="20"/>
                <w:szCs w:val="20"/>
                <w:color w:val="auto"/>
              </w:rPr>
            </w:pPr>
            <w:r>
              <w:rPr>
                <w:rFonts w:ascii="Arial" w:cs="Arial" w:eastAsia="Arial" w:hAnsi="Arial"/>
                <w:sz w:val="15"/>
                <w:szCs w:val="15"/>
                <w:color w:val="auto"/>
              </w:rPr>
              <w:t xml:space="preserve">52,044  </w:t>
            </w:r>
            <w:r>
              <w:rPr>
                <w:rFonts w:ascii="Arial" w:cs="Arial" w:eastAsia="Arial" w:hAnsi="Arial"/>
                <w:sz w:val="9"/>
                <w:szCs w:val="9"/>
                <w:color w:val="auto"/>
              </w:rPr>
              <w:t>(g)</w:t>
            </w:r>
          </w:p>
        </w:tc>
        <w:tc>
          <w:tcPr>
            <w:tcW w:w="660" w:type="dxa"/>
            <w:vAlign w:val="bottom"/>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shd w:val="clear" w:color="auto" w:fill="E2E6F4"/>
          </w:tcPr>
          <w:p>
            <w:pPr>
              <w:jc w:val="right"/>
              <w:ind w:right="67"/>
              <w:spacing w:after="0"/>
              <w:rPr>
                <w:sz w:val="20"/>
                <w:szCs w:val="20"/>
                <w:color w:val="auto"/>
              </w:rPr>
            </w:pPr>
            <w:r>
              <w:rPr>
                <w:rFonts w:ascii="Arial" w:cs="Arial" w:eastAsia="Arial" w:hAnsi="Arial"/>
                <w:sz w:val="15"/>
                <w:szCs w:val="15"/>
                <w:color w:val="auto"/>
              </w:rPr>
              <w:t>1,317</w:t>
            </w:r>
          </w:p>
        </w:tc>
        <w:tc>
          <w:tcPr>
            <w:tcW w:w="1080" w:type="dxa"/>
            <w:vAlign w:val="bottom"/>
            <w:shd w:val="clear" w:color="auto" w:fill="E2E6F4"/>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shd w:val="clear" w:color="auto" w:fill="E2E6F4"/>
          </w:tcPr>
          <w:p>
            <w:pPr>
              <w:spacing w:after="0"/>
              <w:rPr>
                <w:sz w:val="20"/>
                <w:szCs w:val="20"/>
                <w:color w:val="auto"/>
              </w:rPr>
            </w:pPr>
          </w:p>
        </w:tc>
        <w:tc>
          <w:tcPr>
            <w:tcW w:w="720" w:type="dxa"/>
            <w:vAlign w:val="bottom"/>
            <w:shd w:val="clear" w:color="auto" w:fill="E2E6F4"/>
          </w:tcPr>
          <w:p>
            <w:pPr>
              <w:jc w:val="right"/>
              <w:spacing w:after="0"/>
              <w:rPr>
                <w:sz w:val="20"/>
                <w:szCs w:val="20"/>
                <w:color w:val="auto"/>
              </w:rPr>
            </w:pPr>
            <w:r>
              <w:rPr>
                <w:rFonts w:ascii="Arial" w:cs="Arial" w:eastAsia="Arial" w:hAnsi="Arial"/>
                <w:sz w:val="15"/>
                <w:szCs w:val="15"/>
                <w:color w:val="auto"/>
              </w:rPr>
              <w:t>205,102</w:t>
            </w:r>
          </w:p>
        </w:tc>
        <w:tc>
          <w:tcPr>
            <w:tcW w:w="0" w:type="dxa"/>
            <w:vAlign w:val="bottom"/>
          </w:tcPr>
          <w:p>
            <w:pPr>
              <w:spacing w:after="0"/>
              <w:rPr>
                <w:sz w:val="1"/>
                <w:szCs w:val="1"/>
                <w:color w:val="auto"/>
              </w:rPr>
            </w:pPr>
          </w:p>
        </w:tc>
      </w:tr>
      <w:tr>
        <w:trPr>
          <w:trHeight w:val="129"/>
        </w:trPr>
        <w:tc>
          <w:tcPr>
            <w:tcW w:w="1340" w:type="dxa"/>
            <w:vAlign w:val="bottom"/>
            <w:vMerge w:val="continue"/>
            <w:shd w:val="clear" w:color="auto" w:fill="E2E6F4"/>
          </w:tcPr>
          <w:p>
            <w:pPr>
              <w:spacing w:after="0"/>
              <w:rPr>
                <w:sz w:val="11"/>
                <w:szCs w:val="11"/>
                <w:color w:val="auto"/>
              </w:rPr>
            </w:pPr>
          </w:p>
        </w:tc>
        <w:tc>
          <w:tcPr>
            <w:tcW w:w="520" w:type="dxa"/>
            <w:vAlign w:val="bottom"/>
            <w:vMerge w:val="restart"/>
            <w:shd w:val="clear" w:color="auto" w:fill="E2E6F4"/>
          </w:tcPr>
          <w:p>
            <w:pPr>
              <w:jc w:val="right"/>
              <w:spacing w:after="0"/>
              <w:rPr>
                <w:sz w:val="20"/>
                <w:szCs w:val="20"/>
                <w:color w:val="auto"/>
              </w:rPr>
            </w:pPr>
            <w:r>
              <w:rPr>
                <w:rFonts w:ascii="Arial" w:cs="Arial" w:eastAsia="Arial" w:hAnsi="Arial"/>
                <w:sz w:val="15"/>
                <w:szCs w:val="15"/>
                <w:color w:val="auto"/>
              </w:rPr>
              <w:t>2021</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5"/>
                <w:szCs w:val="15"/>
                <w:color w:val="auto"/>
              </w:rPr>
              <w:t>23,538</w:t>
            </w:r>
          </w:p>
        </w:tc>
        <w:tc>
          <w:tcPr>
            <w:tcW w:w="100" w:type="dxa"/>
            <w:vAlign w:val="bottom"/>
            <w:shd w:val="clear" w:color="auto" w:fill="E2E6F4"/>
          </w:tcPr>
          <w:p>
            <w:pPr>
              <w:spacing w:after="0"/>
              <w:rPr>
                <w:sz w:val="11"/>
                <w:szCs w:val="11"/>
                <w:color w:val="auto"/>
              </w:rPr>
            </w:pPr>
          </w:p>
        </w:tc>
        <w:tc>
          <w:tcPr>
            <w:tcW w:w="940" w:type="dxa"/>
            <w:vAlign w:val="bottom"/>
            <w:vMerge w:val="restart"/>
            <w:shd w:val="clear" w:color="auto" w:fill="E2E6F4"/>
          </w:tcPr>
          <w:p>
            <w:pPr>
              <w:jc w:val="right"/>
              <w:ind w:right="85"/>
              <w:spacing w:after="0"/>
              <w:rPr>
                <w:sz w:val="20"/>
                <w:szCs w:val="20"/>
                <w:color w:val="auto"/>
              </w:rPr>
            </w:pPr>
            <w:r>
              <w:rPr>
                <w:rFonts w:ascii="Arial" w:cs="Arial" w:eastAsia="Arial" w:hAnsi="Arial"/>
                <w:sz w:val="15"/>
                <w:szCs w:val="15"/>
                <w:color w:val="auto"/>
              </w:rPr>
              <w:t>1,200</w:t>
            </w:r>
          </w:p>
        </w:tc>
        <w:tc>
          <w:tcPr>
            <w:tcW w:w="940" w:type="dxa"/>
            <w:vAlign w:val="bottom"/>
            <w:vMerge w:val="restart"/>
            <w:shd w:val="clear" w:color="auto" w:fill="E2E6F4"/>
          </w:tcPr>
          <w:p>
            <w:pPr>
              <w:jc w:val="right"/>
              <w:ind w:right="85"/>
              <w:spacing w:after="0"/>
              <w:rPr>
                <w:sz w:val="20"/>
                <w:szCs w:val="20"/>
                <w:color w:val="auto"/>
              </w:rPr>
            </w:pPr>
            <w:r>
              <w:rPr>
                <w:rFonts w:ascii="Arial" w:cs="Arial" w:eastAsia="Arial" w:hAnsi="Arial"/>
                <w:sz w:val="15"/>
                <w:szCs w:val="15"/>
                <w:color w:val="auto"/>
              </w:rPr>
              <w:t>298,881</w:t>
            </w:r>
          </w:p>
        </w:tc>
        <w:tc>
          <w:tcPr>
            <w:tcW w:w="1300" w:type="dxa"/>
            <w:vAlign w:val="bottom"/>
            <w:vMerge w:val="restart"/>
            <w:shd w:val="clear" w:color="auto" w:fill="E2E6F4"/>
          </w:tcPr>
          <w:p>
            <w:pPr>
              <w:jc w:val="center"/>
              <w:ind w:left="225"/>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E2E6F4"/>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E2E6F4"/>
          </w:tcPr>
          <w:p>
            <w:pPr>
              <w:jc w:val="right"/>
              <w:ind w:right="67"/>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E2E6F4"/>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E2E6F4"/>
          </w:tcPr>
          <w:p>
            <w:pPr>
              <w:jc w:val="right"/>
              <w:ind w:right="25"/>
              <w:spacing w:after="0"/>
              <w:rPr>
                <w:sz w:val="20"/>
                <w:szCs w:val="20"/>
                <w:color w:val="auto"/>
              </w:rPr>
            </w:pPr>
            <w:r>
              <w:rPr>
                <w:rFonts w:ascii="Arial" w:cs="Arial" w:eastAsia="Arial" w:hAnsi="Arial"/>
                <w:sz w:val="15"/>
                <w:szCs w:val="15"/>
                <w:color w:val="auto"/>
              </w:rPr>
              <w:t>—</w:t>
            </w:r>
          </w:p>
        </w:tc>
        <w:tc>
          <w:tcPr>
            <w:tcW w:w="280" w:type="dxa"/>
            <w:vAlign w:val="bottom"/>
            <w:shd w:val="clear" w:color="auto" w:fill="E2E6F4"/>
          </w:tcPr>
          <w:p>
            <w:pPr>
              <w:spacing w:after="0"/>
              <w:rPr>
                <w:sz w:val="11"/>
                <w:szCs w:val="11"/>
                <w:color w:val="auto"/>
              </w:rPr>
            </w:pPr>
          </w:p>
        </w:tc>
        <w:tc>
          <w:tcPr>
            <w:tcW w:w="720" w:type="dxa"/>
            <w:vAlign w:val="bottom"/>
            <w:vMerge w:val="restart"/>
            <w:shd w:val="clear" w:color="auto" w:fill="E2E6F4"/>
          </w:tcPr>
          <w:p>
            <w:pPr>
              <w:jc w:val="right"/>
              <w:spacing w:after="0"/>
              <w:rPr>
                <w:sz w:val="20"/>
                <w:szCs w:val="20"/>
                <w:color w:val="auto"/>
              </w:rPr>
            </w:pPr>
            <w:r>
              <w:rPr>
                <w:rFonts w:ascii="Arial" w:cs="Arial" w:eastAsia="Arial" w:hAnsi="Arial"/>
                <w:sz w:val="15"/>
                <w:szCs w:val="15"/>
                <w:color w:val="auto"/>
              </w:rPr>
              <w:t>323,619</w:t>
            </w:r>
          </w:p>
        </w:tc>
        <w:tc>
          <w:tcPr>
            <w:tcW w:w="0" w:type="dxa"/>
            <w:vAlign w:val="bottom"/>
          </w:tcPr>
          <w:p>
            <w:pPr>
              <w:spacing w:after="0"/>
              <w:rPr>
                <w:sz w:val="1"/>
                <w:szCs w:val="1"/>
                <w:color w:val="auto"/>
              </w:rPr>
            </w:pPr>
          </w:p>
        </w:tc>
      </w:tr>
      <w:tr>
        <w:trPr>
          <w:trHeight w:val="154"/>
        </w:trPr>
        <w:tc>
          <w:tcPr>
            <w:tcW w:w="1340" w:type="dxa"/>
            <w:vAlign w:val="bottom"/>
            <w:tcBorders>
              <w:bottom w:val="single" w:sz="8" w:color="E2E6F4"/>
            </w:tcBorders>
            <w:shd w:val="clear" w:color="auto" w:fill="E2E6F4"/>
          </w:tcPr>
          <w:p>
            <w:pPr>
              <w:spacing w:after="0"/>
              <w:rPr>
                <w:sz w:val="13"/>
                <w:szCs w:val="13"/>
                <w:color w:val="auto"/>
              </w:rPr>
            </w:pPr>
          </w:p>
        </w:tc>
        <w:tc>
          <w:tcPr>
            <w:tcW w:w="520" w:type="dxa"/>
            <w:vAlign w:val="bottom"/>
            <w:tcBorders>
              <w:bottom w:val="single" w:sz="8" w:color="E2E6F4"/>
            </w:tcBorders>
            <w:vMerge w:val="continue"/>
            <w:shd w:val="clear" w:color="auto" w:fill="E2E6F4"/>
          </w:tcPr>
          <w:p>
            <w:pPr>
              <w:spacing w:after="0"/>
              <w:rPr>
                <w:sz w:val="13"/>
                <w:szCs w:val="13"/>
                <w:color w:val="auto"/>
              </w:rPr>
            </w:pPr>
          </w:p>
        </w:tc>
        <w:tc>
          <w:tcPr>
            <w:tcW w:w="1120" w:type="dxa"/>
            <w:vAlign w:val="bottom"/>
            <w:tcBorders>
              <w:bottom w:val="single" w:sz="8" w:color="E2E6F4"/>
            </w:tcBorders>
            <w:vMerge w:val="continue"/>
            <w:shd w:val="clear" w:color="auto" w:fill="E2E6F4"/>
          </w:tcPr>
          <w:p>
            <w:pPr>
              <w:spacing w:after="0"/>
              <w:rPr>
                <w:sz w:val="13"/>
                <w:szCs w:val="13"/>
                <w:color w:val="auto"/>
              </w:rPr>
            </w:pPr>
          </w:p>
        </w:tc>
        <w:tc>
          <w:tcPr>
            <w:tcW w:w="100" w:type="dxa"/>
            <w:vAlign w:val="bottom"/>
            <w:tcBorders>
              <w:bottom w:val="single" w:sz="8" w:color="E2E6F4"/>
            </w:tcBorders>
            <w:shd w:val="clear" w:color="auto" w:fill="E2E6F4"/>
          </w:tcPr>
          <w:p>
            <w:pPr>
              <w:spacing w:after="0"/>
              <w:rPr>
                <w:sz w:val="13"/>
                <w:szCs w:val="13"/>
                <w:color w:val="auto"/>
              </w:rPr>
            </w:pPr>
          </w:p>
        </w:tc>
        <w:tc>
          <w:tcPr>
            <w:tcW w:w="940" w:type="dxa"/>
            <w:vAlign w:val="bottom"/>
            <w:tcBorders>
              <w:bottom w:val="single" w:sz="8" w:color="E2E6F4"/>
            </w:tcBorders>
            <w:vMerge w:val="continue"/>
            <w:shd w:val="clear" w:color="auto" w:fill="E2E6F4"/>
          </w:tcPr>
          <w:p>
            <w:pPr>
              <w:spacing w:after="0"/>
              <w:rPr>
                <w:sz w:val="13"/>
                <w:szCs w:val="13"/>
                <w:color w:val="auto"/>
              </w:rPr>
            </w:pPr>
          </w:p>
        </w:tc>
        <w:tc>
          <w:tcPr>
            <w:tcW w:w="940" w:type="dxa"/>
            <w:vAlign w:val="bottom"/>
            <w:tcBorders>
              <w:bottom w:val="single" w:sz="8" w:color="E2E6F4"/>
            </w:tcBorders>
            <w:vMerge w:val="continue"/>
            <w:shd w:val="clear" w:color="auto" w:fill="E2E6F4"/>
          </w:tcPr>
          <w:p>
            <w:pPr>
              <w:spacing w:after="0"/>
              <w:rPr>
                <w:sz w:val="13"/>
                <w:szCs w:val="13"/>
                <w:color w:val="auto"/>
              </w:rPr>
            </w:pPr>
          </w:p>
        </w:tc>
        <w:tc>
          <w:tcPr>
            <w:tcW w:w="1300" w:type="dxa"/>
            <w:vAlign w:val="bottom"/>
            <w:tcBorders>
              <w:bottom w:val="single" w:sz="8" w:color="E2E6F4"/>
            </w:tcBorders>
            <w:vMerge w:val="continue"/>
            <w:shd w:val="clear" w:color="auto" w:fill="E2E6F4"/>
          </w:tcPr>
          <w:p>
            <w:pPr>
              <w:spacing w:after="0"/>
              <w:rPr>
                <w:sz w:val="13"/>
                <w:szCs w:val="13"/>
                <w:color w:val="auto"/>
              </w:rPr>
            </w:pPr>
          </w:p>
        </w:tc>
        <w:tc>
          <w:tcPr>
            <w:tcW w:w="660" w:type="dxa"/>
            <w:vAlign w:val="bottom"/>
            <w:tcBorders>
              <w:bottom w:val="single" w:sz="8" w:color="E2E6F4"/>
            </w:tcBorders>
            <w:vMerge w:val="continue"/>
            <w:shd w:val="clear" w:color="auto" w:fill="E2E6F4"/>
          </w:tcPr>
          <w:p>
            <w:pPr>
              <w:spacing w:after="0"/>
              <w:rPr>
                <w:sz w:val="13"/>
                <w:szCs w:val="13"/>
                <w:color w:val="auto"/>
              </w:rPr>
            </w:pPr>
          </w:p>
        </w:tc>
        <w:tc>
          <w:tcPr>
            <w:tcW w:w="920" w:type="dxa"/>
            <w:vAlign w:val="bottom"/>
            <w:tcBorders>
              <w:bottom w:val="single" w:sz="8" w:color="E2E6F4"/>
            </w:tcBorders>
            <w:vMerge w:val="continue"/>
            <w:shd w:val="clear" w:color="auto" w:fill="E2E6F4"/>
          </w:tcPr>
          <w:p>
            <w:pPr>
              <w:spacing w:after="0"/>
              <w:rPr>
                <w:sz w:val="13"/>
                <w:szCs w:val="13"/>
                <w:color w:val="auto"/>
              </w:rPr>
            </w:pPr>
          </w:p>
        </w:tc>
        <w:tc>
          <w:tcPr>
            <w:tcW w:w="1080" w:type="dxa"/>
            <w:vAlign w:val="bottom"/>
            <w:tcBorders>
              <w:bottom w:val="single" w:sz="8" w:color="E2E6F4"/>
            </w:tcBorders>
            <w:vMerge w:val="continue"/>
            <w:shd w:val="clear" w:color="auto" w:fill="E2E6F4"/>
          </w:tcPr>
          <w:p>
            <w:pPr>
              <w:spacing w:after="0"/>
              <w:rPr>
                <w:sz w:val="13"/>
                <w:szCs w:val="13"/>
                <w:color w:val="auto"/>
              </w:rPr>
            </w:pPr>
          </w:p>
        </w:tc>
        <w:tc>
          <w:tcPr>
            <w:tcW w:w="880" w:type="dxa"/>
            <w:vAlign w:val="bottom"/>
            <w:tcBorders>
              <w:bottom w:val="single" w:sz="8" w:color="E2E6F4"/>
            </w:tcBorders>
            <w:vMerge w:val="continue"/>
            <w:shd w:val="clear" w:color="auto" w:fill="E2E6F4"/>
          </w:tcPr>
          <w:p>
            <w:pPr>
              <w:spacing w:after="0"/>
              <w:rPr>
                <w:sz w:val="13"/>
                <w:szCs w:val="13"/>
                <w:color w:val="auto"/>
              </w:rPr>
            </w:pPr>
          </w:p>
        </w:tc>
        <w:tc>
          <w:tcPr>
            <w:tcW w:w="280" w:type="dxa"/>
            <w:vAlign w:val="bottom"/>
            <w:tcBorders>
              <w:bottom w:val="single" w:sz="8" w:color="E2E6F4"/>
            </w:tcBorders>
            <w:shd w:val="clear" w:color="auto" w:fill="E2E6F4"/>
          </w:tcPr>
          <w:p>
            <w:pPr>
              <w:spacing w:after="0"/>
              <w:rPr>
                <w:sz w:val="13"/>
                <w:szCs w:val="13"/>
                <w:color w:val="auto"/>
              </w:rPr>
            </w:pPr>
          </w:p>
        </w:tc>
        <w:tc>
          <w:tcPr>
            <w:tcW w:w="720" w:type="dxa"/>
            <w:vAlign w:val="bottom"/>
            <w:tcBorders>
              <w:bottom w:val="single" w:sz="8" w:color="E2E6F4"/>
            </w:tcBorders>
            <w:vMerge w:val="continue"/>
            <w:shd w:val="clear" w:color="auto" w:fill="E2E6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67B3"/>
          </w:tcPr>
          <w:p>
            <w:pPr>
              <w:spacing w:after="0" w:line="20" w:lineRule="exact"/>
              <w:rPr>
                <w:sz w:val="1"/>
                <w:szCs w:val="1"/>
                <w:color w:val="auto"/>
              </w:rPr>
            </w:pPr>
          </w:p>
        </w:tc>
        <w:tc>
          <w:tcPr>
            <w:tcW w:w="520" w:type="dxa"/>
            <w:vAlign w:val="bottom"/>
            <w:shd w:val="clear" w:color="auto" w:fill="0067B3"/>
          </w:tcPr>
          <w:p>
            <w:pPr>
              <w:spacing w:after="0" w:line="20" w:lineRule="exact"/>
              <w:rPr>
                <w:sz w:val="1"/>
                <w:szCs w:val="1"/>
                <w:color w:val="auto"/>
              </w:rPr>
            </w:pPr>
          </w:p>
        </w:tc>
        <w:tc>
          <w:tcPr>
            <w:tcW w:w="1120" w:type="dxa"/>
            <w:vAlign w:val="bottom"/>
            <w:shd w:val="clear" w:color="auto" w:fill="0067B3"/>
          </w:tcPr>
          <w:p>
            <w:pPr>
              <w:spacing w:after="0" w:line="20" w:lineRule="exact"/>
              <w:rPr>
                <w:sz w:val="1"/>
                <w:szCs w:val="1"/>
                <w:color w:val="auto"/>
              </w:rPr>
            </w:pPr>
          </w:p>
        </w:tc>
        <w:tc>
          <w:tcPr>
            <w:tcW w:w="10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940" w:type="dxa"/>
            <w:vAlign w:val="bottom"/>
            <w:shd w:val="clear" w:color="auto" w:fill="0067B3"/>
          </w:tcPr>
          <w:p>
            <w:pPr>
              <w:spacing w:after="0" w:line="20" w:lineRule="exact"/>
              <w:rPr>
                <w:sz w:val="1"/>
                <w:szCs w:val="1"/>
                <w:color w:val="auto"/>
              </w:rPr>
            </w:pPr>
          </w:p>
        </w:tc>
        <w:tc>
          <w:tcPr>
            <w:tcW w:w="1300" w:type="dxa"/>
            <w:vAlign w:val="bottom"/>
            <w:shd w:val="clear" w:color="auto" w:fill="0067B3"/>
          </w:tcPr>
          <w:p>
            <w:pPr>
              <w:spacing w:after="0" w:line="20" w:lineRule="exact"/>
              <w:rPr>
                <w:sz w:val="1"/>
                <w:szCs w:val="1"/>
                <w:color w:val="auto"/>
              </w:rPr>
            </w:pPr>
          </w:p>
        </w:tc>
        <w:tc>
          <w:tcPr>
            <w:tcW w:w="660" w:type="dxa"/>
            <w:vAlign w:val="bottom"/>
            <w:shd w:val="clear" w:color="auto" w:fill="0067B3"/>
          </w:tcPr>
          <w:p>
            <w:pPr>
              <w:spacing w:after="0" w:line="20" w:lineRule="exact"/>
              <w:rPr>
                <w:sz w:val="1"/>
                <w:szCs w:val="1"/>
                <w:color w:val="auto"/>
              </w:rPr>
            </w:pPr>
          </w:p>
        </w:tc>
        <w:tc>
          <w:tcPr>
            <w:tcW w:w="92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c>
          <w:tcPr>
            <w:tcW w:w="280" w:type="dxa"/>
            <w:vAlign w:val="bottom"/>
            <w:shd w:val="clear" w:color="auto" w:fill="0067B3"/>
          </w:tcPr>
          <w:p>
            <w:pPr>
              <w:spacing w:after="0" w:line="20" w:lineRule="exact"/>
              <w:rPr>
                <w:sz w:val="1"/>
                <w:szCs w:val="1"/>
                <w:color w:val="auto"/>
              </w:rPr>
            </w:pPr>
          </w:p>
        </w:tc>
        <w:tc>
          <w:tcPr>
            <w:tcW w:w="7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92" w:right="120" w:hanging="198"/>
        <w:spacing w:after="0" w:line="232" w:lineRule="auto"/>
        <w:tabs>
          <w:tab w:leader="none" w:pos="407"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Includes the value of 401(k) matching contributions plus the matching contribution made by ADI for DCP payments, if applicable, together with the amount paid by ADI for TIP Restoration. Such amounts for each NEO for fiscal year 2022 were as follows: Messrs. Roche ($24,400, $0, and $61,600, respectively), Mahendra-Rajah ($8,193, $35,238, and $6,369, respectively), Bryant ($24,400, $2,596, and $11,081, respectively), Jain ($24,400, $0, and $15,138, respectively) and Ms. Sacks ($25,104, $0, and $15,896, respectively).</w:t>
      </w:r>
    </w:p>
    <w:p>
      <w:pPr>
        <w:spacing w:after="0" w:line="16"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Amounts paid to Ms. Sacks in connection with her relocation from Texas to Massachusetts.</w:t>
      </w:r>
    </w:p>
    <w:p>
      <w:pPr>
        <w:spacing w:after="0" w:line="57" w:lineRule="exact"/>
        <w:rPr>
          <w:rFonts w:ascii="Arial" w:cs="Arial" w:eastAsia="Arial" w:hAnsi="Arial"/>
          <w:sz w:val="21"/>
          <w:szCs w:val="21"/>
          <w:color w:val="auto"/>
          <w:vertAlign w:val="superscript"/>
        </w:rPr>
      </w:pPr>
    </w:p>
    <w:p>
      <w:pPr>
        <w:ind w:left="392" w:hanging="198"/>
        <w:spacing w:after="0" w:line="197" w:lineRule="auto"/>
        <w:tabs>
          <w:tab w:leader="none" w:pos="392"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Paid in connection with our Employee Service Award Program.</w:t>
      </w:r>
    </w:p>
    <w:p>
      <w:pPr>
        <w:spacing w:after="0" w:line="58" w:lineRule="exact"/>
        <w:rPr>
          <w:rFonts w:ascii="Arial" w:cs="Arial" w:eastAsia="Arial" w:hAnsi="Arial"/>
          <w:sz w:val="21"/>
          <w:szCs w:val="21"/>
          <w:color w:val="auto"/>
          <w:vertAlign w:val="superscript"/>
        </w:rPr>
      </w:pPr>
    </w:p>
    <w:p>
      <w:pPr>
        <w:ind w:left="412" w:hanging="218"/>
        <w:spacing w:after="0" w:line="197" w:lineRule="auto"/>
        <w:tabs>
          <w:tab w:leader="none" w:pos="412"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Amounts paid for financial and tax planning services.</w:t>
      </w:r>
    </w:p>
    <w:p>
      <w:pPr>
        <w:spacing w:after="0" w:line="58" w:lineRule="exact"/>
        <w:rPr>
          <w:rFonts w:ascii="Arial" w:cs="Arial" w:eastAsia="Arial" w:hAnsi="Arial"/>
          <w:sz w:val="21"/>
          <w:szCs w:val="21"/>
          <w:color w:val="auto"/>
          <w:vertAlign w:val="superscript"/>
        </w:rPr>
      </w:pPr>
    </w:p>
    <w:p>
      <w:pPr>
        <w:ind w:left="392" w:right="60" w:hanging="198"/>
        <w:spacing w:after="0" w:line="232" w:lineRule="auto"/>
        <w:tabs>
          <w:tab w:leader="none" w:pos="407"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Amounts for personal use of the leased aircraft by Mr. Roche. This amount represents the aggregate incremental cost to us for the personal use of our corporate aircraft by Mr. Roche and certain of his guests, as applicable for each use. We determine the incremental cost of the personal use of our leased corporate aircraft based on the actual invoiced amount from ADI’s third-party provider for the variable costs incurred on each trip, such as billed hourly fees, fuel costs, etc. The aggregate incremental cost does not include certain fixed costs that do not change based on usage, such as monthly lease expenses, that are billed regardless of usage, and the aircraft lease deposit amount. In fiscal year 2022, Mr. Jain used our leased corporate aircraft for business travel on a single occasion during which he was accompanied by guests. There was no incremental cost to ADI associated with such guests’ travel.</w:t>
      </w:r>
    </w:p>
    <w:p>
      <w:pPr>
        <w:spacing w:after="0" w:line="47" w:lineRule="exact"/>
        <w:rPr>
          <w:rFonts w:ascii="Arial" w:cs="Arial" w:eastAsia="Arial" w:hAnsi="Arial"/>
          <w:sz w:val="21"/>
          <w:szCs w:val="21"/>
          <w:color w:val="auto"/>
          <w:vertAlign w:val="superscript"/>
        </w:rPr>
      </w:pPr>
    </w:p>
    <w:p>
      <w:pPr>
        <w:ind w:left="392" w:right="400" w:hanging="198"/>
        <w:spacing w:after="0" w:line="220" w:lineRule="auto"/>
        <w:tabs>
          <w:tab w:leader="none" w:pos="405"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Amounts for a travel insurance policy ($793) and executive security ($30,559) for Mr. Roche when traveling, including accommodations and travel expenses for executive protection personnel.</w:t>
      </w:r>
    </w:p>
    <w:p>
      <w:pPr>
        <w:spacing w:after="0" w:line="15" w:lineRule="exact"/>
        <w:rPr>
          <w:rFonts w:ascii="Arial" w:cs="Arial" w:eastAsia="Arial" w:hAnsi="Arial"/>
          <w:sz w:val="21"/>
          <w:szCs w:val="21"/>
          <w:color w:val="auto"/>
          <w:vertAlign w:val="superscript"/>
        </w:rPr>
      </w:pPr>
    </w:p>
    <w:p>
      <w:pPr>
        <w:ind w:left="412" w:hanging="218"/>
        <w:spacing w:after="0"/>
        <w:tabs>
          <w:tab w:leader="none" w:pos="412" w:val="left"/>
        </w:tabs>
        <w:numPr>
          <w:ilvl w:val="1"/>
          <w:numId w:val="92"/>
        </w:numPr>
        <w:rPr>
          <w:rFonts w:ascii="Arial" w:cs="Arial" w:eastAsia="Arial" w:hAnsi="Arial"/>
          <w:sz w:val="21"/>
          <w:szCs w:val="21"/>
          <w:color w:val="auto"/>
          <w:vertAlign w:val="superscript"/>
        </w:rPr>
      </w:pPr>
      <w:r>
        <w:rPr>
          <w:rFonts w:ascii="Arial" w:cs="Arial" w:eastAsia="Arial" w:hAnsi="Arial"/>
          <w:sz w:val="16"/>
          <w:szCs w:val="16"/>
          <w:color w:val="auto"/>
        </w:rPr>
        <w:t>Amounts paid to Ms. Sacks to reimburse the taxes that Ms. Sacks incurred as a result of receipt of payment of relocation expenses.</w:t>
      </w:r>
    </w:p>
    <w:p>
      <w:pPr>
        <w:spacing w:after="0" w:line="57" w:lineRule="exact"/>
        <w:rPr>
          <w:rFonts w:ascii="Arial" w:cs="Arial" w:eastAsia="Arial" w:hAnsi="Arial"/>
          <w:sz w:val="21"/>
          <w:szCs w:val="21"/>
          <w:color w:val="auto"/>
          <w:vertAlign w:val="superscript"/>
        </w:rPr>
      </w:pPr>
    </w:p>
    <w:p>
      <w:pPr>
        <w:ind w:left="212" w:hanging="212"/>
        <w:spacing w:after="0" w:line="197" w:lineRule="auto"/>
        <w:tabs>
          <w:tab w:leader="none" w:pos="212"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Mr. Bryant joined ADI as Executive Vice President and President of Business Units, effective March 14, 2022.</w:t>
      </w:r>
    </w:p>
    <w:p>
      <w:pPr>
        <w:spacing w:after="0" w:line="58" w:lineRule="exact"/>
        <w:rPr>
          <w:rFonts w:ascii="Arial" w:cs="Arial" w:eastAsia="Arial" w:hAnsi="Arial"/>
          <w:sz w:val="21"/>
          <w:szCs w:val="21"/>
          <w:color w:val="auto"/>
          <w:vertAlign w:val="superscript"/>
        </w:rPr>
      </w:pPr>
    </w:p>
    <w:p>
      <w:pPr>
        <w:ind w:left="192" w:right="480" w:hanging="192"/>
        <w:spacing w:after="0" w:line="218" w:lineRule="auto"/>
        <w:tabs>
          <w:tab w:leader="none" w:pos="207"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 xml:space="preserve">Includes aggregate grant date fair value of both Mr. Bryant’s new hire awards and annual awards. Additional details for Mr. Bryant’s new-hire equity awards are described above in the </w:t>
      </w:r>
      <w:r>
        <w:rPr>
          <w:rFonts w:ascii="Arial" w:cs="Arial" w:eastAsia="Arial" w:hAnsi="Arial"/>
          <w:sz w:val="16"/>
          <w:szCs w:val="16"/>
          <w:i w:val="1"/>
          <w:iCs w:val="1"/>
          <w:color w:val="auto"/>
        </w:rPr>
        <w:t>Equity Vehicle Structure - New-Hire Equity Awards</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16"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Mr. Jain was not an NEO for the fiscal years ended October 30, 2020 and October 29, 2021.</w:t>
      </w:r>
    </w:p>
    <w:p>
      <w:pPr>
        <w:spacing w:after="0" w:line="55" w:lineRule="exact"/>
        <w:rPr>
          <w:rFonts w:ascii="Arial" w:cs="Arial" w:eastAsia="Arial" w:hAnsi="Arial"/>
          <w:sz w:val="21"/>
          <w:szCs w:val="21"/>
          <w:color w:val="auto"/>
          <w:vertAlign w:val="superscript"/>
        </w:rPr>
      </w:pPr>
    </w:p>
    <w:p>
      <w:pPr>
        <w:ind w:left="212" w:hanging="212"/>
        <w:spacing w:after="0" w:line="200" w:lineRule="auto"/>
        <w:tabs>
          <w:tab w:leader="none" w:pos="212"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Ms. Sacks was not an NEO for the fiscal year ended October 30, 2020.</w:t>
      </w:r>
    </w:p>
    <w:p>
      <w:pPr>
        <w:spacing w:after="0" w:line="31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69</w:t>
      </w:r>
    </w:p>
    <w:p>
      <w:pPr>
        <w:sectPr>
          <w:pgSz w:w="11900" w:h="16838" w:orient="portrait"/>
          <w:cols w:equalWidth="0" w:num="1">
            <w:col w:w="11212"/>
          </w:cols>
          <w:pgMar w:left="328" w:top="1178" w:right="359" w:bottom="1440" w:gutter="0" w:footer="0" w:header="0"/>
        </w:sectPr>
      </w:pPr>
    </w:p>
    <w:bookmarkStart w:id="77" w:name="page78"/>
    <w:bookmarkEnd w:id="77"/>
    <w:p>
      <w:pPr>
        <w:spacing w:after="0"/>
        <w:rPr>
          <w:sz w:val="20"/>
          <w:szCs w:val="20"/>
          <w:color w:val="auto"/>
        </w:rPr>
      </w:pPr>
      <w:r>
        <w:rPr>
          <w:rFonts w:ascii="Arial" w:cs="Arial" w:eastAsia="Arial" w:hAnsi="Arial"/>
          <w:sz w:val="32"/>
          <w:szCs w:val="32"/>
          <w:b w:val="1"/>
          <w:bCs w:val="1"/>
          <w:color w:val="auto"/>
        </w:rPr>
        <w:t>Grants of Plan-Based Awards in Fiscal Year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plan-based awards granted in fiscal year 2022 to our NEOs: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shd w:val="clear" w:color="auto" w:fill="0067B3"/>
          </w:tcPr>
          <w:p>
            <w:pPr>
              <w:spacing w:after="0"/>
              <w:rPr>
                <w:sz w:val="16"/>
                <w:szCs w:val="16"/>
                <w:color w:val="auto"/>
              </w:rPr>
            </w:pPr>
          </w:p>
        </w:tc>
        <w:tc>
          <w:tcPr>
            <w:tcW w:w="1060" w:type="dxa"/>
            <w:vAlign w:val="bottom"/>
            <w:shd w:val="clear" w:color="auto" w:fill="0067B3"/>
          </w:tcPr>
          <w:p>
            <w:pPr>
              <w:spacing w:after="0"/>
              <w:rPr>
                <w:sz w:val="16"/>
                <w:szCs w:val="16"/>
                <w:color w:val="auto"/>
              </w:rPr>
            </w:pPr>
          </w:p>
        </w:tc>
        <w:tc>
          <w:tcPr>
            <w:tcW w:w="2840" w:type="dxa"/>
            <w:vAlign w:val="bottom"/>
            <w:gridSpan w:val="4"/>
            <w:vMerge w:val="restart"/>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Estimated Possible Payouts Under</w:t>
            </w:r>
          </w:p>
        </w:tc>
        <w:tc>
          <w:tcPr>
            <w:tcW w:w="2620" w:type="dxa"/>
            <w:vAlign w:val="bottom"/>
            <w:gridSpan w:val="3"/>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rPr>
              <w:t>Estimated Future Payouts Under</w:t>
            </w:r>
          </w:p>
        </w:tc>
        <w:tc>
          <w:tcPr>
            <w:tcW w:w="146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All Other</w:t>
            </w:r>
          </w:p>
        </w:tc>
        <w:tc>
          <w:tcPr>
            <w:tcW w:w="1040" w:type="dxa"/>
            <w:vAlign w:val="bottom"/>
            <w:shd w:val="clear" w:color="auto" w:fill="0067B3"/>
          </w:tcPr>
          <w:p>
            <w:pPr>
              <w:spacing w:after="0"/>
              <w:rPr>
                <w:sz w:val="16"/>
                <w:szCs w:val="16"/>
                <w:color w:val="auto"/>
              </w:rPr>
            </w:pPr>
          </w:p>
        </w:tc>
        <w:tc>
          <w:tcPr>
            <w:tcW w:w="26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0067B3"/>
          </w:tcPr>
          <w:p>
            <w:pPr>
              <w:spacing w:after="0"/>
              <w:rPr>
                <w:sz w:val="9"/>
                <w:szCs w:val="9"/>
                <w:color w:val="auto"/>
              </w:rPr>
            </w:pPr>
          </w:p>
        </w:tc>
        <w:tc>
          <w:tcPr>
            <w:tcW w:w="1060" w:type="dxa"/>
            <w:vAlign w:val="bottom"/>
            <w:shd w:val="clear" w:color="auto" w:fill="0067B3"/>
          </w:tcPr>
          <w:p>
            <w:pPr>
              <w:spacing w:after="0"/>
              <w:rPr>
                <w:sz w:val="9"/>
                <w:szCs w:val="9"/>
                <w:color w:val="auto"/>
              </w:rPr>
            </w:pPr>
          </w:p>
        </w:tc>
        <w:tc>
          <w:tcPr>
            <w:tcW w:w="2840" w:type="dxa"/>
            <w:vAlign w:val="bottom"/>
            <w:gridSpan w:val="4"/>
            <w:vMerge w:val="continue"/>
            <w:shd w:val="clear" w:color="auto" w:fill="0067B3"/>
          </w:tcPr>
          <w:p>
            <w:pPr>
              <w:spacing w:after="0"/>
              <w:rPr>
                <w:sz w:val="9"/>
                <w:szCs w:val="9"/>
                <w:color w:val="auto"/>
              </w:rPr>
            </w:pPr>
          </w:p>
        </w:tc>
        <w:tc>
          <w:tcPr>
            <w:tcW w:w="2620" w:type="dxa"/>
            <w:vAlign w:val="bottom"/>
            <w:gridSpan w:val="3"/>
            <w:vMerge w:val="continue"/>
            <w:shd w:val="clear" w:color="auto" w:fill="0067B3"/>
          </w:tcPr>
          <w:p>
            <w:pPr>
              <w:spacing w:after="0"/>
              <w:rPr>
                <w:sz w:val="9"/>
                <w:szCs w:val="9"/>
                <w:color w:val="auto"/>
              </w:rPr>
            </w:pPr>
          </w:p>
        </w:tc>
        <w:tc>
          <w:tcPr>
            <w:tcW w:w="1460" w:type="dxa"/>
            <w:vAlign w:val="bottom"/>
            <w:vMerge w:val="restart"/>
            <w:shd w:val="clear" w:color="auto" w:fill="0067B3"/>
          </w:tcPr>
          <w:p>
            <w:pPr>
              <w:jc w:val="right"/>
              <w:ind w:right="35"/>
              <w:spacing w:after="0" w:line="175" w:lineRule="exact"/>
              <w:rPr>
                <w:sz w:val="20"/>
                <w:szCs w:val="20"/>
                <w:color w:val="auto"/>
              </w:rPr>
            </w:pPr>
            <w:r>
              <w:rPr>
                <w:rFonts w:ascii="Arial" w:cs="Arial" w:eastAsia="Arial" w:hAnsi="Arial"/>
                <w:sz w:val="16"/>
                <w:szCs w:val="16"/>
                <w:b w:val="1"/>
                <w:bCs w:val="1"/>
                <w:color w:val="FFFFFF"/>
              </w:rPr>
              <w:t>Stock Awards:</w:t>
            </w:r>
          </w:p>
        </w:tc>
        <w:tc>
          <w:tcPr>
            <w:tcW w:w="1300" w:type="dxa"/>
            <w:vAlign w:val="bottom"/>
            <w:gridSpan w:val="2"/>
            <w:vMerge w:val="restart"/>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Grant Date Fair</w:t>
            </w:r>
          </w:p>
        </w:tc>
        <w:tc>
          <w:tcPr>
            <w:tcW w:w="0" w:type="dxa"/>
            <w:vAlign w:val="bottom"/>
          </w:tcPr>
          <w:p>
            <w:pPr>
              <w:spacing w:after="0"/>
              <w:rPr>
                <w:sz w:val="1"/>
                <w:szCs w:val="1"/>
                <w:color w:val="auto"/>
              </w:rPr>
            </w:pPr>
          </w:p>
        </w:tc>
      </w:tr>
      <w:tr>
        <w:trPr>
          <w:trHeight w:val="67"/>
        </w:trPr>
        <w:tc>
          <w:tcPr>
            <w:tcW w:w="1960" w:type="dxa"/>
            <w:vAlign w:val="bottom"/>
            <w:shd w:val="clear" w:color="auto" w:fill="0067B3"/>
          </w:tcPr>
          <w:p>
            <w:pPr>
              <w:spacing w:after="0"/>
              <w:rPr>
                <w:sz w:val="5"/>
                <w:szCs w:val="5"/>
                <w:color w:val="auto"/>
              </w:rPr>
            </w:pPr>
          </w:p>
        </w:tc>
        <w:tc>
          <w:tcPr>
            <w:tcW w:w="1060" w:type="dxa"/>
            <w:vAlign w:val="bottom"/>
            <w:shd w:val="clear" w:color="auto" w:fill="0067B3"/>
          </w:tcPr>
          <w:p>
            <w:pPr>
              <w:spacing w:after="0"/>
              <w:rPr>
                <w:sz w:val="5"/>
                <w:szCs w:val="5"/>
                <w:color w:val="auto"/>
              </w:rPr>
            </w:pPr>
          </w:p>
        </w:tc>
        <w:tc>
          <w:tcPr>
            <w:tcW w:w="2840" w:type="dxa"/>
            <w:vAlign w:val="bottom"/>
            <w:gridSpan w:val="4"/>
            <w:vMerge w:val="restart"/>
            <w:shd w:val="clear" w:color="auto" w:fill="0067B3"/>
          </w:tcPr>
          <w:p>
            <w:pPr>
              <w:jc w:val="right"/>
              <w:spacing w:after="0"/>
              <w:rPr>
                <w:sz w:val="20"/>
                <w:szCs w:val="20"/>
                <w:color w:val="auto"/>
              </w:rPr>
            </w:pPr>
            <w:r>
              <w:rPr>
                <w:rFonts w:ascii="Arial" w:cs="Arial" w:eastAsia="Arial" w:hAnsi="Arial"/>
                <w:sz w:val="16"/>
                <w:szCs w:val="16"/>
                <w:b w:val="1"/>
                <w:bCs w:val="1"/>
                <w:color w:val="FFFFFF"/>
                <w:w w:val="99"/>
              </w:rPr>
              <w:t>Non-Equity Incentive Plan Awards</w:t>
            </w:r>
            <w:r>
              <w:rPr>
                <w:rFonts w:ascii="Arial" w:cs="Arial" w:eastAsia="Arial" w:hAnsi="Arial"/>
                <w:sz w:val="21"/>
                <w:szCs w:val="21"/>
                <w:b w:val="1"/>
                <w:bCs w:val="1"/>
                <w:color w:val="FFFFFF"/>
                <w:w w:val="99"/>
                <w:vertAlign w:val="superscript"/>
              </w:rPr>
              <w:t>(1)</w:t>
            </w:r>
          </w:p>
        </w:tc>
        <w:tc>
          <w:tcPr>
            <w:tcW w:w="2620" w:type="dxa"/>
            <w:vAlign w:val="bottom"/>
            <w:gridSpan w:val="3"/>
            <w:vMerge w:val="restart"/>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Equity Incentive Plan Awards</w:t>
            </w:r>
            <w:r>
              <w:rPr>
                <w:rFonts w:ascii="Arial" w:cs="Arial" w:eastAsia="Arial" w:hAnsi="Arial"/>
                <w:sz w:val="21"/>
                <w:szCs w:val="21"/>
                <w:b w:val="1"/>
                <w:bCs w:val="1"/>
                <w:color w:val="FFFFFF"/>
                <w:vertAlign w:val="superscript"/>
              </w:rPr>
              <w:t>(2)</w:t>
            </w:r>
          </w:p>
        </w:tc>
        <w:tc>
          <w:tcPr>
            <w:tcW w:w="1460" w:type="dxa"/>
            <w:vAlign w:val="bottom"/>
            <w:vMerge w:val="continue"/>
            <w:shd w:val="clear" w:color="auto" w:fill="0067B3"/>
          </w:tcPr>
          <w:p>
            <w:pPr>
              <w:spacing w:after="0"/>
              <w:rPr>
                <w:sz w:val="5"/>
                <w:szCs w:val="5"/>
                <w:color w:val="auto"/>
              </w:rPr>
            </w:pPr>
          </w:p>
        </w:tc>
        <w:tc>
          <w:tcPr>
            <w:tcW w:w="1300" w:type="dxa"/>
            <w:vAlign w:val="bottom"/>
            <w:gridSpan w:val="2"/>
            <w:vMerge w:val="continue"/>
            <w:shd w:val="clear" w:color="auto" w:fill="0067B3"/>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96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2840" w:type="dxa"/>
            <w:vAlign w:val="bottom"/>
            <w:gridSpan w:val="4"/>
            <w:vMerge w:val="continue"/>
            <w:shd w:val="clear" w:color="auto" w:fill="0067B3"/>
          </w:tcPr>
          <w:p>
            <w:pPr>
              <w:spacing w:after="0"/>
              <w:rPr>
                <w:sz w:val="15"/>
                <w:szCs w:val="15"/>
                <w:color w:val="auto"/>
              </w:rPr>
            </w:pPr>
          </w:p>
        </w:tc>
        <w:tc>
          <w:tcPr>
            <w:tcW w:w="2620" w:type="dxa"/>
            <w:vAlign w:val="bottom"/>
            <w:gridSpan w:val="3"/>
            <w:vMerge w:val="continue"/>
            <w:shd w:val="clear" w:color="auto" w:fill="0067B3"/>
          </w:tcPr>
          <w:p>
            <w:pPr>
              <w:spacing w:after="0"/>
              <w:rPr>
                <w:sz w:val="15"/>
                <w:szCs w:val="15"/>
                <w:color w:val="auto"/>
              </w:rPr>
            </w:pPr>
          </w:p>
        </w:tc>
        <w:tc>
          <w:tcPr>
            <w:tcW w:w="1460" w:type="dxa"/>
            <w:vAlign w:val="bottom"/>
            <w:shd w:val="clear" w:color="auto" w:fill="0067B3"/>
          </w:tcPr>
          <w:p>
            <w:pPr>
              <w:jc w:val="right"/>
              <w:ind w:right="35"/>
              <w:spacing w:after="0" w:line="183" w:lineRule="exact"/>
              <w:rPr>
                <w:sz w:val="20"/>
                <w:szCs w:val="20"/>
                <w:color w:val="auto"/>
              </w:rPr>
            </w:pPr>
            <w:r>
              <w:rPr>
                <w:rFonts w:ascii="Arial" w:cs="Arial" w:eastAsia="Arial" w:hAnsi="Arial"/>
                <w:sz w:val="16"/>
                <w:szCs w:val="16"/>
                <w:b w:val="1"/>
                <w:bCs w:val="1"/>
                <w:color w:val="FFFFFF"/>
              </w:rPr>
              <w:t>Number of</w:t>
            </w:r>
          </w:p>
        </w:tc>
        <w:tc>
          <w:tcPr>
            <w:tcW w:w="1300" w:type="dxa"/>
            <w:vAlign w:val="bottom"/>
            <w:gridSpan w:val="2"/>
            <w:shd w:val="clear" w:color="auto" w:fill="0067B3"/>
          </w:tcPr>
          <w:p>
            <w:pPr>
              <w:jc w:val="right"/>
              <w:spacing w:after="0" w:line="183" w:lineRule="exact"/>
              <w:rPr>
                <w:sz w:val="20"/>
                <w:szCs w:val="20"/>
                <w:color w:val="auto"/>
              </w:rPr>
            </w:pPr>
            <w:r>
              <w:rPr>
                <w:rFonts w:ascii="Arial" w:cs="Arial" w:eastAsia="Arial" w:hAnsi="Arial"/>
                <w:sz w:val="16"/>
                <w:szCs w:val="16"/>
                <w:b w:val="1"/>
                <w:bCs w:val="1"/>
                <w:color w:val="FFFFFF"/>
              </w:rPr>
              <w:t>Value of Stock</w:t>
            </w:r>
          </w:p>
        </w:tc>
        <w:tc>
          <w:tcPr>
            <w:tcW w:w="0" w:type="dxa"/>
            <w:vAlign w:val="bottom"/>
          </w:tcPr>
          <w:p>
            <w:pPr>
              <w:spacing w:after="0"/>
              <w:rPr>
                <w:sz w:val="1"/>
                <w:szCs w:val="1"/>
                <w:color w:val="auto"/>
              </w:rPr>
            </w:pPr>
          </w:p>
        </w:tc>
      </w:tr>
      <w:tr>
        <w:trPr>
          <w:trHeight w:val="182"/>
        </w:trPr>
        <w:tc>
          <w:tcPr>
            <w:tcW w:w="1960" w:type="dxa"/>
            <w:vAlign w:val="bottom"/>
            <w:shd w:val="clear" w:color="auto" w:fill="0067B3"/>
          </w:tcPr>
          <w:p>
            <w:pPr>
              <w:spacing w:after="0"/>
              <w:rPr>
                <w:sz w:val="15"/>
                <w:szCs w:val="15"/>
                <w:color w:val="auto"/>
              </w:rPr>
            </w:pPr>
          </w:p>
        </w:tc>
        <w:tc>
          <w:tcPr>
            <w:tcW w:w="1060" w:type="dxa"/>
            <w:vAlign w:val="bottom"/>
            <w:shd w:val="clear" w:color="auto" w:fill="0067B3"/>
          </w:tcPr>
          <w:p>
            <w:pPr>
              <w:spacing w:after="0"/>
              <w:rPr>
                <w:sz w:val="15"/>
                <w:szCs w:val="15"/>
                <w:color w:val="auto"/>
              </w:rPr>
            </w:pPr>
          </w:p>
        </w:tc>
        <w:tc>
          <w:tcPr>
            <w:tcW w:w="920" w:type="dxa"/>
            <w:vAlign w:val="bottom"/>
            <w:gridSpan w:val="2"/>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Threshold</w:t>
            </w:r>
          </w:p>
        </w:tc>
        <w:tc>
          <w:tcPr>
            <w:tcW w:w="960" w:type="dxa"/>
            <w:vAlign w:val="bottom"/>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Target</w:t>
            </w:r>
          </w:p>
        </w:tc>
        <w:tc>
          <w:tcPr>
            <w:tcW w:w="960" w:type="dxa"/>
            <w:vAlign w:val="bottom"/>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Maximum</w:t>
            </w:r>
          </w:p>
        </w:tc>
        <w:tc>
          <w:tcPr>
            <w:tcW w:w="1000" w:type="dxa"/>
            <w:vAlign w:val="bottom"/>
            <w:shd w:val="clear" w:color="auto" w:fill="0067B3"/>
          </w:tcPr>
          <w:p>
            <w:pPr>
              <w:jc w:val="right"/>
              <w:ind w:right="35"/>
              <w:spacing w:after="0" w:line="182" w:lineRule="exact"/>
              <w:rPr>
                <w:sz w:val="20"/>
                <w:szCs w:val="20"/>
                <w:color w:val="auto"/>
              </w:rPr>
            </w:pPr>
            <w:r>
              <w:rPr>
                <w:rFonts w:ascii="Arial" w:cs="Arial" w:eastAsia="Arial" w:hAnsi="Arial"/>
                <w:sz w:val="16"/>
                <w:szCs w:val="16"/>
                <w:b w:val="1"/>
                <w:bCs w:val="1"/>
                <w:color w:val="FFFFFF"/>
              </w:rPr>
              <w:t>Threshold</w:t>
            </w:r>
          </w:p>
        </w:tc>
        <w:tc>
          <w:tcPr>
            <w:tcW w:w="800" w:type="dxa"/>
            <w:vAlign w:val="bottom"/>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Target</w:t>
            </w:r>
          </w:p>
        </w:tc>
        <w:tc>
          <w:tcPr>
            <w:tcW w:w="820" w:type="dxa"/>
            <w:vAlign w:val="bottom"/>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Maximum</w:t>
            </w:r>
          </w:p>
        </w:tc>
        <w:tc>
          <w:tcPr>
            <w:tcW w:w="1460" w:type="dxa"/>
            <w:vAlign w:val="bottom"/>
            <w:shd w:val="clear" w:color="auto" w:fill="0067B3"/>
          </w:tcPr>
          <w:p>
            <w:pPr>
              <w:jc w:val="right"/>
              <w:ind w:right="35"/>
              <w:spacing w:after="0" w:line="182" w:lineRule="exact"/>
              <w:rPr>
                <w:sz w:val="20"/>
                <w:szCs w:val="20"/>
                <w:color w:val="auto"/>
              </w:rPr>
            </w:pPr>
            <w:r>
              <w:rPr>
                <w:rFonts w:ascii="Arial" w:cs="Arial" w:eastAsia="Arial" w:hAnsi="Arial"/>
                <w:sz w:val="16"/>
                <w:szCs w:val="16"/>
                <w:b w:val="1"/>
                <w:bCs w:val="1"/>
                <w:color w:val="FFFFFF"/>
              </w:rPr>
              <w:t>Shares of Stock</w:t>
            </w:r>
          </w:p>
        </w:tc>
        <w:tc>
          <w:tcPr>
            <w:tcW w:w="1300" w:type="dxa"/>
            <w:vAlign w:val="bottom"/>
            <w:gridSpan w:val="2"/>
            <w:shd w:val="clear" w:color="auto" w:fill="0067B3"/>
          </w:tcPr>
          <w:p>
            <w:pPr>
              <w:jc w:val="right"/>
              <w:spacing w:after="0" w:line="18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1060" w:type="dxa"/>
            <w:vAlign w:val="bottom"/>
            <w:tcBorders>
              <w:bottom w:val="single" w:sz="8" w:color="auto"/>
            </w:tcBorders>
            <w:shd w:val="clear" w:color="auto" w:fill="0067B3"/>
          </w:tcPr>
          <w:p>
            <w:pPr>
              <w:jc w:val="right"/>
              <w:ind w:right="32"/>
              <w:spacing w:after="0"/>
              <w:rPr>
                <w:sz w:val="20"/>
                <w:szCs w:val="20"/>
                <w:color w:val="auto"/>
              </w:rPr>
            </w:pPr>
            <w:r>
              <w:rPr>
                <w:rFonts w:ascii="Arial" w:cs="Arial" w:eastAsia="Arial" w:hAnsi="Arial"/>
                <w:sz w:val="16"/>
                <w:szCs w:val="16"/>
                <w:b w:val="1"/>
                <w:bCs w:val="1"/>
                <w:color w:val="FFFFFF"/>
              </w:rPr>
              <w:t>Grant Date</w:t>
            </w:r>
          </w:p>
        </w:tc>
        <w:tc>
          <w:tcPr>
            <w:tcW w:w="920" w:type="dxa"/>
            <w:vAlign w:val="bottom"/>
            <w:tcBorders>
              <w:bottom w:val="single" w:sz="8" w:color="auto"/>
            </w:tcBorders>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9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9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auto"/>
            </w:tcBorders>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w:t>
            </w:r>
          </w:p>
        </w:tc>
        <w:tc>
          <w:tcPr>
            <w:tcW w:w="80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8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1460" w:type="dxa"/>
            <w:vAlign w:val="bottom"/>
            <w:tcBorders>
              <w:bottom w:val="single" w:sz="8" w:color="auto"/>
            </w:tcBorders>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or Units(#)</w:t>
            </w:r>
            <w:r>
              <w:rPr>
                <w:rFonts w:ascii="Arial" w:cs="Arial" w:eastAsia="Arial" w:hAnsi="Arial"/>
                <w:sz w:val="21"/>
                <w:szCs w:val="21"/>
                <w:b w:val="1"/>
                <w:bCs w:val="1"/>
                <w:color w:val="FFFFFF"/>
                <w:vertAlign w:val="superscript"/>
              </w:rPr>
              <w:t>(3)</w:t>
            </w:r>
          </w:p>
        </w:tc>
        <w:tc>
          <w:tcPr>
            <w:tcW w:w="1040" w:type="dxa"/>
            <w:vAlign w:val="bottom"/>
            <w:tcBorders>
              <w:bottom w:val="single" w:sz="8" w:color="auto"/>
            </w:tcBorders>
            <w:shd w:val="clear" w:color="auto" w:fill="0067B3"/>
          </w:tcPr>
          <w:p>
            <w:pPr>
              <w:spacing w:after="0"/>
              <w:rPr>
                <w:sz w:val="21"/>
                <w:szCs w:val="21"/>
                <w:color w:val="auto"/>
              </w:rPr>
            </w:pPr>
          </w:p>
        </w:tc>
        <w:tc>
          <w:tcPr>
            <w:tcW w:w="26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32"/>
        </w:trPr>
        <w:tc>
          <w:tcPr>
            <w:tcW w:w="1960" w:type="dxa"/>
            <w:vAlign w:val="bottom"/>
            <w:shd w:val="clear" w:color="auto" w:fill="E2E6F4"/>
          </w:tcPr>
          <w:p>
            <w:pPr>
              <w:spacing w:after="0"/>
              <w:rPr>
                <w:sz w:val="20"/>
                <w:szCs w:val="20"/>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2,200,000</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6,600,000</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33,708</w:t>
            </w:r>
          </w:p>
        </w:tc>
        <w:tc>
          <w:tcPr>
            <w:tcW w:w="820" w:type="dxa"/>
            <w:vAlign w:val="bottom"/>
          </w:tcPr>
          <w:p>
            <w:pPr>
              <w:jc w:val="right"/>
              <w:spacing w:after="0"/>
              <w:rPr>
                <w:sz w:val="20"/>
                <w:szCs w:val="20"/>
                <w:color w:val="auto"/>
              </w:rPr>
            </w:pPr>
            <w:r>
              <w:rPr>
                <w:rFonts w:ascii="Arial" w:cs="Arial" w:eastAsia="Arial" w:hAnsi="Arial"/>
                <w:sz w:val="18"/>
                <w:szCs w:val="18"/>
                <w:color w:val="auto"/>
              </w:rPr>
              <w:t>67,416</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5,250,021</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3"/>
              <w:spacing w:after="0"/>
              <w:rPr>
                <w:sz w:val="20"/>
                <w:szCs w:val="20"/>
                <w:color w:val="auto"/>
              </w:rPr>
            </w:pPr>
            <w:r>
              <w:rPr>
                <w:rFonts w:ascii="Arial" w:cs="Arial" w:eastAsia="Arial" w:hAnsi="Arial"/>
                <w:sz w:val="18"/>
                <w:szCs w:val="18"/>
                <w:color w:val="auto"/>
              </w:rPr>
              <w:t>21,230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42,460</w:t>
            </w:r>
          </w:p>
        </w:tc>
        <w:tc>
          <w:tcPr>
            <w:tcW w:w="146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4,500,123</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6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960" w:type="dxa"/>
            <w:vAlign w:val="bottom"/>
            <w:shd w:val="clear" w:color="auto" w:fill="E2E6F4"/>
          </w:tcPr>
          <w:p>
            <w:pPr>
              <w:spacing w:after="0"/>
              <w:rPr>
                <w:sz w:val="24"/>
                <w:szCs w:val="24"/>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E2E6F4"/>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33,395</w:t>
            </w:r>
          </w:p>
        </w:tc>
        <w:tc>
          <w:tcPr>
            <w:tcW w:w="1040" w:type="dxa"/>
            <w:vAlign w:val="bottom"/>
          </w:tcPr>
          <w:p>
            <w:pPr>
              <w:jc w:val="right"/>
              <w:spacing w:after="0"/>
              <w:rPr>
                <w:sz w:val="20"/>
                <w:szCs w:val="20"/>
                <w:color w:val="auto"/>
              </w:rPr>
            </w:pPr>
            <w:r>
              <w:rPr>
                <w:rFonts w:ascii="Arial" w:cs="Arial" w:eastAsia="Arial" w:hAnsi="Arial"/>
                <w:sz w:val="18"/>
                <w:szCs w:val="18"/>
                <w:color w:val="auto"/>
              </w:rPr>
              <w:t>5,250,028</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
        </w:trPr>
        <w:tc>
          <w:tcPr>
            <w:tcW w:w="1960" w:type="dxa"/>
            <w:vAlign w:val="bottom"/>
            <w:shd w:val="clear" w:color="auto" w:fill="E2E6F4"/>
          </w:tcPr>
          <w:p>
            <w:pPr>
              <w:spacing w:after="0"/>
              <w:rPr>
                <w:sz w:val="2"/>
                <w:szCs w:val="2"/>
                <w:color w:val="auto"/>
              </w:rPr>
            </w:pPr>
          </w:p>
        </w:tc>
        <w:tc>
          <w:tcPr>
            <w:tcW w:w="1060" w:type="dxa"/>
            <w:vAlign w:val="bottom"/>
            <w:shd w:val="clear" w:color="auto" w:fill="E2E6F4"/>
          </w:tcPr>
          <w:p>
            <w:pPr>
              <w:spacing w:after="0"/>
              <w:rPr>
                <w:sz w:val="2"/>
                <w:szCs w:val="2"/>
                <w:color w:val="auto"/>
              </w:rPr>
            </w:pPr>
          </w:p>
        </w:tc>
        <w:tc>
          <w:tcPr>
            <w:tcW w:w="900" w:type="dxa"/>
            <w:vAlign w:val="bottom"/>
            <w:shd w:val="clear" w:color="auto" w:fill="E2E6F4"/>
          </w:tcPr>
          <w:p>
            <w:pPr>
              <w:spacing w:after="0"/>
              <w:rPr>
                <w:sz w:val="2"/>
                <w:szCs w:val="2"/>
                <w:color w:val="auto"/>
              </w:rPr>
            </w:pPr>
          </w:p>
        </w:tc>
        <w:tc>
          <w:tcPr>
            <w:tcW w:w="20" w:type="dxa"/>
            <w:vAlign w:val="bottom"/>
            <w:shd w:val="clear" w:color="auto" w:fill="E2E6F4"/>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-659130</wp:posOffset>
            </wp:positionV>
            <wp:extent cx="5888990" cy="659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88990" cy="65976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-933450</wp:posOffset>
            </wp:positionV>
            <wp:extent cx="34715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ectPr>
          <w:pgSz w:w="11900" w:h="16838" w:orient="portrait"/>
          <w:cols w:equalWidth="0" w:num="1">
            <w:col w:w="11240"/>
          </w:cols>
          <w:pgMar w:left="320" w:top="1311" w:right="339" w:bottom="1083" w:gutter="0" w:footer="0" w:header="0"/>
        </w:sectPr>
      </w:pPr>
    </w:p>
    <w:tbl>
      <w:tblPr>
        <w:tblLayout w:type="fixed"/>
        <w:tblInd w:w="20" w:type="dxa"/>
        <w:tblCellMar>
          <w:top w:w="0" w:type="dxa"/>
          <w:left w:w="0" w:type="dxa"/>
          <w:bottom w:w="0" w:type="dxa"/>
          <w:right w:w="0" w:type="dxa"/>
        </w:tblCellMar>
      </w:tblPr>
      <w:tr>
        <w:trPr>
          <w:trHeight w:val="239"/>
        </w:trPr>
        <w:tc>
          <w:tcPr>
            <w:tcW w:w="20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837,500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2,512,500</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060" w:type="dxa"/>
            <w:vAlign w:val="bottom"/>
          </w:tcPr>
          <w:p>
            <w:pPr>
              <w:spacing w:after="0"/>
              <w:rPr>
                <w:sz w:val="20"/>
                <w:szCs w:val="20"/>
                <w:color w:val="auto"/>
              </w:rPr>
            </w:pPr>
            <w:r>
              <w:rPr>
                <w:rFonts w:ascii="Arial" w:cs="Arial" w:eastAsia="Arial" w:hAnsi="Arial"/>
                <w:sz w:val="18"/>
                <w:szCs w:val="18"/>
                <w:b w:val="1"/>
                <w:bCs w:val="1"/>
                <w:color w:val="0067B3"/>
              </w:rPr>
              <w:t>Prashanth Mahendra-</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4/4/2022</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12,360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24,720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1,925,070</w:t>
            </w:r>
          </w:p>
        </w:tc>
      </w:tr>
      <w:tr>
        <w:trPr>
          <w:trHeight w:val="266"/>
        </w:trPr>
        <w:tc>
          <w:tcPr>
            <w:tcW w:w="2060" w:type="dxa"/>
            <w:vAlign w:val="bottom"/>
          </w:tcPr>
          <w:p>
            <w:pPr>
              <w:spacing w:after="0"/>
              <w:rPr>
                <w:sz w:val="20"/>
                <w:szCs w:val="20"/>
                <w:color w:val="auto"/>
              </w:rPr>
            </w:pPr>
            <w:r>
              <w:rPr>
                <w:rFonts w:ascii="Arial" w:cs="Arial" w:eastAsia="Arial" w:hAnsi="Arial"/>
                <w:sz w:val="18"/>
                <w:szCs w:val="18"/>
                <w:b w:val="1"/>
                <w:bCs w:val="1"/>
                <w:color w:val="0067B3"/>
              </w:rPr>
              <w:t>Rajah</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4/4/2022</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7,785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15,570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1,650,186</w:t>
            </w:r>
          </w:p>
        </w:tc>
      </w:tr>
      <w:tr>
        <w:trPr>
          <w:trHeight w:val="257"/>
        </w:trPr>
        <w:tc>
          <w:tcPr>
            <w:tcW w:w="206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4/4/2022</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12,245</w:t>
            </w:r>
          </w:p>
        </w:tc>
        <w:tc>
          <w:tcPr>
            <w:tcW w:w="1000" w:type="dxa"/>
            <w:vAlign w:val="bottom"/>
          </w:tcPr>
          <w:p>
            <w:pPr>
              <w:jc w:val="right"/>
              <w:spacing w:after="0"/>
              <w:rPr>
                <w:sz w:val="20"/>
                <w:szCs w:val="20"/>
                <w:color w:val="auto"/>
              </w:rPr>
            </w:pPr>
            <w:r>
              <w:rPr>
                <w:rFonts w:ascii="Arial" w:cs="Arial" w:eastAsia="Arial" w:hAnsi="Arial"/>
                <w:sz w:val="18"/>
                <w:szCs w:val="18"/>
                <w:color w:val="auto"/>
              </w:rPr>
              <w:t>1,925,036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14605</wp:posOffset>
            </wp:positionV>
            <wp:extent cx="588899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8899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w:t>
      </w:r>
    </w:p>
    <w:p>
      <w:pPr>
        <w:spacing w:after="0" w:line="193" w:lineRule="exact"/>
        <w:rPr>
          <w:sz w:val="20"/>
          <w:szCs w:val="20"/>
          <w:color w:val="auto"/>
        </w:rPr>
      </w:pPr>
    </w:p>
    <w:p>
      <w:pPr>
        <w:sectPr>
          <w:pgSz w:w="11900" w:h="16838" w:orient="portrait"/>
          <w:cols w:equalWidth="0" w:num="2">
            <w:col w:w="10960" w:space="120"/>
            <w:col w:w="160"/>
          </w:cols>
          <w:pgMar w:left="320" w:top="1311" w:right="339" w:bottom="1083"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960" w:type="dxa"/>
            <w:vAlign w:val="bottom"/>
            <w:shd w:val="clear" w:color="auto" w:fill="E2E6F4"/>
          </w:tcPr>
          <w:p>
            <w:pPr>
              <w:spacing w:after="0"/>
              <w:rPr>
                <w:sz w:val="22"/>
                <w:szCs w:val="22"/>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1,125,000</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color w:val="auto"/>
              </w:rPr>
              <w:t>3,375,000</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w:t>
            </w:r>
          </w:p>
        </w:tc>
        <w:tc>
          <w:tcPr>
            <w:tcW w:w="0" w:type="dxa"/>
            <w:vAlign w:val="bottom"/>
          </w:tcPr>
          <w:p>
            <w:pPr>
              <w:spacing w:after="0"/>
              <w:rPr>
                <w:sz w:val="1"/>
                <w:szCs w:val="1"/>
                <w:color w:val="auto"/>
              </w:rPr>
            </w:pPr>
          </w:p>
        </w:tc>
      </w:tr>
      <w:tr>
        <w:trPr>
          <w:trHeight w:val="193"/>
        </w:trPr>
        <w:tc>
          <w:tcPr>
            <w:tcW w:w="1960" w:type="dxa"/>
            <w:vAlign w:val="bottom"/>
            <w:shd w:val="clear" w:color="auto" w:fill="E2E6F4"/>
          </w:tcPr>
          <w:p>
            <w:pPr>
              <w:spacing w:after="0"/>
              <w:rPr>
                <w:sz w:val="16"/>
                <w:szCs w:val="16"/>
                <w:color w:val="auto"/>
              </w:rPr>
            </w:pPr>
          </w:p>
        </w:tc>
        <w:tc>
          <w:tcPr>
            <w:tcW w:w="1060" w:type="dxa"/>
            <w:vAlign w:val="bottom"/>
            <w:shd w:val="clear" w:color="auto" w:fill="E2E6F4"/>
          </w:tcPr>
          <w:p>
            <w:pPr>
              <w:jc w:val="right"/>
              <w:spacing w:after="0" w:line="193" w:lineRule="exact"/>
              <w:rPr>
                <w:sz w:val="20"/>
                <w:szCs w:val="20"/>
                <w:color w:val="auto"/>
              </w:rPr>
            </w:pPr>
            <w:r>
              <w:rPr>
                <w:rFonts w:ascii="Arial" w:cs="Arial" w:eastAsia="Arial" w:hAnsi="Arial"/>
                <w:sz w:val="18"/>
                <w:szCs w:val="18"/>
                <w:color w:val="auto"/>
              </w:rPr>
              <w:t>3/15/2022</w:t>
            </w:r>
          </w:p>
        </w:tc>
        <w:tc>
          <w:tcPr>
            <w:tcW w:w="900" w:type="dxa"/>
            <w:vAlign w:val="bottom"/>
            <w:shd w:val="clear" w:color="auto" w:fill="E2E6F4"/>
          </w:tcPr>
          <w:p>
            <w:pPr>
              <w:ind w:left="680"/>
              <w:spacing w:after="0" w:line="19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240" w:type="dxa"/>
            <w:vAlign w:val="bottom"/>
          </w:tcPr>
          <w:p>
            <w:pPr>
              <w:jc w:val="right"/>
              <w:ind w:right="290"/>
              <w:spacing w:after="0" w:line="193" w:lineRule="exact"/>
              <w:rPr>
                <w:sz w:val="20"/>
                <w:szCs w:val="20"/>
                <w:color w:val="auto"/>
              </w:rPr>
            </w:pPr>
            <w:r>
              <w:rPr>
                <w:rFonts w:ascii="Arial" w:cs="Arial" w:eastAsia="Arial" w:hAnsi="Arial"/>
                <w:sz w:val="18"/>
                <w:szCs w:val="18"/>
                <w:color w:val="auto"/>
              </w:rPr>
              <w:t>—</w:t>
            </w:r>
          </w:p>
        </w:tc>
        <w:tc>
          <w:tcPr>
            <w:tcW w:w="66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193" w:lineRule="exact"/>
              <w:rPr>
                <w:sz w:val="20"/>
                <w:szCs w:val="20"/>
                <w:color w:val="auto"/>
              </w:rPr>
            </w:pPr>
            <w:r>
              <w:rPr>
                <w:rFonts w:ascii="Arial" w:cs="Arial" w:eastAsia="Arial" w:hAnsi="Arial"/>
                <w:sz w:val="18"/>
                <w:szCs w:val="18"/>
                <w:color w:val="auto"/>
              </w:rPr>
              <w:t>160,092</w:t>
            </w:r>
          </w:p>
        </w:tc>
        <w:tc>
          <w:tcPr>
            <w:tcW w:w="1140" w:type="dxa"/>
            <w:vAlign w:val="bottom"/>
          </w:tcPr>
          <w:p>
            <w:pPr>
              <w:jc w:val="right"/>
              <w:ind w:right="310"/>
              <w:spacing w:after="0" w:line="193" w:lineRule="exact"/>
              <w:rPr>
                <w:sz w:val="20"/>
                <w:szCs w:val="20"/>
                <w:color w:val="auto"/>
              </w:rPr>
            </w:pPr>
            <w:r>
              <w:rPr>
                <w:rFonts w:ascii="Arial" w:cs="Arial" w:eastAsia="Arial" w:hAnsi="Arial"/>
                <w:sz w:val="18"/>
                <w:szCs w:val="18"/>
                <w:color w:val="auto"/>
              </w:rPr>
              <w:t>240,138</w:t>
            </w:r>
          </w:p>
        </w:tc>
        <w:tc>
          <w:tcPr>
            <w:tcW w:w="1100" w:type="dxa"/>
            <w:vAlign w:val="bottom"/>
          </w:tcPr>
          <w:p>
            <w:pPr>
              <w:jc w:val="right"/>
              <w:ind w:right="50"/>
              <w:spacing w:after="0" w:line="19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3" w:lineRule="exact"/>
              <w:rPr>
                <w:sz w:val="20"/>
                <w:szCs w:val="20"/>
                <w:color w:val="auto"/>
              </w:rPr>
            </w:pPr>
            <w:r>
              <w:rPr>
                <w:rFonts w:ascii="Arial" w:cs="Arial" w:eastAsia="Arial" w:hAnsi="Arial"/>
                <w:sz w:val="18"/>
                <w:szCs w:val="18"/>
                <w:color w:val="auto"/>
              </w:rPr>
              <w:t>14,000,045</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3/15/2022</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70,014</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10,000,185</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6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E2E6F4"/>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16,854</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33,708</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2,625,011</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6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920" w:type="dxa"/>
            <w:vAlign w:val="bottom"/>
            <w:shd w:val="clear" w:color="auto" w:fill="E2E6F4"/>
          </w:tcPr>
          <w:p>
            <w:pPr>
              <w:jc w:val="right"/>
              <w:spacing w:after="0" w:line="19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960" w:type="dxa"/>
            <w:vAlign w:val="bottom"/>
            <w:shd w:val="clear" w:color="auto" w:fill="E2E6F4"/>
          </w:tcPr>
          <w:p>
            <w:pPr>
              <w:spacing w:after="0"/>
              <w:rPr>
                <w:sz w:val="5"/>
                <w:szCs w:val="5"/>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E2E6F4"/>
          </w:tcPr>
          <w:p>
            <w:pPr>
              <w:spacing w:after="0"/>
              <w:rPr>
                <w:sz w:val="5"/>
                <w:szCs w:val="5"/>
                <w:color w:val="auto"/>
              </w:rPr>
            </w:pPr>
          </w:p>
        </w:tc>
        <w:tc>
          <w:tcPr>
            <w:tcW w:w="9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10,615</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21,230</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2,250,062</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shd w:val="clear" w:color="auto" w:fill="E2E6F4"/>
          </w:tcPr>
          <w:p>
            <w:pPr>
              <w:spacing w:after="0"/>
              <w:rPr>
                <w:sz w:val="16"/>
                <w:szCs w:val="16"/>
                <w:color w:val="auto"/>
              </w:rPr>
            </w:pPr>
          </w:p>
        </w:tc>
        <w:tc>
          <w:tcPr>
            <w:tcW w:w="106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92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12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60" w:type="dxa"/>
            <w:vAlign w:val="bottom"/>
            <w:tcBorders>
              <w:bottom w:val="single" w:sz="8" w:color="E2E6F4"/>
            </w:tcBorders>
            <w:shd w:val="clear" w:color="auto" w:fill="E2E6F4"/>
          </w:tcPr>
          <w:p>
            <w:pPr>
              <w:spacing w:after="0"/>
              <w:rPr>
                <w:sz w:val="24"/>
                <w:szCs w:val="24"/>
                <w:color w:val="auto"/>
              </w:rPr>
            </w:pPr>
          </w:p>
        </w:tc>
        <w:tc>
          <w:tcPr>
            <w:tcW w:w="10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2E6F4"/>
            </w:tcBorders>
            <w:shd w:val="clear" w:color="auto" w:fill="E2E6F4"/>
          </w:tcPr>
          <w:p>
            <w:pPr>
              <w:spacing w:after="0"/>
              <w:rPr>
                <w:sz w:val="24"/>
                <w:szCs w:val="24"/>
                <w:color w:val="auto"/>
              </w:rPr>
            </w:pPr>
          </w:p>
        </w:tc>
        <w:tc>
          <w:tcPr>
            <w:tcW w:w="92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2E6F4"/>
            </w:tcBorders>
            <w:shd w:val="clear" w:color="auto" w:fill="E2E6F4"/>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16,698</w:t>
            </w:r>
          </w:p>
        </w:tc>
        <w:tc>
          <w:tcPr>
            <w:tcW w:w="1120" w:type="dxa"/>
            <w:vAlign w:val="bottom"/>
          </w:tcPr>
          <w:p>
            <w:pPr>
              <w:jc w:val="right"/>
              <w:spacing w:after="0"/>
              <w:rPr>
                <w:sz w:val="20"/>
                <w:szCs w:val="20"/>
                <w:color w:val="auto"/>
              </w:rPr>
            </w:pPr>
            <w:r>
              <w:rPr>
                <w:rFonts w:ascii="Arial" w:cs="Arial" w:eastAsia="Arial" w:hAnsi="Arial"/>
                <w:sz w:val="18"/>
                <w:szCs w:val="18"/>
                <w:color w:val="auto"/>
              </w:rPr>
              <w:t>2,625,093</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781,250</w:t>
            </w:r>
          </w:p>
        </w:tc>
        <w:tc>
          <w:tcPr>
            <w:tcW w:w="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2,343,750</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tcPr>
          <w:p>
            <w:pPr>
              <w:ind w:left="20"/>
              <w:spacing w:after="0"/>
              <w:rPr>
                <w:sz w:val="20"/>
                <w:szCs w:val="20"/>
                <w:color w:val="auto"/>
              </w:rPr>
            </w:pPr>
            <w:r>
              <w:rPr>
                <w:rFonts w:ascii="Arial" w:cs="Arial" w:eastAsia="Arial" w:hAnsi="Arial"/>
                <w:sz w:val="18"/>
                <w:szCs w:val="18"/>
                <w:b w:val="1"/>
                <w:bCs w:val="1"/>
                <w:color w:val="0067B3"/>
              </w:rPr>
              <w:t>Vivek Jain</w:t>
            </w:r>
          </w:p>
        </w:tc>
        <w:tc>
          <w:tcPr>
            <w:tcW w:w="1060" w:type="dxa"/>
            <w:vAlign w:val="bottom"/>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11,236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22,472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1,750,007</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vMerge w:val="continue"/>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7,077</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14,154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1,500,112</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11,132</w:t>
            </w:r>
          </w:p>
        </w:tc>
        <w:tc>
          <w:tcPr>
            <w:tcW w:w="1120" w:type="dxa"/>
            <w:vAlign w:val="bottom"/>
          </w:tcPr>
          <w:p>
            <w:pPr>
              <w:jc w:val="right"/>
              <w:spacing w:after="0"/>
              <w:rPr>
                <w:sz w:val="20"/>
                <w:szCs w:val="20"/>
                <w:color w:val="auto"/>
              </w:rPr>
            </w:pPr>
            <w:r>
              <w:rPr>
                <w:rFonts w:ascii="Arial" w:cs="Arial" w:eastAsia="Arial" w:hAnsi="Arial"/>
                <w:sz w:val="18"/>
                <w:szCs w:val="18"/>
                <w:color w:val="auto"/>
              </w:rPr>
              <w:t>1,750,062</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vMerge w:val="restart"/>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750,000</w:t>
            </w:r>
          </w:p>
        </w:tc>
        <w:tc>
          <w:tcPr>
            <w:tcW w:w="126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2,250,000</w:t>
            </w: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960" w:type="dxa"/>
            <w:vAlign w:val="bottom"/>
            <w:shd w:val="clear" w:color="auto" w:fill="E2E6F4"/>
          </w:tcPr>
          <w:p>
            <w:pPr>
              <w:spacing w:after="0"/>
              <w:rPr>
                <w:sz w:val="20"/>
                <w:szCs w:val="20"/>
                <w:color w:val="auto"/>
              </w:rPr>
            </w:pP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1960" w:type="dxa"/>
            <w:vAlign w:val="bottom"/>
            <w:vMerge w:val="restart"/>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10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10,562</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21,124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1,645,032</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E2E6F4"/>
          </w:tcPr>
          <w:p>
            <w:pPr>
              <w:spacing w:after="0"/>
              <w:rPr>
                <w:sz w:val="5"/>
                <w:szCs w:val="5"/>
                <w:color w:val="auto"/>
              </w:rPr>
            </w:pPr>
          </w:p>
        </w:tc>
        <w:tc>
          <w:tcPr>
            <w:tcW w:w="10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vMerge w:val="restart"/>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6,652</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13,304</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1,410,024</w:t>
            </w:r>
          </w:p>
        </w:tc>
        <w:tc>
          <w:tcPr>
            <w:tcW w:w="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3"/>
        </w:trPr>
        <w:tc>
          <w:tcPr>
            <w:tcW w:w="1960" w:type="dxa"/>
            <w:vAlign w:val="bottom"/>
            <w:vMerge w:val="continue"/>
            <w:shd w:val="clear" w:color="auto" w:fill="E2E6F4"/>
          </w:tcPr>
          <w:p>
            <w:pPr>
              <w:spacing w:after="0"/>
              <w:rPr>
                <w:sz w:val="16"/>
                <w:szCs w:val="16"/>
                <w:color w:val="auto"/>
              </w:rPr>
            </w:pPr>
          </w:p>
        </w:tc>
        <w:tc>
          <w:tcPr>
            <w:tcW w:w="1060" w:type="dxa"/>
            <w:vAlign w:val="bottom"/>
            <w:vMerge w:val="continue"/>
            <w:shd w:val="clear" w:color="auto" w:fill="E2E6F4"/>
          </w:tcPr>
          <w:p>
            <w:pPr>
              <w:spacing w:after="0"/>
              <w:rPr>
                <w:sz w:val="16"/>
                <w:szCs w:val="16"/>
                <w:color w:val="auto"/>
              </w:rPr>
            </w:pPr>
          </w:p>
        </w:tc>
        <w:tc>
          <w:tcPr>
            <w:tcW w:w="900" w:type="dxa"/>
            <w:vAlign w:val="bottom"/>
            <w:vMerge w:val="continue"/>
            <w:shd w:val="clear" w:color="auto" w:fill="E2E6F4"/>
          </w:tcPr>
          <w:p>
            <w:pPr>
              <w:spacing w:after="0"/>
              <w:rPr>
                <w:sz w:val="16"/>
                <w:szCs w:val="16"/>
                <w:color w:val="auto"/>
              </w:rPr>
            </w:pPr>
          </w:p>
        </w:tc>
        <w:tc>
          <w:tcPr>
            <w:tcW w:w="20" w:type="dxa"/>
            <w:vAlign w:val="bottom"/>
            <w:shd w:val="clear" w:color="auto" w:fill="E2E6F4"/>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60" w:type="dxa"/>
            <w:vAlign w:val="bottom"/>
            <w:tcBorders>
              <w:bottom w:val="single" w:sz="8" w:color="E2E6F4"/>
            </w:tcBorders>
            <w:shd w:val="clear" w:color="auto" w:fill="E2E6F4"/>
          </w:tcPr>
          <w:p>
            <w:pPr>
              <w:spacing w:after="0"/>
              <w:rPr>
                <w:sz w:val="24"/>
                <w:szCs w:val="24"/>
                <w:color w:val="auto"/>
              </w:rPr>
            </w:pPr>
          </w:p>
        </w:tc>
        <w:tc>
          <w:tcPr>
            <w:tcW w:w="10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4/4/2022</w:t>
            </w:r>
          </w:p>
        </w:tc>
        <w:tc>
          <w:tcPr>
            <w:tcW w:w="900" w:type="dxa"/>
            <w:vAlign w:val="bottom"/>
            <w:tcBorders>
              <w:bottom w:val="single" w:sz="8" w:color="E2E6F4"/>
            </w:tcBorders>
            <w:shd w:val="clear" w:color="auto" w:fill="E2E6F4"/>
          </w:tcPr>
          <w:p>
            <w:pPr>
              <w:ind w:left="6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2E6F4"/>
            </w:tcBorders>
            <w:shd w:val="clear" w:color="auto" w:fill="E2E6F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10,464</w:t>
            </w:r>
          </w:p>
        </w:tc>
        <w:tc>
          <w:tcPr>
            <w:tcW w:w="1120" w:type="dxa"/>
            <w:vAlign w:val="bottom"/>
          </w:tcPr>
          <w:p>
            <w:pPr>
              <w:jc w:val="right"/>
              <w:spacing w:after="0"/>
              <w:rPr>
                <w:sz w:val="20"/>
                <w:szCs w:val="20"/>
                <w:color w:val="auto"/>
              </w:rPr>
            </w:pPr>
            <w:r>
              <w:rPr>
                <w:rFonts w:ascii="Arial" w:cs="Arial" w:eastAsia="Arial" w:hAnsi="Arial"/>
                <w:sz w:val="18"/>
                <w:szCs w:val="18"/>
                <w:color w:val="auto"/>
              </w:rPr>
              <w:t>1,645,045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
        </w:trPr>
        <w:tc>
          <w:tcPr>
            <w:tcW w:w="1960" w:type="dxa"/>
            <w:vAlign w:val="bottom"/>
            <w:shd w:val="clear" w:color="auto" w:fill="0067B3"/>
          </w:tcPr>
          <w:p>
            <w:pPr>
              <w:spacing w:after="0" w:line="20" w:lineRule="exact"/>
              <w:rPr>
                <w:sz w:val="1"/>
                <w:szCs w:val="1"/>
                <w:color w:val="auto"/>
              </w:rPr>
            </w:pPr>
          </w:p>
        </w:tc>
        <w:tc>
          <w:tcPr>
            <w:tcW w:w="1060" w:type="dxa"/>
            <w:vAlign w:val="bottom"/>
            <w:shd w:val="clear" w:color="auto" w:fill="0067B3"/>
          </w:tcPr>
          <w:p>
            <w:pPr>
              <w:spacing w:after="0" w:line="20" w:lineRule="exact"/>
              <w:rPr>
                <w:sz w:val="1"/>
                <w:szCs w:val="1"/>
                <w:color w:val="auto"/>
              </w:rPr>
            </w:pPr>
          </w:p>
        </w:tc>
        <w:tc>
          <w:tcPr>
            <w:tcW w:w="900" w:type="dxa"/>
            <w:vAlign w:val="bottom"/>
            <w:shd w:val="clear" w:color="auto" w:fill="0067B3"/>
          </w:tcPr>
          <w:p>
            <w:pPr>
              <w:spacing w:after="0" w:line="20" w:lineRule="exact"/>
              <w:rPr>
                <w:sz w:val="1"/>
                <w:szCs w:val="1"/>
                <w:color w:val="auto"/>
              </w:rPr>
            </w:pPr>
          </w:p>
        </w:tc>
        <w:tc>
          <w:tcPr>
            <w:tcW w:w="20" w:type="dxa"/>
            <w:vAlign w:val="bottom"/>
            <w:shd w:val="clear" w:color="auto" w:fill="0067B3"/>
          </w:tcPr>
          <w:p>
            <w:pPr>
              <w:spacing w:after="0" w:line="20" w:lineRule="exact"/>
              <w:rPr>
                <w:sz w:val="1"/>
                <w:szCs w:val="1"/>
                <w:color w:val="auto"/>
              </w:rPr>
            </w:pPr>
          </w:p>
        </w:tc>
        <w:tc>
          <w:tcPr>
            <w:tcW w:w="920" w:type="dxa"/>
            <w:vAlign w:val="bottom"/>
            <w:shd w:val="clear" w:color="auto" w:fill="0067B3"/>
          </w:tcPr>
          <w:p>
            <w:pPr>
              <w:spacing w:after="0" w:line="20" w:lineRule="exact"/>
              <w:rPr>
                <w:sz w:val="1"/>
                <w:szCs w:val="1"/>
                <w:color w:val="auto"/>
              </w:rPr>
            </w:pPr>
          </w:p>
        </w:tc>
        <w:tc>
          <w:tcPr>
            <w:tcW w:w="20" w:type="dxa"/>
            <w:vAlign w:val="bottom"/>
            <w:shd w:val="clear" w:color="auto" w:fill="0067B3"/>
          </w:tcPr>
          <w:p>
            <w:pPr>
              <w:spacing w:after="0" w:line="20" w:lineRule="exact"/>
              <w:rPr>
                <w:sz w:val="1"/>
                <w:szCs w:val="1"/>
                <w:color w:val="auto"/>
              </w:rPr>
            </w:pPr>
          </w:p>
        </w:tc>
        <w:tc>
          <w:tcPr>
            <w:tcW w:w="1240" w:type="dxa"/>
            <w:vAlign w:val="bottom"/>
            <w:shd w:val="clear" w:color="auto" w:fill="0067B3"/>
          </w:tcPr>
          <w:p>
            <w:pPr>
              <w:spacing w:after="0" w:line="20" w:lineRule="exact"/>
              <w:rPr>
                <w:sz w:val="1"/>
                <w:szCs w:val="1"/>
                <w:color w:val="auto"/>
              </w:rPr>
            </w:pPr>
          </w:p>
        </w:tc>
        <w:tc>
          <w:tcPr>
            <w:tcW w:w="660" w:type="dxa"/>
            <w:vAlign w:val="bottom"/>
            <w:shd w:val="clear" w:color="auto" w:fill="0067B3"/>
          </w:tcPr>
          <w:p>
            <w:pPr>
              <w:spacing w:after="0" w:line="20" w:lineRule="exact"/>
              <w:rPr>
                <w:sz w:val="1"/>
                <w:szCs w:val="1"/>
                <w:color w:val="auto"/>
              </w:rPr>
            </w:pPr>
          </w:p>
        </w:tc>
        <w:tc>
          <w:tcPr>
            <w:tcW w:w="880" w:type="dxa"/>
            <w:vAlign w:val="bottom"/>
            <w:shd w:val="clear" w:color="auto" w:fill="0067B3"/>
          </w:tcPr>
          <w:p>
            <w:pPr>
              <w:spacing w:after="0" w:line="20" w:lineRule="exact"/>
              <w:rPr>
                <w:sz w:val="1"/>
                <w:szCs w:val="1"/>
                <w:color w:val="auto"/>
              </w:rPr>
            </w:pPr>
          </w:p>
        </w:tc>
        <w:tc>
          <w:tcPr>
            <w:tcW w:w="114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1120" w:type="dxa"/>
            <w:vAlign w:val="bottom"/>
            <w:shd w:val="clear" w:color="auto" w:fill="0067B3"/>
          </w:tcPr>
          <w:p>
            <w:pPr>
              <w:spacing w:after="0" w:line="20" w:lineRule="exact"/>
              <w:rPr>
                <w:sz w:val="1"/>
                <w:szCs w:val="1"/>
                <w:color w:val="auto"/>
              </w:rPr>
            </w:pPr>
          </w:p>
        </w:tc>
        <w:tc>
          <w:tcPr>
            <w:tcW w:w="22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-2125345</wp:posOffset>
            </wp:positionV>
            <wp:extent cx="5220335" cy="814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20335" cy="81470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-659765</wp:posOffset>
            </wp:positionV>
            <wp:extent cx="5888990" cy="651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88990" cy="651510"/>
                    </a:xfrm>
                    <a:prstGeom prst="rect">
                      <a:avLst/>
                    </a:prstGeom>
                    <a:noFill/>
                  </pic:spPr>
                </pic:pic>
              </a:graphicData>
            </a:graphic>
          </wp:anchor>
        </w:drawing>
      </w:r>
    </w:p>
    <w:p>
      <w:pPr>
        <w:spacing w:after="0" w:line="141" w:lineRule="exact"/>
        <w:rPr>
          <w:sz w:val="20"/>
          <w:szCs w:val="20"/>
          <w:color w:val="auto"/>
        </w:rPr>
      </w:pPr>
    </w:p>
    <w:p>
      <w:pPr>
        <w:ind w:left="200" w:right="180" w:hanging="192"/>
        <w:spacing w:after="0" w:line="236" w:lineRule="auto"/>
        <w:tabs>
          <w:tab w:leader="none" w:pos="215"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The amounts shown for Messrs. Roche, Mahendra-Rajah, Bryant and Jain and Ms. Sacks in the threshold, target and maximum columns reflect the minimum, target and maximum amounts payable under our executive performance incentive plan, respectively. Amounts in the maximum column above reflect 300% of the executive officer’s target bonus, which is the cap under the plan. The actual amounts earned in fiscal year 2022 are reflected in the S</w:t>
      </w:r>
      <w:r>
        <w:rPr>
          <w:rFonts w:ascii="Arial" w:cs="Arial" w:eastAsia="Arial" w:hAnsi="Arial"/>
          <w:sz w:val="16"/>
          <w:szCs w:val="16"/>
          <w:i w:val="1"/>
          <w:iCs w:val="1"/>
          <w:color w:val="auto"/>
        </w:rPr>
        <w:t>ummary Compensation Table</w:t>
      </w:r>
      <w:r>
        <w:rPr>
          <w:rFonts w:ascii="Arial" w:cs="Arial" w:eastAsia="Arial" w:hAnsi="Arial"/>
          <w:sz w:val="16"/>
          <w:szCs w:val="16"/>
          <w:color w:val="auto"/>
        </w:rPr>
        <w:t xml:space="preserve"> and were as follows:</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5180" w:type="dxa"/>
            <w:vAlign w:val="bottom"/>
            <w:shd w:val="clear" w:color="auto" w:fill="0067B3"/>
          </w:tcPr>
          <w:p>
            <w:pPr>
              <w:spacing w:after="0"/>
              <w:rPr>
                <w:sz w:val="15"/>
                <w:szCs w:val="15"/>
                <w:color w:val="auto"/>
              </w:rPr>
            </w:pPr>
          </w:p>
        </w:tc>
        <w:tc>
          <w:tcPr>
            <w:tcW w:w="5620" w:type="dxa"/>
            <w:vAlign w:val="bottom"/>
            <w:shd w:val="clear" w:color="auto" w:fill="0067B3"/>
          </w:tcPr>
          <w:p>
            <w:pPr>
              <w:jc w:val="right"/>
              <w:ind w:right="65"/>
              <w:spacing w:after="0"/>
              <w:rPr>
                <w:sz w:val="20"/>
                <w:szCs w:val="20"/>
                <w:color w:val="auto"/>
              </w:rPr>
            </w:pPr>
            <w:r>
              <w:rPr>
                <w:rFonts w:ascii="Arial" w:cs="Arial" w:eastAsia="Arial" w:hAnsi="Arial"/>
                <w:sz w:val="14"/>
                <w:szCs w:val="14"/>
                <w:b w:val="1"/>
                <w:bCs w:val="1"/>
                <w:color w:val="FFFFFF"/>
              </w:rPr>
              <w:t>Actual Payout under Non-Equity</w:t>
            </w:r>
          </w:p>
        </w:tc>
      </w:tr>
      <w:tr>
        <w:trPr>
          <w:trHeight w:val="219"/>
        </w:trPr>
        <w:tc>
          <w:tcPr>
            <w:tcW w:w="51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56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Incentive Plans for Fiscal Year 2022</w:t>
            </w:r>
          </w:p>
        </w:tc>
      </w:tr>
      <w:tr>
        <w:trPr>
          <w:trHeight w:val="248"/>
        </w:trPr>
        <w:tc>
          <w:tcPr>
            <w:tcW w:w="51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5620" w:type="dxa"/>
            <w:vAlign w:val="bottom"/>
            <w:tcBorders>
              <w:bottom w:val="single" w:sz="8" w:color="E2E6F4"/>
            </w:tcBorders>
            <w:shd w:val="clear" w:color="auto" w:fill="E2E6F4"/>
          </w:tcPr>
          <w:p>
            <w:pPr>
              <w:jc w:val="right"/>
              <w:ind w:right="805"/>
              <w:spacing w:after="0"/>
              <w:rPr>
                <w:sz w:val="20"/>
                <w:szCs w:val="20"/>
                <w:color w:val="auto"/>
              </w:rPr>
            </w:pPr>
            <w:r>
              <w:rPr>
                <w:rFonts w:ascii="Arial" w:cs="Arial" w:eastAsia="Arial" w:hAnsi="Arial"/>
                <w:sz w:val="15"/>
                <w:szCs w:val="15"/>
                <w:color w:val="auto"/>
              </w:rPr>
              <w:t>$5,560,731</w:t>
            </w:r>
          </w:p>
        </w:tc>
      </w:tr>
      <w:tr>
        <w:trPr>
          <w:trHeight w:val="211"/>
        </w:trPr>
        <w:tc>
          <w:tcPr>
            <w:tcW w:w="5180" w:type="dxa"/>
            <w:vAlign w:val="bottom"/>
            <w:tcBorders>
              <w:top w:val="single" w:sz="8" w:color="939598"/>
            </w:tcBorders>
          </w:tcPr>
          <w:p>
            <w:pPr>
              <w:ind w:left="20"/>
              <w:spacing w:after="0"/>
              <w:rPr>
                <w:sz w:val="20"/>
                <w:szCs w:val="20"/>
                <w:color w:val="auto"/>
              </w:rPr>
            </w:pPr>
            <w:r>
              <w:rPr>
                <w:rFonts w:ascii="Arial" w:cs="Arial" w:eastAsia="Arial" w:hAnsi="Arial"/>
                <w:sz w:val="15"/>
                <w:szCs w:val="15"/>
                <w:b w:val="1"/>
                <w:bCs w:val="1"/>
                <w:color w:val="0067B3"/>
              </w:rPr>
              <w:t>Prashanth Mahendra-Rajah</w:t>
            </w:r>
          </w:p>
        </w:tc>
        <w:tc>
          <w:tcPr>
            <w:tcW w:w="5620" w:type="dxa"/>
            <w:vAlign w:val="bottom"/>
            <w:tcBorders>
              <w:top w:val="single" w:sz="8" w:color="939598"/>
            </w:tcBorders>
          </w:tcPr>
          <w:p>
            <w:pPr>
              <w:jc w:val="right"/>
              <w:ind w:right="805"/>
              <w:spacing w:after="0"/>
              <w:rPr>
                <w:sz w:val="20"/>
                <w:szCs w:val="20"/>
                <w:color w:val="auto"/>
              </w:rPr>
            </w:pPr>
            <w:r>
              <w:rPr>
                <w:rFonts w:ascii="Arial" w:cs="Arial" w:eastAsia="Arial" w:hAnsi="Arial"/>
                <w:sz w:val="15"/>
                <w:szCs w:val="15"/>
                <w:color w:val="auto"/>
              </w:rPr>
              <w:t>$2,081,597</w:t>
            </w:r>
          </w:p>
        </w:tc>
      </w:tr>
      <w:tr>
        <w:trPr>
          <w:trHeight w:val="25"/>
        </w:trPr>
        <w:tc>
          <w:tcPr>
            <w:tcW w:w="5180" w:type="dxa"/>
            <w:vAlign w:val="bottom"/>
            <w:tcBorders>
              <w:bottom w:val="single" w:sz="8" w:color="939598"/>
            </w:tcBorders>
          </w:tcPr>
          <w:p>
            <w:pPr>
              <w:spacing w:after="0"/>
              <w:rPr>
                <w:sz w:val="2"/>
                <w:szCs w:val="2"/>
                <w:color w:val="auto"/>
              </w:rPr>
            </w:pPr>
          </w:p>
        </w:tc>
        <w:tc>
          <w:tcPr>
            <w:tcW w:w="5620" w:type="dxa"/>
            <w:vAlign w:val="bottom"/>
            <w:tcBorders>
              <w:bottom w:val="single" w:sz="8" w:color="939598"/>
            </w:tcBorders>
          </w:tcPr>
          <w:p>
            <w:pPr>
              <w:spacing w:after="0"/>
              <w:rPr>
                <w:sz w:val="2"/>
                <w:szCs w:val="2"/>
                <w:color w:val="auto"/>
              </w:rPr>
            </w:pPr>
          </w:p>
        </w:tc>
      </w:tr>
      <w:tr>
        <w:trPr>
          <w:trHeight w:val="241"/>
        </w:trPr>
        <w:tc>
          <w:tcPr>
            <w:tcW w:w="51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5620" w:type="dxa"/>
            <w:vAlign w:val="bottom"/>
            <w:tcBorders>
              <w:bottom w:val="single" w:sz="8" w:color="E2E6F4"/>
            </w:tcBorders>
            <w:shd w:val="clear" w:color="auto" w:fill="E2E6F4"/>
          </w:tcPr>
          <w:p>
            <w:pPr>
              <w:jc w:val="right"/>
              <w:ind w:right="805"/>
              <w:spacing w:after="0"/>
              <w:rPr>
                <w:sz w:val="20"/>
                <w:szCs w:val="20"/>
                <w:color w:val="auto"/>
              </w:rPr>
            </w:pPr>
            <w:r>
              <w:rPr>
                <w:rFonts w:ascii="Arial" w:cs="Arial" w:eastAsia="Arial" w:hAnsi="Arial"/>
                <w:sz w:val="15"/>
                <w:szCs w:val="15"/>
                <w:color w:val="auto"/>
              </w:rPr>
              <w:t>$2,141,827</w:t>
            </w:r>
          </w:p>
        </w:tc>
      </w:tr>
      <w:tr>
        <w:trPr>
          <w:trHeight w:val="211"/>
        </w:trPr>
        <w:tc>
          <w:tcPr>
            <w:tcW w:w="5180" w:type="dxa"/>
            <w:vAlign w:val="bottom"/>
            <w:tcBorders>
              <w:top w:val="single" w:sz="8" w:color="939598"/>
            </w:tcBorders>
          </w:tcPr>
          <w:p>
            <w:pPr>
              <w:ind w:left="20"/>
              <w:spacing w:after="0"/>
              <w:rPr>
                <w:sz w:val="20"/>
                <w:szCs w:val="20"/>
                <w:color w:val="auto"/>
              </w:rPr>
            </w:pPr>
            <w:r>
              <w:rPr>
                <w:rFonts w:ascii="Arial" w:cs="Arial" w:eastAsia="Arial" w:hAnsi="Arial"/>
                <w:sz w:val="15"/>
                <w:szCs w:val="15"/>
                <w:b w:val="1"/>
                <w:bCs w:val="1"/>
                <w:color w:val="0067B3"/>
              </w:rPr>
              <w:t>Vivek Jain</w:t>
            </w:r>
          </w:p>
        </w:tc>
        <w:tc>
          <w:tcPr>
            <w:tcW w:w="5620" w:type="dxa"/>
            <w:vAlign w:val="bottom"/>
            <w:tcBorders>
              <w:top w:val="single" w:sz="8" w:color="939598"/>
            </w:tcBorders>
          </w:tcPr>
          <w:p>
            <w:pPr>
              <w:jc w:val="right"/>
              <w:ind w:right="805"/>
              <w:spacing w:after="0"/>
              <w:rPr>
                <w:sz w:val="20"/>
                <w:szCs w:val="20"/>
                <w:color w:val="auto"/>
              </w:rPr>
            </w:pPr>
            <w:r>
              <w:rPr>
                <w:rFonts w:ascii="Arial" w:cs="Arial" w:eastAsia="Arial" w:hAnsi="Arial"/>
                <w:sz w:val="15"/>
                <w:szCs w:val="15"/>
                <w:color w:val="auto"/>
              </w:rPr>
              <w:t>$1,936,907</w:t>
            </w:r>
          </w:p>
        </w:tc>
      </w:tr>
      <w:tr>
        <w:trPr>
          <w:trHeight w:val="25"/>
        </w:trPr>
        <w:tc>
          <w:tcPr>
            <w:tcW w:w="5180" w:type="dxa"/>
            <w:vAlign w:val="bottom"/>
            <w:tcBorders>
              <w:bottom w:val="single" w:sz="8" w:color="939598"/>
            </w:tcBorders>
          </w:tcPr>
          <w:p>
            <w:pPr>
              <w:spacing w:after="0"/>
              <w:rPr>
                <w:sz w:val="2"/>
                <w:szCs w:val="2"/>
                <w:color w:val="auto"/>
              </w:rPr>
            </w:pPr>
          </w:p>
        </w:tc>
        <w:tc>
          <w:tcPr>
            <w:tcW w:w="5620" w:type="dxa"/>
            <w:vAlign w:val="bottom"/>
            <w:tcBorders>
              <w:bottom w:val="single" w:sz="8" w:color="939598"/>
            </w:tcBorders>
          </w:tcPr>
          <w:p>
            <w:pPr>
              <w:spacing w:after="0"/>
              <w:rPr>
                <w:sz w:val="2"/>
                <w:szCs w:val="2"/>
                <w:color w:val="auto"/>
              </w:rPr>
            </w:pPr>
          </w:p>
        </w:tc>
      </w:tr>
      <w:tr>
        <w:trPr>
          <w:trHeight w:val="216"/>
        </w:trPr>
        <w:tc>
          <w:tcPr>
            <w:tcW w:w="518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5620" w:type="dxa"/>
            <w:vAlign w:val="bottom"/>
            <w:tcBorders>
              <w:bottom w:val="single" w:sz="8" w:color="E2E6F4"/>
            </w:tcBorders>
            <w:shd w:val="clear" w:color="auto" w:fill="E2E6F4"/>
          </w:tcPr>
          <w:p>
            <w:pPr>
              <w:jc w:val="right"/>
              <w:ind w:right="805"/>
              <w:spacing w:after="0"/>
              <w:rPr>
                <w:sz w:val="20"/>
                <w:szCs w:val="20"/>
                <w:color w:val="auto"/>
              </w:rPr>
            </w:pPr>
            <w:r>
              <w:rPr>
                <w:rFonts w:ascii="Arial" w:cs="Arial" w:eastAsia="Arial" w:hAnsi="Arial"/>
                <w:sz w:val="15"/>
                <w:szCs w:val="15"/>
                <w:color w:val="auto"/>
              </w:rPr>
              <w:t>$1,735,039</w:t>
            </w:r>
          </w:p>
        </w:tc>
      </w:tr>
      <w:tr>
        <w:trPr>
          <w:trHeight w:val="20"/>
        </w:trPr>
        <w:tc>
          <w:tcPr>
            <w:tcW w:w="5180" w:type="dxa"/>
            <w:vAlign w:val="bottom"/>
            <w:shd w:val="clear" w:color="auto" w:fill="0067B3"/>
          </w:tcPr>
          <w:p>
            <w:pPr>
              <w:spacing w:after="0" w:line="20" w:lineRule="exact"/>
              <w:rPr>
                <w:sz w:val="1"/>
                <w:szCs w:val="1"/>
                <w:color w:val="auto"/>
              </w:rPr>
            </w:pPr>
          </w:p>
        </w:tc>
        <w:tc>
          <w:tcPr>
            <w:tcW w:w="5620" w:type="dxa"/>
            <w:vAlign w:val="bottom"/>
            <w:shd w:val="clear" w:color="auto" w:fill="0067B3"/>
          </w:tcPr>
          <w:p>
            <w:pPr>
              <w:spacing w:after="0" w:line="20" w:lineRule="exact"/>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Compensation Discussion and Analysi</w:t>
      </w:r>
      <w:r>
        <w:rPr>
          <w:rFonts w:ascii="Arial" w:cs="Arial" w:eastAsia="Arial" w:hAnsi="Arial"/>
          <w:sz w:val="16"/>
          <w:szCs w:val="16"/>
          <w:color w:val="auto"/>
        </w:rPr>
        <w:t>s for a discussion of how these amounts were determined under our executive performance incentive plan.</w:t>
      </w:r>
    </w:p>
    <w:p>
      <w:pPr>
        <w:spacing w:after="0" w:line="73" w:lineRule="exact"/>
        <w:rPr>
          <w:sz w:val="20"/>
          <w:szCs w:val="20"/>
          <w:color w:val="auto"/>
        </w:rPr>
      </w:pPr>
    </w:p>
    <w:p>
      <w:pPr>
        <w:ind w:left="200" w:right="20" w:hanging="192"/>
        <w:spacing w:after="0"/>
        <w:tabs>
          <w:tab w:leader="none" w:pos="215" w:val="left"/>
        </w:tabs>
        <w:numPr>
          <w:ilvl w:val="0"/>
          <w:numId w:val="95"/>
        </w:numPr>
        <w:rPr>
          <w:rFonts w:ascii="Arial" w:cs="Arial" w:eastAsia="Arial" w:hAnsi="Arial"/>
          <w:sz w:val="21"/>
          <w:szCs w:val="21"/>
          <w:color w:val="auto"/>
          <w:vertAlign w:val="superscript"/>
        </w:rPr>
      </w:pPr>
      <w:r>
        <w:rPr>
          <w:rFonts w:ascii="Arial" w:cs="Arial" w:eastAsia="Arial" w:hAnsi="Arial"/>
          <w:sz w:val="16"/>
          <w:szCs w:val="16"/>
          <w:color w:val="auto"/>
        </w:rPr>
        <w:t xml:space="preserve">Represents PRSUs granted under our 2020 Plan. Our annual equity compensation program included two types of PRSUs for our executive officers: Relative TSR PRSUs and Financial Metric PRSUs. The number of Relative TSR PRSUs that executive officers may earn is based on our TSR performance relative to the TSR performance of other companies in a comparator index, currently the S&amp;P 500 Index as approved by the Compensation and Talent Committee, over a three-year performance period beginning on March 15, 2022 and ending on March 25, 2025. Target vesting of Relative TSR PRSUs is achieved when ADI’s TSR is at the 50th percentile of the TSRs of the companies in the S&amp;P 500 Index. The actual amount of Relative TSR PRSUs earned can range from 0%-200% of the target amount, corresponding to the percentile attainment of ADI’s TSR as compared to the companies in the S&amp;P 500 Index. The financial metric PRSUs have a performance condition and a service condition, and vest, so long as the executive continues to be employed with us, after the applicable three-year performance period, on the third anniversary of March 15, 2022. The number of shares of the company’s common stock to be issued upon vesting of the financial metric PRSUs on the third anniversary of the grant date will range from 0% to 200% of the target amount, based on the company’s attainment of one-year, two-year cumulative and three-year cumulative non-GAAP operating profit dollar targets set by the Compensation and Talent Committee. This also include PRSUs granted under our 2020 Plan to Mr. Bryant as a new-hire equity awards. Mr. Bryant’s new-hire PRSU equity awards are described above in the </w:t>
      </w:r>
      <w:r>
        <w:rPr>
          <w:rFonts w:ascii="Arial" w:cs="Arial" w:eastAsia="Arial" w:hAnsi="Arial"/>
          <w:sz w:val="16"/>
          <w:szCs w:val="16"/>
          <w:i w:val="1"/>
          <w:iCs w:val="1"/>
          <w:color w:val="auto"/>
        </w:rPr>
        <w:t>Equity Vehicle Structure - New-Hire Equity Awards</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hanging="454"/>
        <w:spacing w:after="0"/>
        <w:tabs>
          <w:tab w:leader="none" w:pos="480" w:val="left"/>
        </w:tabs>
        <w:numPr>
          <w:ilvl w:val="0"/>
          <w:numId w:val="96"/>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11" w:right="339" w:bottom="1083" w:gutter="0" w:footer="0" w:header="0"/>
          <w:type w:val="continuous"/>
        </w:sectPr>
      </w:pPr>
    </w:p>
    <w:bookmarkStart w:id="78" w:name="page79"/>
    <w:bookmarkEnd w:id="78"/>
    <w:p>
      <w:pPr>
        <w:jc w:val="both"/>
        <w:ind w:left="192" w:right="240" w:hanging="192"/>
        <w:spacing w:after="0" w:line="238" w:lineRule="auto"/>
        <w:tabs>
          <w:tab w:leader="none" w:pos="207"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Represents time-based RSUs granted under our 2020 Plan. The time-based RSUs vest, so long as the executive continues to be employed with us, in four equal installments on each of the first, second, third and fourth anniversaries of March 15, 2022, other than the 35,187 time-based RSU granted to Mr. Bryant on March 15, 2022, which are described below in footnote 7. Dividends are not payable on unvested RSUs.</w:t>
      </w:r>
    </w:p>
    <w:p>
      <w:pPr>
        <w:spacing w:after="0" w:line="57" w:lineRule="exact"/>
        <w:rPr>
          <w:rFonts w:ascii="Arial" w:cs="Arial" w:eastAsia="Arial" w:hAnsi="Arial"/>
          <w:sz w:val="21"/>
          <w:szCs w:val="21"/>
          <w:color w:val="auto"/>
          <w:vertAlign w:val="superscript"/>
        </w:rPr>
      </w:pPr>
    </w:p>
    <w:p>
      <w:pPr>
        <w:ind w:left="192" w:right="20" w:hanging="192"/>
        <w:spacing w:after="0" w:line="248" w:lineRule="auto"/>
        <w:tabs>
          <w:tab w:leader="none" w:pos="207"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to Messrs. Roche, Mahendra-Rajah, Bryant and Jain and Ms. Sacks on April 4, 2022 was $211.97. The grant date fair value per share of the financial metric PRSUs granted to Messrs. Roche, Mahendra-Rajah, Bryant and Jain and Ms. Sacks on April 4, 2022 was $155.75. The grant date fair value of financial metric PRSUs represents the value at the grant date based upon the probable outcome of the performance conditions at the date of grant.</w:t>
      </w:r>
    </w:p>
    <w:p>
      <w:pPr>
        <w:spacing w:after="0" w:line="52" w:lineRule="exact"/>
        <w:rPr>
          <w:rFonts w:ascii="Arial" w:cs="Arial" w:eastAsia="Arial" w:hAnsi="Arial"/>
          <w:sz w:val="21"/>
          <w:szCs w:val="21"/>
          <w:color w:val="auto"/>
          <w:vertAlign w:val="superscript"/>
        </w:rPr>
      </w:pPr>
    </w:p>
    <w:p>
      <w:pPr>
        <w:ind w:left="192" w:hanging="192"/>
        <w:spacing w:after="0"/>
        <w:tabs>
          <w:tab w:leader="none" w:pos="207"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The grant date fair value of the time-based RSUs is the value of our common stock on the date of grant, reduced by the present value of dividends expected to be paid on our common stock prior to vesting. For the grants of RSUs on April 4, 2022, the risk free rate was 2.57%, the dividend yield was 1.85% and the grant date fair value per share was $157.21.</w:t>
      </w:r>
    </w:p>
    <w:p>
      <w:pPr>
        <w:spacing w:after="0" w:line="57" w:lineRule="exact"/>
        <w:rPr>
          <w:rFonts w:ascii="Arial" w:cs="Arial" w:eastAsia="Arial" w:hAnsi="Arial"/>
          <w:sz w:val="21"/>
          <w:szCs w:val="21"/>
          <w:color w:val="auto"/>
          <w:vertAlign w:val="superscript"/>
        </w:rPr>
      </w:pPr>
    </w:p>
    <w:p>
      <w:pPr>
        <w:ind w:left="192" w:right="20" w:hanging="192"/>
        <w:spacing w:after="0"/>
        <w:tabs>
          <w:tab w:leader="none" w:pos="207"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 xml:space="preserve">This amount does not represent the actual amount paid to or realized by Mr. Bryant for this award during the fiscal year. This amount represents the grant date fair value of the PRSUs granted under our 2020 Plan to Mr. Bryant as a new-hire equity award. The grant date fair value per share of such PRSUs granted to Mr. Bryant on March 15, 2022 was $87.45. Mr. Bryant’s new-hire equity awards are described above in the </w:t>
      </w:r>
      <w:r>
        <w:rPr>
          <w:rFonts w:ascii="Arial" w:cs="Arial" w:eastAsia="Arial" w:hAnsi="Arial"/>
          <w:sz w:val="16"/>
          <w:szCs w:val="16"/>
          <w:i w:val="1"/>
          <w:iCs w:val="1"/>
          <w:color w:val="auto"/>
        </w:rPr>
        <w:t>Equity Vehicle Structure - New-Hire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section of the</w:t>
      </w:r>
      <w:r>
        <w:rPr>
          <w:rFonts w:ascii="Arial" w:cs="Arial" w:eastAsia="Arial" w:hAnsi="Arial"/>
          <w:sz w:val="16"/>
          <w:szCs w:val="16"/>
          <w:i w:val="1"/>
          <w:iCs w:val="1"/>
          <w:color w:val="auto"/>
        </w:rPr>
        <w:t xml:space="preserve"> Compensation Discussion and Analysis</w:t>
      </w:r>
      <w:r>
        <w:rPr>
          <w:rFonts w:ascii="Arial" w:cs="Arial" w:eastAsia="Arial" w:hAnsi="Arial"/>
          <w:sz w:val="16"/>
          <w:szCs w:val="16"/>
          <w:color w:val="auto"/>
        </w:rPr>
        <w:t>.</w:t>
      </w:r>
    </w:p>
    <w:p>
      <w:pPr>
        <w:spacing w:after="0" w:line="57" w:lineRule="exact"/>
        <w:rPr>
          <w:rFonts w:ascii="Arial" w:cs="Arial" w:eastAsia="Arial" w:hAnsi="Arial"/>
          <w:sz w:val="21"/>
          <w:szCs w:val="21"/>
          <w:color w:val="auto"/>
          <w:vertAlign w:val="superscript"/>
        </w:rPr>
      </w:pPr>
    </w:p>
    <w:p>
      <w:pPr>
        <w:ind w:left="192" w:right="40" w:hanging="192"/>
        <w:spacing w:after="0" w:line="246" w:lineRule="auto"/>
        <w:tabs>
          <w:tab w:leader="none" w:pos="207"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This amount does not represent the actual amount paid to or realized by Mr. Bryant for these awards during the fiscal year. This amount represents the grant date fair value of the time-based RSUs granted under our 2020 Plan to Mr. Bryant as new-hire equity awards. The grant date fair value of the time-based RSUs is the value of our common stock on the date of grant, reduced by the present value of dividends expected to be paid on our common stock prior to vesting. For the 35,187 time-based RSU granted to Mr. Bryant on March 15, 2022, which vest in full on the third anniversary of the grant date, the risk free rate was 2.04%, the dividend yield was 2.01% and the grant date fair value per share was $142.10. For the 34,827 time-based RSUs granted to Mr. Bryant on March 15, 2022, which vest in equal annual installments over a four-year period, the risk free rate was 2.07%, the dividend yield was 2.01% and the grant date fair value per share was $143.57.</w:t>
      </w:r>
    </w:p>
    <w:p>
      <w:pPr>
        <w:spacing w:after="0" w:line="299" w:lineRule="exact"/>
        <w:rPr>
          <w:sz w:val="20"/>
          <w:szCs w:val="20"/>
          <w:color w:val="auto"/>
        </w:rPr>
      </w:pPr>
    </w:p>
    <w:p>
      <w:pPr>
        <w:ind w:left="9152"/>
        <w:spacing w:after="0"/>
        <w:tabs>
          <w:tab w:leader="none" w:pos="10972"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71</w:t>
      </w:r>
    </w:p>
    <w:p>
      <w:pPr>
        <w:sectPr>
          <w:pgSz w:w="11900" w:h="16838" w:orient="portrait"/>
          <w:cols w:equalWidth="0" w:num="1">
            <w:col w:w="11212"/>
          </w:cols>
          <w:pgMar w:left="328" w:top="1178" w:right="359" w:bottom="1440" w:gutter="0" w:footer="0" w:header="0"/>
        </w:sectPr>
      </w:pPr>
    </w:p>
    <w:bookmarkStart w:id="79" w:name="page80"/>
    <w:bookmarkEnd w:id="79"/>
    <w:p>
      <w:pPr>
        <w:spacing w:after="0"/>
        <w:rPr>
          <w:sz w:val="20"/>
          <w:szCs w:val="20"/>
          <w:color w:val="auto"/>
        </w:rPr>
      </w:pPr>
      <w:r>
        <w:rPr>
          <w:rFonts w:ascii="Arial" w:cs="Arial" w:eastAsia="Arial" w:hAnsi="Arial"/>
          <w:sz w:val="32"/>
          <w:szCs w:val="32"/>
          <w:b w:val="1"/>
          <w:bCs w:val="1"/>
          <w:color w:val="auto"/>
        </w:rPr>
        <w:t>Outstanding Equity Awards at Fiscal Year-End 2022</w:t>
      </w:r>
    </w:p>
    <w:p>
      <w:pPr>
        <w:spacing w:after="0" w:line="15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RSUs and PRSUs for each of our NEOs as of October 29,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shd w:val="clear" w:color="auto" w:fill="0067B3"/>
          </w:tcPr>
          <w:p>
            <w:pPr>
              <w:spacing w:after="0"/>
              <w:rPr>
                <w:sz w:val="20"/>
                <w:szCs w:val="20"/>
                <w:color w:val="auto"/>
              </w:rPr>
            </w:pPr>
          </w:p>
        </w:tc>
        <w:tc>
          <w:tcPr>
            <w:tcW w:w="880" w:type="dxa"/>
            <w:vAlign w:val="bottom"/>
            <w:shd w:val="clear" w:color="auto" w:fill="0067B3"/>
          </w:tcPr>
          <w:p>
            <w:pPr>
              <w:spacing w:after="0"/>
              <w:rPr>
                <w:sz w:val="20"/>
                <w:szCs w:val="20"/>
                <w:color w:val="auto"/>
              </w:rPr>
            </w:pPr>
          </w:p>
        </w:tc>
        <w:tc>
          <w:tcPr>
            <w:tcW w:w="1020" w:type="dxa"/>
            <w:vAlign w:val="bottom"/>
            <w:shd w:val="clear" w:color="auto" w:fill="0067B3"/>
          </w:tcPr>
          <w:p>
            <w:pPr>
              <w:spacing w:after="0"/>
              <w:rPr>
                <w:sz w:val="20"/>
                <w:szCs w:val="20"/>
                <w:color w:val="auto"/>
              </w:rPr>
            </w:pPr>
          </w:p>
        </w:tc>
        <w:tc>
          <w:tcPr>
            <w:tcW w:w="2240" w:type="dxa"/>
            <w:vAlign w:val="bottom"/>
            <w:gridSpan w:val="4"/>
            <w:shd w:val="clear" w:color="auto" w:fill="0067B3"/>
          </w:tcPr>
          <w:p>
            <w:pPr>
              <w:jc w:val="right"/>
              <w:ind w:right="300"/>
              <w:spacing w:after="0"/>
              <w:rPr>
                <w:sz w:val="20"/>
                <w:szCs w:val="20"/>
                <w:color w:val="auto"/>
              </w:rPr>
            </w:pPr>
            <w:r>
              <w:rPr>
                <w:rFonts w:ascii="Arial" w:cs="Arial" w:eastAsia="Arial" w:hAnsi="Arial"/>
                <w:sz w:val="15"/>
                <w:szCs w:val="15"/>
                <w:b w:val="1"/>
                <w:bCs w:val="1"/>
                <w:color w:val="FFFFFF"/>
              </w:rPr>
              <w:t>Option Awards</w:t>
            </w:r>
          </w:p>
        </w:tc>
        <w:tc>
          <w:tcPr>
            <w:tcW w:w="720" w:type="dxa"/>
            <w:vAlign w:val="bottom"/>
            <w:shd w:val="clear" w:color="auto" w:fill="0067B3"/>
          </w:tcPr>
          <w:p>
            <w:pPr>
              <w:spacing w:after="0"/>
              <w:rPr>
                <w:sz w:val="20"/>
                <w:szCs w:val="20"/>
                <w:color w:val="auto"/>
              </w:rPr>
            </w:pPr>
          </w:p>
        </w:tc>
        <w:tc>
          <w:tcPr>
            <w:tcW w:w="960" w:type="dxa"/>
            <w:vAlign w:val="bottom"/>
            <w:shd w:val="clear" w:color="auto" w:fill="0067B3"/>
          </w:tcPr>
          <w:p>
            <w:pPr>
              <w:spacing w:after="0"/>
              <w:rPr>
                <w:sz w:val="20"/>
                <w:szCs w:val="20"/>
                <w:color w:val="auto"/>
              </w:rPr>
            </w:pPr>
          </w:p>
        </w:tc>
        <w:tc>
          <w:tcPr>
            <w:tcW w:w="1000" w:type="dxa"/>
            <w:vAlign w:val="bottom"/>
            <w:shd w:val="clear" w:color="auto" w:fill="0067B3"/>
          </w:tcPr>
          <w:p>
            <w:pPr>
              <w:spacing w:after="0"/>
              <w:rPr>
                <w:sz w:val="20"/>
                <w:szCs w:val="20"/>
                <w:color w:val="auto"/>
              </w:rPr>
            </w:pPr>
          </w:p>
        </w:tc>
        <w:tc>
          <w:tcPr>
            <w:tcW w:w="2380" w:type="dxa"/>
            <w:vAlign w:val="bottom"/>
            <w:gridSpan w:val="3"/>
            <w:shd w:val="clear" w:color="auto" w:fill="0067B3"/>
          </w:tcPr>
          <w:p>
            <w:pPr>
              <w:jc w:val="right"/>
              <w:ind w:right="564"/>
              <w:spacing w:after="0"/>
              <w:rPr>
                <w:sz w:val="20"/>
                <w:szCs w:val="20"/>
                <w:color w:val="auto"/>
              </w:rPr>
            </w:pPr>
            <w:r>
              <w:rPr>
                <w:rFonts w:ascii="Arial" w:cs="Arial" w:eastAsia="Arial" w:hAnsi="Arial"/>
                <w:sz w:val="15"/>
                <w:szCs w:val="15"/>
                <w:b w:val="1"/>
                <w:bCs w:val="1"/>
                <w:color w:val="FFFFFF"/>
              </w:rPr>
              <w:t>Stock Awards</w:t>
            </w:r>
          </w:p>
        </w:tc>
        <w:tc>
          <w:tcPr>
            <w:tcW w:w="1120" w:type="dxa"/>
            <w:vAlign w:val="bottom"/>
            <w:shd w:val="clear" w:color="auto" w:fill="0067B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shd w:val="clear" w:color="auto" w:fill="0067B3"/>
          </w:tcPr>
          <w:p>
            <w:pPr>
              <w:spacing w:after="0"/>
              <w:rPr>
                <w:sz w:val="19"/>
                <w:szCs w:val="19"/>
                <w:color w:val="auto"/>
              </w:rPr>
            </w:pPr>
          </w:p>
        </w:tc>
        <w:tc>
          <w:tcPr>
            <w:tcW w:w="880" w:type="dxa"/>
            <w:vAlign w:val="bottom"/>
            <w:shd w:val="clear" w:color="auto" w:fill="0067B3"/>
          </w:tcPr>
          <w:p>
            <w:pPr>
              <w:spacing w:after="0"/>
              <w:rPr>
                <w:sz w:val="19"/>
                <w:szCs w:val="19"/>
                <w:color w:val="auto"/>
              </w:rPr>
            </w:pPr>
          </w:p>
        </w:tc>
        <w:tc>
          <w:tcPr>
            <w:tcW w:w="1020" w:type="dxa"/>
            <w:vAlign w:val="bottom"/>
            <w:shd w:val="clear" w:color="auto" w:fill="0067B3"/>
          </w:tcPr>
          <w:p>
            <w:pPr>
              <w:spacing w:after="0"/>
              <w:rPr>
                <w:sz w:val="19"/>
                <w:szCs w:val="19"/>
                <w:color w:val="auto"/>
              </w:rPr>
            </w:pPr>
          </w:p>
        </w:tc>
        <w:tc>
          <w:tcPr>
            <w:tcW w:w="1180" w:type="dxa"/>
            <w:vAlign w:val="bottom"/>
            <w:shd w:val="clear" w:color="auto" w:fill="0067B3"/>
          </w:tcPr>
          <w:p>
            <w:pPr>
              <w:spacing w:after="0"/>
              <w:rPr>
                <w:sz w:val="19"/>
                <w:szCs w:val="19"/>
                <w:color w:val="auto"/>
              </w:rPr>
            </w:pPr>
          </w:p>
        </w:tc>
        <w:tc>
          <w:tcPr>
            <w:tcW w:w="40" w:type="dxa"/>
            <w:vAlign w:val="bottom"/>
            <w:shd w:val="clear" w:color="auto" w:fill="0067B3"/>
          </w:tcPr>
          <w:p>
            <w:pPr>
              <w:spacing w:after="0"/>
              <w:rPr>
                <w:sz w:val="19"/>
                <w:szCs w:val="19"/>
                <w:color w:val="auto"/>
              </w:rPr>
            </w:pP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Equity</w:t>
            </w:r>
          </w:p>
        </w:tc>
        <w:tc>
          <w:tcPr>
            <w:tcW w:w="720" w:type="dxa"/>
            <w:vAlign w:val="bottom"/>
            <w:shd w:val="clear" w:color="auto" w:fill="0067B3"/>
          </w:tcPr>
          <w:p>
            <w:pPr>
              <w:spacing w:after="0"/>
              <w:rPr>
                <w:sz w:val="19"/>
                <w:szCs w:val="19"/>
                <w:color w:val="auto"/>
              </w:rPr>
            </w:pPr>
          </w:p>
        </w:tc>
        <w:tc>
          <w:tcPr>
            <w:tcW w:w="960" w:type="dxa"/>
            <w:vAlign w:val="bottom"/>
            <w:shd w:val="clear" w:color="auto" w:fill="0067B3"/>
          </w:tcPr>
          <w:p>
            <w:pPr>
              <w:spacing w:after="0"/>
              <w:rPr>
                <w:sz w:val="19"/>
                <w:szCs w:val="19"/>
                <w:color w:val="auto"/>
              </w:rPr>
            </w:pPr>
          </w:p>
        </w:tc>
        <w:tc>
          <w:tcPr>
            <w:tcW w:w="1000" w:type="dxa"/>
            <w:vAlign w:val="bottom"/>
            <w:shd w:val="clear" w:color="auto" w:fill="0067B3"/>
          </w:tcPr>
          <w:p>
            <w:pPr>
              <w:spacing w:after="0"/>
              <w:rPr>
                <w:sz w:val="19"/>
                <w:szCs w:val="19"/>
                <w:color w:val="auto"/>
              </w:rPr>
            </w:pPr>
          </w:p>
        </w:tc>
        <w:tc>
          <w:tcPr>
            <w:tcW w:w="1040" w:type="dxa"/>
            <w:vAlign w:val="bottom"/>
            <w:shd w:val="clear" w:color="auto" w:fill="0067B3"/>
          </w:tcPr>
          <w:p>
            <w:pPr>
              <w:spacing w:after="0"/>
              <w:rPr>
                <w:sz w:val="19"/>
                <w:szCs w:val="19"/>
                <w:color w:val="auto"/>
              </w:rPr>
            </w:pPr>
          </w:p>
        </w:tc>
        <w:tc>
          <w:tcPr>
            <w:tcW w:w="660" w:type="dxa"/>
            <w:vAlign w:val="bottom"/>
            <w:shd w:val="clear" w:color="auto" w:fill="0067B3"/>
          </w:tcPr>
          <w:p>
            <w:pPr>
              <w:spacing w:after="0"/>
              <w:rPr>
                <w:sz w:val="19"/>
                <w:szCs w:val="19"/>
                <w:color w:val="auto"/>
              </w:rPr>
            </w:pPr>
          </w:p>
        </w:tc>
        <w:tc>
          <w:tcPr>
            <w:tcW w:w="680" w:type="dxa"/>
            <w:vAlign w:val="bottom"/>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Equity</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189"/>
        </w:trPr>
        <w:tc>
          <w:tcPr>
            <w:tcW w:w="92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1020" w:type="dxa"/>
            <w:vAlign w:val="bottom"/>
            <w:shd w:val="clear" w:color="auto" w:fill="0067B3"/>
          </w:tcPr>
          <w:p>
            <w:pPr>
              <w:spacing w:after="0"/>
              <w:rPr>
                <w:sz w:val="16"/>
                <w:szCs w:val="16"/>
                <w:color w:val="auto"/>
              </w:rPr>
            </w:pPr>
          </w:p>
        </w:tc>
        <w:tc>
          <w:tcPr>
            <w:tcW w:w="1180" w:type="dxa"/>
            <w:vAlign w:val="bottom"/>
            <w:shd w:val="clear" w:color="auto" w:fill="0067B3"/>
          </w:tcPr>
          <w:p>
            <w:pPr>
              <w:spacing w:after="0"/>
              <w:rPr>
                <w:sz w:val="16"/>
                <w:szCs w:val="16"/>
                <w:color w:val="auto"/>
              </w:rPr>
            </w:pPr>
          </w:p>
        </w:tc>
        <w:tc>
          <w:tcPr>
            <w:tcW w:w="40" w:type="dxa"/>
            <w:vAlign w:val="bottom"/>
            <w:shd w:val="clear" w:color="auto" w:fill="0067B3"/>
          </w:tcPr>
          <w:p>
            <w:pPr>
              <w:spacing w:after="0"/>
              <w:rPr>
                <w:sz w:val="16"/>
                <w:szCs w:val="16"/>
                <w:color w:val="auto"/>
              </w:rPr>
            </w:pP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Incentive</w:t>
            </w:r>
          </w:p>
        </w:tc>
        <w:tc>
          <w:tcPr>
            <w:tcW w:w="72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000" w:type="dxa"/>
            <w:vAlign w:val="bottom"/>
            <w:shd w:val="clear" w:color="auto" w:fill="0067B3"/>
          </w:tcPr>
          <w:p>
            <w:pPr>
              <w:spacing w:after="0"/>
              <w:rPr>
                <w:sz w:val="16"/>
                <w:szCs w:val="16"/>
                <w:color w:val="auto"/>
              </w:rPr>
            </w:pPr>
          </w:p>
        </w:tc>
        <w:tc>
          <w:tcPr>
            <w:tcW w:w="1040" w:type="dxa"/>
            <w:vAlign w:val="bottom"/>
            <w:shd w:val="clear" w:color="auto" w:fill="0067B3"/>
          </w:tcPr>
          <w:p>
            <w:pPr>
              <w:spacing w:after="0"/>
              <w:rPr>
                <w:sz w:val="16"/>
                <w:szCs w:val="16"/>
                <w:color w:val="auto"/>
              </w:rPr>
            </w:pP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Incentive</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Incentive</w:t>
            </w:r>
          </w:p>
        </w:tc>
        <w:tc>
          <w:tcPr>
            <w:tcW w:w="0" w:type="dxa"/>
            <w:vAlign w:val="bottom"/>
          </w:tcPr>
          <w:p>
            <w:pPr>
              <w:spacing w:after="0"/>
              <w:rPr>
                <w:sz w:val="1"/>
                <w:szCs w:val="1"/>
                <w:color w:val="auto"/>
              </w:rPr>
            </w:pPr>
          </w:p>
        </w:tc>
      </w:tr>
      <w:tr>
        <w:trPr>
          <w:trHeight w:val="175"/>
        </w:trPr>
        <w:tc>
          <w:tcPr>
            <w:tcW w:w="92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1020" w:type="dxa"/>
            <w:vAlign w:val="bottom"/>
            <w:shd w:val="clear" w:color="auto" w:fill="0067B3"/>
          </w:tcPr>
          <w:p>
            <w:pPr>
              <w:spacing w:after="0"/>
              <w:rPr>
                <w:sz w:val="15"/>
                <w:szCs w:val="15"/>
                <w:color w:val="auto"/>
              </w:rPr>
            </w:pPr>
          </w:p>
        </w:tc>
        <w:tc>
          <w:tcPr>
            <w:tcW w:w="1180" w:type="dxa"/>
            <w:vAlign w:val="bottom"/>
            <w:shd w:val="clear" w:color="auto" w:fill="0067B3"/>
          </w:tcPr>
          <w:p>
            <w:pPr>
              <w:spacing w:after="0"/>
              <w:rPr>
                <w:sz w:val="15"/>
                <w:szCs w:val="15"/>
                <w:color w:val="auto"/>
              </w:rPr>
            </w:pPr>
          </w:p>
        </w:tc>
        <w:tc>
          <w:tcPr>
            <w:tcW w:w="40" w:type="dxa"/>
            <w:vAlign w:val="bottom"/>
            <w:shd w:val="clear" w:color="auto" w:fill="0067B3"/>
          </w:tcPr>
          <w:p>
            <w:pPr>
              <w:spacing w:after="0"/>
              <w:rPr>
                <w:sz w:val="15"/>
                <w:szCs w:val="15"/>
                <w:color w:val="auto"/>
              </w:rPr>
            </w:pP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Plan Awards:</w:t>
            </w:r>
          </w:p>
        </w:tc>
        <w:tc>
          <w:tcPr>
            <w:tcW w:w="72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000" w:type="dxa"/>
            <w:vAlign w:val="bottom"/>
            <w:shd w:val="clear" w:color="auto" w:fill="0067B3"/>
          </w:tcPr>
          <w:p>
            <w:pPr>
              <w:spacing w:after="0"/>
              <w:rPr>
                <w:sz w:val="15"/>
                <w:szCs w:val="15"/>
                <w:color w:val="auto"/>
              </w:rPr>
            </w:pPr>
          </w:p>
        </w:tc>
        <w:tc>
          <w:tcPr>
            <w:tcW w:w="1040" w:type="dxa"/>
            <w:vAlign w:val="bottom"/>
            <w:shd w:val="clear" w:color="auto" w:fill="0067B3"/>
          </w:tcPr>
          <w:p>
            <w:pPr>
              <w:spacing w:after="0"/>
              <w:rPr>
                <w:sz w:val="15"/>
                <w:szCs w:val="15"/>
                <w:color w:val="auto"/>
              </w:rPr>
            </w:pP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Plan Awards:</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Plan Awards:</w:t>
            </w:r>
          </w:p>
        </w:tc>
        <w:tc>
          <w:tcPr>
            <w:tcW w:w="0" w:type="dxa"/>
            <w:vAlign w:val="bottom"/>
          </w:tcPr>
          <w:p>
            <w:pPr>
              <w:spacing w:after="0"/>
              <w:rPr>
                <w:sz w:val="1"/>
                <w:szCs w:val="1"/>
                <w:color w:val="auto"/>
              </w:rPr>
            </w:pPr>
          </w:p>
        </w:tc>
      </w:tr>
      <w:tr>
        <w:trPr>
          <w:trHeight w:val="189"/>
        </w:trPr>
        <w:tc>
          <w:tcPr>
            <w:tcW w:w="92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1020" w:type="dxa"/>
            <w:vAlign w:val="bottom"/>
            <w:vMerge w:val="restart"/>
            <w:shd w:val="clear" w:color="auto" w:fill="0067B3"/>
          </w:tcPr>
          <w:p>
            <w:pPr>
              <w:jc w:val="right"/>
              <w:spacing w:after="0"/>
              <w:rPr>
                <w:sz w:val="20"/>
                <w:szCs w:val="20"/>
                <w:color w:val="auto"/>
              </w:rPr>
            </w:pPr>
            <w:r>
              <w:rPr>
                <w:rFonts w:ascii="Arial" w:cs="Arial" w:eastAsia="Arial" w:hAnsi="Arial"/>
                <w:sz w:val="15"/>
                <w:szCs w:val="15"/>
                <w:b w:val="1"/>
                <w:bCs w:val="1"/>
                <w:color w:val="FFFFFF"/>
              </w:rPr>
              <w:t>Number of</w:t>
            </w:r>
          </w:p>
        </w:tc>
        <w:tc>
          <w:tcPr>
            <w:tcW w:w="1220" w:type="dxa"/>
            <w:vAlign w:val="bottom"/>
            <w:gridSpan w:val="2"/>
            <w:vMerge w:val="restart"/>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Number of</w:t>
            </w: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Number of</w:t>
            </w:r>
          </w:p>
        </w:tc>
        <w:tc>
          <w:tcPr>
            <w:tcW w:w="72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Number</w:t>
            </w:r>
          </w:p>
        </w:tc>
        <w:tc>
          <w:tcPr>
            <w:tcW w:w="1040" w:type="dxa"/>
            <w:vAlign w:val="bottom"/>
            <w:vMerge w:val="restart"/>
            <w:shd w:val="clear" w:color="auto" w:fill="0067B3"/>
          </w:tcPr>
          <w:p>
            <w:pPr>
              <w:jc w:val="right"/>
              <w:spacing w:after="0"/>
              <w:rPr>
                <w:sz w:val="20"/>
                <w:szCs w:val="20"/>
                <w:color w:val="auto"/>
              </w:rPr>
            </w:pPr>
            <w:r>
              <w:rPr>
                <w:rFonts w:ascii="Arial" w:cs="Arial" w:eastAsia="Arial" w:hAnsi="Arial"/>
                <w:sz w:val="15"/>
                <w:szCs w:val="15"/>
                <w:b w:val="1"/>
                <w:bCs w:val="1"/>
                <w:color w:val="FFFFFF"/>
              </w:rPr>
              <w:t>Market Value</w:t>
            </w: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Number of</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76"/>
        </w:trPr>
        <w:tc>
          <w:tcPr>
            <w:tcW w:w="92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1020" w:type="dxa"/>
            <w:vAlign w:val="bottom"/>
            <w:vMerge w:val="continue"/>
            <w:shd w:val="clear" w:color="auto" w:fill="0067B3"/>
          </w:tcPr>
          <w:p>
            <w:pPr>
              <w:spacing w:after="0"/>
              <w:rPr>
                <w:sz w:val="15"/>
                <w:szCs w:val="15"/>
                <w:color w:val="auto"/>
              </w:rPr>
            </w:pPr>
          </w:p>
        </w:tc>
        <w:tc>
          <w:tcPr>
            <w:tcW w:w="1220" w:type="dxa"/>
            <w:vAlign w:val="bottom"/>
            <w:gridSpan w:val="2"/>
            <w:vMerge w:val="continue"/>
            <w:shd w:val="clear" w:color="auto" w:fill="0067B3"/>
          </w:tcPr>
          <w:p>
            <w:pPr>
              <w:spacing w:after="0"/>
              <w:rPr>
                <w:sz w:val="15"/>
                <w:szCs w:val="15"/>
                <w:color w:val="auto"/>
              </w:rPr>
            </w:pP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Securities</w:t>
            </w:r>
          </w:p>
        </w:tc>
        <w:tc>
          <w:tcPr>
            <w:tcW w:w="72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w:t>
            </w:r>
          </w:p>
        </w:tc>
        <w:tc>
          <w:tcPr>
            <w:tcW w:w="1040" w:type="dxa"/>
            <w:vAlign w:val="bottom"/>
            <w:vMerge w:val="continue"/>
            <w:shd w:val="clear" w:color="auto" w:fill="0067B3"/>
          </w:tcPr>
          <w:p>
            <w:pPr>
              <w:spacing w:after="0"/>
              <w:rPr>
                <w:sz w:val="15"/>
                <w:szCs w:val="15"/>
                <w:color w:val="auto"/>
              </w:rPr>
            </w:pP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Unearned</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Payout Value</w:t>
            </w:r>
          </w:p>
        </w:tc>
        <w:tc>
          <w:tcPr>
            <w:tcW w:w="0" w:type="dxa"/>
            <w:vAlign w:val="bottom"/>
          </w:tcPr>
          <w:p>
            <w:pPr>
              <w:spacing w:after="0"/>
              <w:rPr>
                <w:sz w:val="1"/>
                <w:szCs w:val="1"/>
                <w:color w:val="auto"/>
              </w:rPr>
            </w:pPr>
          </w:p>
        </w:tc>
      </w:tr>
      <w:tr>
        <w:trPr>
          <w:trHeight w:val="189"/>
        </w:trPr>
        <w:tc>
          <w:tcPr>
            <w:tcW w:w="92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Securities</w:t>
            </w:r>
          </w:p>
        </w:tc>
        <w:tc>
          <w:tcPr>
            <w:tcW w:w="12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Securities</w:t>
            </w: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Underlying</w:t>
            </w:r>
          </w:p>
        </w:tc>
        <w:tc>
          <w:tcPr>
            <w:tcW w:w="720" w:type="dxa"/>
            <w:vAlign w:val="bottom"/>
            <w:shd w:val="clear" w:color="auto" w:fill="0067B3"/>
          </w:tcPr>
          <w:p>
            <w:pPr>
              <w:spacing w:after="0"/>
              <w:rPr>
                <w:sz w:val="16"/>
                <w:szCs w:val="16"/>
                <w:color w:val="auto"/>
              </w:rPr>
            </w:pPr>
          </w:p>
        </w:tc>
        <w:tc>
          <w:tcPr>
            <w:tcW w:w="960" w:type="dxa"/>
            <w:vAlign w:val="bottom"/>
            <w:shd w:val="clear" w:color="auto" w:fill="0067B3"/>
          </w:tcPr>
          <w:p>
            <w:pPr>
              <w:spacing w:after="0"/>
              <w:rPr>
                <w:sz w:val="16"/>
                <w:szCs w:val="16"/>
                <w:color w:val="auto"/>
              </w:rPr>
            </w:pP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or Units/</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Shares or</w:t>
            </w: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Shares, Units,</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of Unearned</w:t>
            </w:r>
          </w:p>
        </w:tc>
        <w:tc>
          <w:tcPr>
            <w:tcW w:w="0" w:type="dxa"/>
            <w:vAlign w:val="bottom"/>
          </w:tcPr>
          <w:p>
            <w:pPr>
              <w:spacing w:after="0"/>
              <w:rPr>
                <w:sz w:val="1"/>
                <w:szCs w:val="1"/>
                <w:color w:val="auto"/>
              </w:rPr>
            </w:pPr>
          </w:p>
        </w:tc>
      </w:tr>
      <w:tr>
        <w:trPr>
          <w:trHeight w:val="176"/>
        </w:trPr>
        <w:tc>
          <w:tcPr>
            <w:tcW w:w="92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Underlying</w:t>
            </w:r>
          </w:p>
        </w:tc>
        <w:tc>
          <w:tcPr>
            <w:tcW w:w="12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Underlying</w:t>
            </w: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Unexercised</w:t>
            </w:r>
          </w:p>
        </w:tc>
        <w:tc>
          <w:tcPr>
            <w:tcW w:w="720" w:type="dxa"/>
            <w:vAlign w:val="bottom"/>
            <w:shd w:val="clear" w:color="auto" w:fill="0067B3"/>
          </w:tcPr>
          <w:p>
            <w:pPr>
              <w:spacing w:after="0"/>
              <w:rPr>
                <w:sz w:val="15"/>
                <w:szCs w:val="15"/>
                <w:color w:val="auto"/>
              </w:rPr>
            </w:pPr>
          </w:p>
        </w:tc>
        <w:tc>
          <w:tcPr>
            <w:tcW w:w="960" w:type="dxa"/>
            <w:vAlign w:val="bottom"/>
            <w:shd w:val="clear" w:color="auto" w:fill="0067B3"/>
          </w:tcPr>
          <w:p>
            <w:pPr>
              <w:spacing w:after="0"/>
              <w:rPr>
                <w:sz w:val="15"/>
                <w:szCs w:val="15"/>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Awards of Units/Awards</w:t>
            </w:r>
          </w:p>
        </w:tc>
        <w:tc>
          <w:tcPr>
            <w:tcW w:w="660" w:type="dxa"/>
            <w:vAlign w:val="bottom"/>
            <w:shd w:val="clear" w:color="auto" w:fill="0067B3"/>
          </w:tcPr>
          <w:p>
            <w:pPr>
              <w:spacing w:after="0"/>
              <w:rPr>
                <w:sz w:val="15"/>
                <w:szCs w:val="15"/>
                <w:color w:val="auto"/>
              </w:rPr>
            </w:pPr>
          </w:p>
        </w:tc>
        <w:tc>
          <w:tcPr>
            <w:tcW w:w="680" w:type="dxa"/>
            <w:vAlign w:val="bottom"/>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or Other</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Shares, Units</w:t>
            </w:r>
          </w:p>
        </w:tc>
        <w:tc>
          <w:tcPr>
            <w:tcW w:w="0" w:type="dxa"/>
            <w:vAlign w:val="bottom"/>
          </w:tcPr>
          <w:p>
            <w:pPr>
              <w:spacing w:after="0"/>
              <w:rPr>
                <w:sz w:val="1"/>
                <w:szCs w:val="1"/>
                <w:color w:val="auto"/>
              </w:rPr>
            </w:pPr>
          </w:p>
        </w:tc>
      </w:tr>
      <w:tr>
        <w:trPr>
          <w:trHeight w:val="189"/>
        </w:trPr>
        <w:tc>
          <w:tcPr>
            <w:tcW w:w="920" w:type="dxa"/>
            <w:vAlign w:val="bottom"/>
            <w:shd w:val="clear" w:color="auto" w:fill="0067B3"/>
          </w:tcPr>
          <w:p>
            <w:pPr>
              <w:spacing w:after="0"/>
              <w:rPr>
                <w:sz w:val="16"/>
                <w:szCs w:val="16"/>
                <w:color w:val="auto"/>
              </w:rPr>
            </w:pPr>
          </w:p>
        </w:tc>
        <w:tc>
          <w:tcPr>
            <w:tcW w:w="880" w:type="dxa"/>
            <w:vAlign w:val="bottom"/>
            <w:shd w:val="clear" w:color="auto" w:fill="0067B3"/>
          </w:tcPr>
          <w:p>
            <w:pPr>
              <w:spacing w:after="0"/>
              <w:rPr>
                <w:sz w:val="16"/>
                <w:szCs w:val="16"/>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Unexercised</w:t>
            </w:r>
          </w:p>
        </w:tc>
        <w:tc>
          <w:tcPr>
            <w:tcW w:w="12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Unexercised</w:t>
            </w: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Unearned</w:t>
            </w:r>
          </w:p>
        </w:tc>
        <w:tc>
          <w:tcPr>
            <w:tcW w:w="7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w:t>
            </w:r>
          </w:p>
        </w:tc>
        <w:tc>
          <w:tcPr>
            <w:tcW w:w="960" w:type="dxa"/>
            <w:vAlign w:val="bottom"/>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Option</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5"/>
                <w:szCs w:val="15"/>
                <w:b w:val="1"/>
                <w:bCs w:val="1"/>
                <w:color w:val="FFFFFF"/>
              </w:rPr>
              <w:t>Stock That of Stock That</w:t>
            </w:r>
          </w:p>
        </w:tc>
        <w:tc>
          <w:tcPr>
            <w:tcW w:w="2460" w:type="dxa"/>
            <w:vAlign w:val="bottom"/>
            <w:gridSpan w:val="3"/>
            <w:shd w:val="clear" w:color="auto" w:fill="0067B3"/>
          </w:tcPr>
          <w:p>
            <w:pPr>
              <w:jc w:val="right"/>
              <w:spacing w:after="0"/>
              <w:rPr>
                <w:sz w:val="20"/>
                <w:szCs w:val="20"/>
                <w:color w:val="auto"/>
              </w:rPr>
            </w:pPr>
            <w:r>
              <w:rPr>
                <w:rFonts w:ascii="Arial" w:cs="Arial" w:eastAsia="Arial" w:hAnsi="Arial"/>
                <w:sz w:val="15"/>
                <w:szCs w:val="15"/>
                <w:b w:val="1"/>
                <w:bCs w:val="1"/>
                <w:color w:val="FFFFFF"/>
              </w:rPr>
              <w:t>Rights That or Other Rights</w:t>
            </w:r>
          </w:p>
        </w:tc>
        <w:tc>
          <w:tcPr>
            <w:tcW w:w="0" w:type="dxa"/>
            <w:vAlign w:val="bottom"/>
          </w:tcPr>
          <w:p>
            <w:pPr>
              <w:spacing w:after="0"/>
              <w:rPr>
                <w:sz w:val="1"/>
                <w:szCs w:val="1"/>
                <w:color w:val="auto"/>
              </w:rPr>
            </w:pPr>
          </w:p>
        </w:tc>
      </w:tr>
      <w:tr>
        <w:trPr>
          <w:trHeight w:val="175"/>
        </w:trPr>
        <w:tc>
          <w:tcPr>
            <w:tcW w:w="920" w:type="dxa"/>
            <w:vAlign w:val="bottom"/>
            <w:shd w:val="clear" w:color="auto" w:fill="0067B3"/>
          </w:tcPr>
          <w:p>
            <w:pPr>
              <w:spacing w:after="0"/>
              <w:rPr>
                <w:sz w:val="15"/>
                <w:szCs w:val="15"/>
                <w:color w:val="auto"/>
              </w:rPr>
            </w:pPr>
          </w:p>
        </w:tc>
        <w:tc>
          <w:tcPr>
            <w:tcW w:w="880" w:type="dxa"/>
            <w:vAlign w:val="bottom"/>
            <w:shd w:val="clear" w:color="auto" w:fill="0067B3"/>
          </w:tcPr>
          <w:p>
            <w:pPr>
              <w:spacing w:after="0"/>
              <w:rPr>
                <w:sz w:val="15"/>
                <w:szCs w:val="15"/>
                <w:color w:val="auto"/>
              </w:rPr>
            </w:pPr>
          </w:p>
        </w:tc>
        <w:tc>
          <w:tcPr>
            <w:tcW w:w="10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Options (#)</w:t>
            </w:r>
          </w:p>
        </w:tc>
        <w:tc>
          <w:tcPr>
            <w:tcW w:w="1220" w:type="dxa"/>
            <w:vAlign w:val="bottom"/>
            <w:gridSpan w:val="2"/>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Options (#)</w:t>
            </w:r>
          </w:p>
        </w:tc>
        <w:tc>
          <w:tcPr>
            <w:tcW w:w="1020" w:type="dxa"/>
            <w:vAlign w:val="bottom"/>
            <w:gridSpan w:val="2"/>
            <w:shd w:val="clear" w:color="auto" w:fill="0067B3"/>
          </w:tcPr>
          <w:p>
            <w:pPr>
              <w:jc w:val="right"/>
              <w:ind w:right="40"/>
              <w:spacing w:after="0"/>
              <w:rPr>
                <w:sz w:val="20"/>
                <w:szCs w:val="20"/>
                <w:color w:val="auto"/>
              </w:rPr>
            </w:pPr>
            <w:r>
              <w:rPr>
                <w:rFonts w:ascii="Arial" w:cs="Arial" w:eastAsia="Arial" w:hAnsi="Arial"/>
                <w:sz w:val="15"/>
                <w:szCs w:val="15"/>
                <w:b w:val="1"/>
                <w:bCs w:val="1"/>
                <w:color w:val="FFFFFF"/>
              </w:rPr>
              <w:t>Options</w:t>
            </w:r>
          </w:p>
        </w:tc>
        <w:tc>
          <w:tcPr>
            <w:tcW w:w="7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Exercise</w:t>
            </w:r>
          </w:p>
        </w:tc>
        <w:tc>
          <w:tcPr>
            <w:tcW w:w="960" w:type="dxa"/>
            <w:vAlign w:val="bottom"/>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Expiration</w:t>
            </w:r>
          </w:p>
        </w:tc>
        <w:tc>
          <w:tcPr>
            <w:tcW w:w="100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04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Have Not</w:t>
            </w:r>
          </w:p>
        </w:tc>
        <w:tc>
          <w:tcPr>
            <w:tcW w:w="1340" w:type="dxa"/>
            <w:vAlign w:val="bottom"/>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Have Not</w:t>
            </w:r>
          </w:p>
        </w:tc>
        <w:tc>
          <w:tcPr>
            <w:tcW w:w="1120" w:type="dxa"/>
            <w:vAlign w:val="bottom"/>
            <w:shd w:val="clear" w:color="auto" w:fill="0067B3"/>
          </w:tcPr>
          <w:p>
            <w:pPr>
              <w:jc w:val="right"/>
              <w:spacing w:after="0"/>
              <w:rPr>
                <w:sz w:val="20"/>
                <w:szCs w:val="20"/>
                <w:color w:val="auto"/>
              </w:rPr>
            </w:pPr>
            <w:r>
              <w:rPr>
                <w:rFonts w:ascii="Arial" w:cs="Arial" w:eastAsia="Arial" w:hAnsi="Arial"/>
                <w:sz w:val="15"/>
                <w:szCs w:val="15"/>
                <w:b w:val="1"/>
                <w:bCs w:val="1"/>
                <w:color w:val="FFFFFF"/>
              </w:rPr>
              <w:t>That Have Not</w:t>
            </w:r>
          </w:p>
        </w:tc>
        <w:tc>
          <w:tcPr>
            <w:tcW w:w="0" w:type="dxa"/>
            <w:vAlign w:val="bottom"/>
          </w:tcPr>
          <w:p>
            <w:pPr>
              <w:spacing w:after="0"/>
              <w:rPr>
                <w:sz w:val="1"/>
                <w:szCs w:val="1"/>
                <w:color w:val="auto"/>
              </w:rPr>
            </w:pPr>
          </w:p>
        </w:tc>
      </w:tr>
      <w:tr>
        <w:trPr>
          <w:trHeight w:val="235"/>
        </w:trPr>
        <w:tc>
          <w:tcPr>
            <w:tcW w:w="92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5"/>
                <w:szCs w:val="15"/>
                <w:b w:val="1"/>
                <w:bCs w:val="1"/>
                <w:color w:val="FFFFFF"/>
              </w:rPr>
              <w:t>Name</w:t>
            </w:r>
          </w:p>
        </w:tc>
        <w:tc>
          <w:tcPr>
            <w:tcW w:w="8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5"/>
                <w:szCs w:val="15"/>
                <w:b w:val="1"/>
                <w:bCs w:val="1"/>
                <w:color w:val="FFFFFF"/>
              </w:rPr>
              <w:t>Grant Date</w:t>
            </w:r>
          </w:p>
        </w:tc>
        <w:tc>
          <w:tcPr>
            <w:tcW w:w="2240" w:type="dxa"/>
            <w:vAlign w:val="bottom"/>
            <w:tcBorders>
              <w:bottom w:val="single" w:sz="8" w:color="auto"/>
            </w:tcBorders>
            <w:gridSpan w:val="3"/>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Exercisable Unexercisable</w:t>
            </w:r>
            <w:r>
              <w:rPr>
                <w:rFonts w:ascii="Arial" w:cs="Arial" w:eastAsia="Arial" w:hAnsi="Arial"/>
                <w:sz w:val="19"/>
                <w:szCs w:val="19"/>
                <w:b w:val="1"/>
                <w:bCs w:val="1"/>
                <w:color w:val="FFFFFF"/>
                <w:vertAlign w:val="superscript"/>
              </w:rPr>
              <w:t>(1)</w:t>
            </w:r>
          </w:p>
        </w:tc>
        <w:tc>
          <w:tcPr>
            <w:tcW w:w="1740" w:type="dxa"/>
            <w:vAlign w:val="bottom"/>
            <w:tcBorders>
              <w:bottom w:val="single" w:sz="8" w:color="auto"/>
            </w:tcBorders>
            <w:gridSpan w:val="3"/>
            <w:shd w:val="clear" w:color="auto" w:fill="0067B3"/>
          </w:tcPr>
          <w:p>
            <w:pPr>
              <w:jc w:val="right"/>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9"/>
                <w:szCs w:val="19"/>
                <w:b w:val="1"/>
                <w:bCs w:val="1"/>
                <w:color w:val="FFFFFF"/>
                <w:vertAlign w:val="superscript"/>
              </w:rPr>
              <w:t>(2)</w:t>
            </w:r>
            <w:r>
              <w:rPr>
                <w:rFonts w:ascii="Arial" w:cs="Arial" w:eastAsia="Arial" w:hAnsi="Arial"/>
                <w:sz w:val="15"/>
                <w:szCs w:val="15"/>
                <w:b w:val="1"/>
                <w:bCs w:val="1"/>
                <w:color w:val="FFFFFF"/>
              </w:rPr>
              <w:t xml:space="preserve">  Price ($)</w:t>
            </w:r>
          </w:p>
        </w:tc>
        <w:tc>
          <w:tcPr>
            <w:tcW w:w="960" w:type="dxa"/>
            <w:vAlign w:val="bottom"/>
            <w:tcBorders>
              <w:bottom w:val="single" w:sz="8" w:color="auto"/>
            </w:tcBorders>
            <w:shd w:val="clear" w:color="auto" w:fill="0067B3"/>
          </w:tcPr>
          <w:p>
            <w:pPr>
              <w:jc w:val="right"/>
              <w:ind w:right="20"/>
              <w:spacing w:after="0"/>
              <w:rPr>
                <w:sz w:val="20"/>
                <w:szCs w:val="20"/>
                <w:color w:val="auto"/>
              </w:rPr>
            </w:pPr>
            <w:r>
              <w:rPr>
                <w:rFonts w:ascii="Arial" w:cs="Arial" w:eastAsia="Arial" w:hAnsi="Arial"/>
                <w:sz w:val="15"/>
                <w:szCs w:val="15"/>
                <w:b w:val="1"/>
                <w:bCs w:val="1"/>
                <w:color w:val="FFFFFF"/>
              </w:rPr>
              <w:t>Date</w:t>
            </w:r>
            <w:r>
              <w:rPr>
                <w:rFonts w:ascii="Arial" w:cs="Arial" w:eastAsia="Arial" w:hAnsi="Arial"/>
                <w:sz w:val="19"/>
                <w:szCs w:val="19"/>
                <w:b w:val="1"/>
                <w:bCs w:val="1"/>
                <w:color w:val="FFFFFF"/>
                <w:vertAlign w:val="superscript"/>
              </w:rPr>
              <w:t>(3)</w:t>
            </w:r>
          </w:p>
        </w:tc>
        <w:tc>
          <w:tcPr>
            <w:tcW w:w="100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(4)</w:t>
            </w:r>
          </w:p>
        </w:tc>
        <w:tc>
          <w:tcPr>
            <w:tcW w:w="10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(5)</w:t>
            </w:r>
          </w:p>
        </w:tc>
        <w:tc>
          <w:tcPr>
            <w:tcW w:w="1340" w:type="dxa"/>
            <w:vAlign w:val="bottom"/>
            <w:tcBorders>
              <w:bottom w:val="single" w:sz="8" w:color="auto"/>
            </w:tcBorders>
            <w:gridSpan w:val="2"/>
            <w:shd w:val="clear" w:color="auto" w:fill="0067B3"/>
          </w:tcPr>
          <w:p>
            <w:pPr>
              <w:jc w:val="right"/>
              <w:ind w:right="4"/>
              <w:spacing w:after="0"/>
              <w:rPr>
                <w:sz w:val="20"/>
                <w:szCs w:val="20"/>
                <w:color w:val="auto"/>
              </w:rPr>
            </w:pPr>
            <w:r>
              <w:rPr>
                <w:rFonts w:ascii="Arial" w:cs="Arial" w:eastAsia="Arial" w:hAnsi="Arial"/>
                <w:sz w:val="15"/>
                <w:szCs w:val="15"/>
                <w:b w:val="1"/>
                <w:bCs w:val="1"/>
                <w:color w:val="FFFFFF"/>
              </w:rPr>
              <w:t>Vested (#)</w:t>
            </w:r>
          </w:p>
        </w:tc>
        <w:tc>
          <w:tcPr>
            <w:tcW w:w="112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5"/>
                <w:szCs w:val="15"/>
                <w:b w:val="1"/>
                <w:bCs w:val="1"/>
                <w:color w:val="FFFFFF"/>
              </w:rPr>
              <w:t>Vested ($)</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221"/>
        </w:trPr>
        <w:tc>
          <w:tcPr>
            <w:tcW w:w="920" w:type="dxa"/>
            <w:vAlign w:val="bottom"/>
            <w:shd w:val="clear" w:color="auto" w:fill="E2E6F4"/>
          </w:tcPr>
          <w:p>
            <w:pPr>
              <w:spacing w:after="0"/>
              <w:rPr>
                <w:sz w:val="19"/>
                <w:szCs w:val="19"/>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3/8/2017</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114,356</w:t>
            </w:r>
          </w:p>
        </w:tc>
        <w:tc>
          <w:tcPr>
            <w:tcW w:w="12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83.48</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3/8/2027</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6F4"/>
          </w:tcPr>
          <w:p>
            <w:pPr>
              <w:spacing w:after="0"/>
              <w:rPr>
                <w:sz w:val="19"/>
                <w:szCs w:val="19"/>
                <w:color w:val="auto"/>
              </w:rPr>
            </w:pP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3/29/2018</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110,661</w:t>
            </w:r>
          </w:p>
        </w:tc>
        <w:tc>
          <w:tcPr>
            <w:tcW w:w="12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91.13</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3/29/2028</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6F4"/>
          </w:tcPr>
          <w:p>
            <w:pPr>
              <w:spacing w:after="0"/>
              <w:rPr>
                <w:sz w:val="21"/>
                <w:szCs w:val="21"/>
                <w:color w:val="auto"/>
              </w:rPr>
            </w:pP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67B3"/>
              </w:rPr>
              <w:t>Vincent</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3/13/2019</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75,602</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25,201</w:t>
            </w:r>
          </w:p>
        </w:tc>
        <w:tc>
          <w:tcPr>
            <w:tcW w:w="40" w:type="dxa"/>
            <w:vAlign w:val="bottom"/>
            <w:shd w:val="clear" w:color="auto" w:fill="E2E6F4"/>
          </w:tcPr>
          <w:p>
            <w:pPr>
              <w:spacing w:after="0"/>
              <w:rPr>
                <w:sz w:val="21"/>
                <w:szCs w:val="21"/>
                <w:color w:val="auto"/>
              </w:rPr>
            </w:pPr>
          </w:p>
        </w:tc>
        <w:tc>
          <w:tcPr>
            <w:tcW w:w="10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108.08</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3/13/2029</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5,691</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824,512</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6F4"/>
          </w:tcPr>
          <w:p>
            <w:pPr>
              <w:spacing w:after="0"/>
              <w:rPr>
                <w:sz w:val="21"/>
                <w:szCs w:val="21"/>
                <w:color w:val="auto"/>
              </w:rPr>
            </w:pP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3"/>
        </w:trPr>
        <w:tc>
          <w:tcPr>
            <w:tcW w:w="920" w:type="dxa"/>
            <w:vAlign w:val="bottom"/>
            <w:vMerge w:val="continue"/>
            <w:shd w:val="clear" w:color="auto" w:fill="E2E6F4"/>
          </w:tcPr>
          <w:p>
            <w:pPr>
              <w:spacing w:after="0"/>
              <w:rPr>
                <w:sz w:val="10"/>
                <w:szCs w:val="10"/>
                <w:color w:val="auto"/>
              </w:rPr>
            </w:pPr>
          </w:p>
        </w:tc>
        <w:tc>
          <w:tcPr>
            <w:tcW w:w="8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3/11/2020</w:t>
            </w:r>
          </w:p>
        </w:tc>
        <w:tc>
          <w:tcPr>
            <w:tcW w:w="10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67,310</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67,310</w:t>
            </w:r>
          </w:p>
        </w:tc>
        <w:tc>
          <w:tcPr>
            <w:tcW w:w="40" w:type="dxa"/>
            <w:vAlign w:val="bottom"/>
            <w:shd w:val="clear" w:color="auto" w:fill="E2E6F4"/>
          </w:tcPr>
          <w:p>
            <w:pPr>
              <w:spacing w:after="0"/>
              <w:rPr>
                <w:sz w:val="10"/>
                <w:szCs w:val="10"/>
                <w:color w:val="auto"/>
              </w:rPr>
            </w:pPr>
          </w:p>
        </w:tc>
        <w:tc>
          <w:tcPr>
            <w:tcW w:w="1020" w:type="dxa"/>
            <w:vAlign w:val="bottom"/>
            <w:gridSpan w:val="2"/>
            <w:vMerge w:val="restart"/>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94.41</w:t>
            </w:r>
          </w:p>
        </w:tc>
        <w:tc>
          <w:tcPr>
            <w:tcW w:w="96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3/11/2030</w:t>
            </w:r>
          </w:p>
        </w:tc>
        <w:tc>
          <w:tcPr>
            <w:tcW w:w="10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13,684</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1,982,538</w:t>
            </w:r>
          </w:p>
        </w:tc>
        <w:tc>
          <w:tcPr>
            <w:tcW w:w="6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80,762</w:t>
            </w:r>
          </w:p>
        </w:tc>
        <w:tc>
          <w:tcPr>
            <w:tcW w:w="680" w:type="dxa"/>
            <w:vAlign w:val="bottom"/>
            <w:vMerge w:val="restart"/>
            <w:shd w:val="clear" w:color="auto" w:fill="E2E6F4"/>
          </w:tcPr>
          <w:p>
            <w:pPr>
              <w:jc w:val="right"/>
              <w:ind w:right="4"/>
              <w:spacing w:after="0"/>
              <w:rPr>
                <w:sz w:val="20"/>
                <w:szCs w:val="20"/>
                <w:color w:val="auto"/>
              </w:rPr>
            </w:pPr>
            <w:r>
              <w:rPr>
                <w:rFonts w:ascii="Arial" w:cs="Arial" w:eastAsia="Arial" w:hAnsi="Arial"/>
                <w:sz w:val="11"/>
                <w:szCs w:val="11"/>
                <w:color w:val="auto"/>
              </w:rPr>
              <w:t>(6),(7)</w:t>
            </w: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11,700,799</w:t>
            </w:r>
          </w:p>
        </w:tc>
        <w:tc>
          <w:tcPr>
            <w:tcW w:w="0" w:type="dxa"/>
            <w:vAlign w:val="bottom"/>
          </w:tcPr>
          <w:p>
            <w:pPr>
              <w:spacing w:after="0"/>
              <w:rPr>
                <w:sz w:val="1"/>
                <w:szCs w:val="1"/>
                <w:color w:val="auto"/>
              </w:rPr>
            </w:pPr>
          </w:p>
        </w:tc>
      </w:tr>
      <w:tr>
        <w:trPr>
          <w:trHeight w:val="120"/>
        </w:trPr>
        <w:tc>
          <w:tcPr>
            <w:tcW w:w="920" w:type="dxa"/>
            <w:vAlign w:val="bottom"/>
            <w:vMerge w:val="restart"/>
            <w:shd w:val="clear" w:color="auto" w:fill="E2E6F4"/>
          </w:tcPr>
          <w:p>
            <w:pPr>
              <w:ind w:left="20"/>
              <w:spacing w:after="0"/>
              <w:rPr>
                <w:sz w:val="20"/>
                <w:szCs w:val="20"/>
                <w:color w:val="auto"/>
              </w:rPr>
            </w:pPr>
            <w:r>
              <w:rPr>
                <w:rFonts w:ascii="Arial" w:cs="Arial" w:eastAsia="Arial" w:hAnsi="Arial"/>
                <w:sz w:val="16"/>
                <w:szCs w:val="16"/>
                <w:b w:val="1"/>
                <w:bCs w:val="1"/>
                <w:color w:val="0067B3"/>
              </w:rPr>
              <w:t>Roche</w:t>
            </w:r>
          </w:p>
        </w:tc>
        <w:tc>
          <w:tcPr>
            <w:tcW w:w="880" w:type="dxa"/>
            <w:vAlign w:val="bottom"/>
            <w:vMerge w:val="continue"/>
            <w:shd w:val="clear" w:color="auto" w:fill="E2E6F4"/>
          </w:tcPr>
          <w:p>
            <w:pPr>
              <w:spacing w:after="0"/>
              <w:rPr>
                <w:sz w:val="10"/>
                <w:szCs w:val="10"/>
                <w:color w:val="auto"/>
              </w:rPr>
            </w:pPr>
          </w:p>
        </w:tc>
        <w:tc>
          <w:tcPr>
            <w:tcW w:w="1020" w:type="dxa"/>
            <w:vAlign w:val="bottom"/>
            <w:vMerge w:val="continue"/>
            <w:shd w:val="clear" w:color="auto" w:fill="E2E6F4"/>
          </w:tcPr>
          <w:p>
            <w:pPr>
              <w:spacing w:after="0"/>
              <w:rPr>
                <w:sz w:val="10"/>
                <w:szCs w:val="10"/>
                <w:color w:val="auto"/>
              </w:rPr>
            </w:pPr>
          </w:p>
        </w:tc>
        <w:tc>
          <w:tcPr>
            <w:tcW w:w="1180" w:type="dxa"/>
            <w:vAlign w:val="bottom"/>
            <w:vMerge w:val="continue"/>
            <w:shd w:val="clear" w:color="auto" w:fill="E2E6F4"/>
          </w:tcPr>
          <w:p>
            <w:pPr>
              <w:spacing w:after="0"/>
              <w:rPr>
                <w:sz w:val="10"/>
                <w:szCs w:val="10"/>
                <w:color w:val="auto"/>
              </w:rPr>
            </w:pPr>
          </w:p>
        </w:tc>
        <w:tc>
          <w:tcPr>
            <w:tcW w:w="40" w:type="dxa"/>
            <w:vAlign w:val="bottom"/>
            <w:shd w:val="clear" w:color="auto" w:fill="E2E6F4"/>
          </w:tcPr>
          <w:p>
            <w:pPr>
              <w:spacing w:after="0"/>
              <w:rPr>
                <w:sz w:val="10"/>
                <w:szCs w:val="10"/>
                <w:color w:val="auto"/>
              </w:rPr>
            </w:pPr>
          </w:p>
        </w:tc>
        <w:tc>
          <w:tcPr>
            <w:tcW w:w="1020" w:type="dxa"/>
            <w:vAlign w:val="bottom"/>
            <w:gridSpan w:val="2"/>
            <w:vMerge w:val="continue"/>
            <w:shd w:val="clear" w:color="auto" w:fill="E2E6F4"/>
          </w:tcPr>
          <w:p>
            <w:pPr>
              <w:spacing w:after="0"/>
              <w:rPr>
                <w:sz w:val="10"/>
                <w:szCs w:val="10"/>
                <w:color w:val="auto"/>
              </w:rPr>
            </w:pPr>
          </w:p>
        </w:tc>
        <w:tc>
          <w:tcPr>
            <w:tcW w:w="720" w:type="dxa"/>
            <w:vAlign w:val="bottom"/>
            <w:vMerge w:val="continue"/>
            <w:shd w:val="clear" w:color="auto" w:fill="E2E6F4"/>
          </w:tcPr>
          <w:p>
            <w:pPr>
              <w:spacing w:after="0"/>
              <w:rPr>
                <w:sz w:val="10"/>
                <w:szCs w:val="10"/>
                <w:color w:val="auto"/>
              </w:rPr>
            </w:pPr>
          </w:p>
        </w:tc>
        <w:tc>
          <w:tcPr>
            <w:tcW w:w="960" w:type="dxa"/>
            <w:vAlign w:val="bottom"/>
            <w:vMerge w:val="continue"/>
            <w:shd w:val="clear" w:color="auto" w:fill="E2E6F4"/>
          </w:tcPr>
          <w:p>
            <w:pPr>
              <w:spacing w:after="0"/>
              <w:rPr>
                <w:sz w:val="10"/>
                <w:szCs w:val="10"/>
                <w:color w:val="auto"/>
              </w:rPr>
            </w:pPr>
          </w:p>
        </w:tc>
        <w:tc>
          <w:tcPr>
            <w:tcW w:w="1000" w:type="dxa"/>
            <w:vAlign w:val="bottom"/>
            <w:vMerge w:val="continue"/>
            <w:shd w:val="clear" w:color="auto" w:fill="E2E6F4"/>
          </w:tcPr>
          <w:p>
            <w:pPr>
              <w:spacing w:after="0"/>
              <w:rPr>
                <w:sz w:val="10"/>
                <w:szCs w:val="10"/>
                <w:color w:val="auto"/>
              </w:rPr>
            </w:pPr>
          </w:p>
        </w:tc>
        <w:tc>
          <w:tcPr>
            <w:tcW w:w="1040" w:type="dxa"/>
            <w:vAlign w:val="bottom"/>
            <w:vMerge w:val="continue"/>
            <w:shd w:val="clear" w:color="auto" w:fill="E2E6F4"/>
          </w:tcPr>
          <w:p>
            <w:pPr>
              <w:spacing w:after="0"/>
              <w:rPr>
                <w:sz w:val="10"/>
                <w:szCs w:val="10"/>
                <w:color w:val="auto"/>
              </w:rPr>
            </w:pPr>
          </w:p>
        </w:tc>
        <w:tc>
          <w:tcPr>
            <w:tcW w:w="660" w:type="dxa"/>
            <w:vAlign w:val="bottom"/>
            <w:vMerge w:val="continue"/>
            <w:shd w:val="clear" w:color="auto" w:fill="E2E6F4"/>
          </w:tcPr>
          <w:p>
            <w:pPr>
              <w:spacing w:after="0"/>
              <w:rPr>
                <w:sz w:val="10"/>
                <w:szCs w:val="10"/>
                <w:color w:val="auto"/>
              </w:rPr>
            </w:pPr>
          </w:p>
        </w:tc>
        <w:tc>
          <w:tcPr>
            <w:tcW w:w="680" w:type="dxa"/>
            <w:vAlign w:val="bottom"/>
            <w:vMerge w:val="continue"/>
            <w:shd w:val="clear" w:color="auto" w:fill="E2E6F4"/>
          </w:tcPr>
          <w:p>
            <w:pPr>
              <w:spacing w:after="0"/>
              <w:rPr>
                <w:sz w:val="10"/>
                <w:szCs w:val="10"/>
                <w:color w:val="auto"/>
              </w:rPr>
            </w:pPr>
          </w:p>
        </w:tc>
        <w:tc>
          <w:tcPr>
            <w:tcW w:w="1120" w:type="dxa"/>
            <w:vAlign w:val="bottom"/>
            <w:vMerge w:val="continue"/>
            <w:shd w:val="clear" w:color="auto" w:fill="E2E6F4"/>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920" w:type="dxa"/>
            <w:vAlign w:val="bottom"/>
            <w:vMerge w:val="continue"/>
            <w:shd w:val="clear" w:color="auto" w:fill="E2E6F4"/>
          </w:tcPr>
          <w:p>
            <w:pPr>
              <w:spacing w:after="0"/>
              <w:rPr>
                <w:sz w:val="8"/>
                <w:szCs w:val="8"/>
                <w:color w:val="auto"/>
              </w:rPr>
            </w:pPr>
          </w:p>
        </w:tc>
        <w:tc>
          <w:tcPr>
            <w:tcW w:w="8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12/15/2020</w:t>
            </w:r>
          </w:p>
        </w:tc>
        <w:tc>
          <w:tcPr>
            <w:tcW w:w="10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8"/>
                <w:szCs w:val="8"/>
                <w:color w:val="auto"/>
              </w:rPr>
            </w:pP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460,000</w:t>
            </w:r>
          </w:p>
        </w:tc>
        <w:tc>
          <w:tcPr>
            <w:tcW w:w="60" w:type="dxa"/>
            <w:vAlign w:val="bottom"/>
            <w:shd w:val="clear" w:color="auto" w:fill="E2E6F4"/>
          </w:tcPr>
          <w:p>
            <w:pPr>
              <w:spacing w:after="0"/>
              <w:rPr>
                <w:sz w:val="8"/>
                <w:szCs w:val="8"/>
                <w:color w:val="auto"/>
              </w:rPr>
            </w:pPr>
          </w:p>
        </w:tc>
        <w:tc>
          <w:tcPr>
            <w:tcW w:w="7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144.06</w:t>
            </w:r>
          </w:p>
        </w:tc>
        <w:tc>
          <w:tcPr>
            <w:tcW w:w="960" w:type="dxa"/>
            <w:vAlign w:val="bottom"/>
            <w:vMerge w:val="restart"/>
            <w:shd w:val="clear" w:color="auto" w:fill="E2E6F4"/>
          </w:tcPr>
          <w:p>
            <w:pPr>
              <w:jc w:val="right"/>
              <w:ind w:right="20"/>
              <w:spacing w:after="0"/>
              <w:rPr>
                <w:sz w:val="20"/>
                <w:szCs w:val="20"/>
                <w:color w:val="auto"/>
              </w:rPr>
            </w:pPr>
            <w:r>
              <w:rPr>
                <w:rFonts w:ascii="Arial" w:cs="Arial" w:eastAsia="Arial" w:hAnsi="Arial"/>
                <w:sz w:val="16"/>
                <w:szCs w:val="16"/>
                <w:color w:val="auto"/>
              </w:rPr>
              <w:t>12/15/2030</w:t>
            </w:r>
          </w:p>
        </w:tc>
        <w:tc>
          <w:tcPr>
            <w:tcW w:w="100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2E6F4"/>
          </w:tcPr>
          <w:p>
            <w:pPr>
              <w:spacing w:after="0"/>
              <w:rPr>
                <w:sz w:val="8"/>
                <w:szCs w:val="8"/>
                <w:color w:val="auto"/>
              </w:rPr>
            </w:pPr>
          </w:p>
        </w:tc>
        <w:tc>
          <w:tcPr>
            <w:tcW w:w="1120" w:type="dxa"/>
            <w:vAlign w:val="bottom"/>
            <w:vMerge w:val="restart"/>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920" w:type="dxa"/>
            <w:vAlign w:val="bottom"/>
            <w:shd w:val="clear" w:color="auto" w:fill="E2E6F4"/>
          </w:tcPr>
          <w:p>
            <w:pPr>
              <w:spacing w:after="0"/>
              <w:rPr>
                <w:sz w:val="12"/>
                <w:szCs w:val="12"/>
                <w:color w:val="auto"/>
              </w:rPr>
            </w:pPr>
          </w:p>
        </w:tc>
        <w:tc>
          <w:tcPr>
            <w:tcW w:w="880" w:type="dxa"/>
            <w:vAlign w:val="bottom"/>
            <w:vMerge w:val="continue"/>
            <w:shd w:val="clear" w:color="auto" w:fill="E2E6F4"/>
          </w:tcPr>
          <w:p>
            <w:pPr>
              <w:spacing w:after="0"/>
              <w:rPr>
                <w:sz w:val="12"/>
                <w:szCs w:val="12"/>
                <w:color w:val="auto"/>
              </w:rPr>
            </w:pPr>
          </w:p>
        </w:tc>
        <w:tc>
          <w:tcPr>
            <w:tcW w:w="1020" w:type="dxa"/>
            <w:vAlign w:val="bottom"/>
            <w:vMerge w:val="continue"/>
            <w:shd w:val="clear" w:color="auto" w:fill="E2E6F4"/>
          </w:tcPr>
          <w:p>
            <w:pPr>
              <w:spacing w:after="0"/>
              <w:rPr>
                <w:sz w:val="12"/>
                <w:szCs w:val="12"/>
                <w:color w:val="auto"/>
              </w:rPr>
            </w:pPr>
          </w:p>
        </w:tc>
        <w:tc>
          <w:tcPr>
            <w:tcW w:w="1180" w:type="dxa"/>
            <w:vAlign w:val="bottom"/>
            <w:vMerge w:val="continue"/>
            <w:shd w:val="clear" w:color="auto" w:fill="E2E6F4"/>
          </w:tcPr>
          <w:p>
            <w:pPr>
              <w:spacing w:after="0"/>
              <w:rPr>
                <w:sz w:val="12"/>
                <w:szCs w:val="12"/>
                <w:color w:val="auto"/>
              </w:rPr>
            </w:pPr>
          </w:p>
        </w:tc>
        <w:tc>
          <w:tcPr>
            <w:tcW w:w="40" w:type="dxa"/>
            <w:vAlign w:val="bottom"/>
            <w:shd w:val="clear" w:color="auto" w:fill="E2E6F4"/>
          </w:tcPr>
          <w:p>
            <w:pPr>
              <w:spacing w:after="0"/>
              <w:rPr>
                <w:sz w:val="12"/>
                <w:szCs w:val="12"/>
                <w:color w:val="auto"/>
              </w:rPr>
            </w:pPr>
          </w:p>
        </w:tc>
        <w:tc>
          <w:tcPr>
            <w:tcW w:w="960" w:type="dxa"/>
            <w:vAlign w:val="bottom"/>
            <w:vMerge w:val="continue"/>
            <w:shd w:val="clear" w:color="auto" w:fill="E2E6F4"/>
          </w:tcPr>
          <w:p>
            <w:pPr>
              <w:spacing w:after="0"/>
              <w:rPr>
                <w:sz w:val="12"/>
                <w:szCs w:val="12"/>
                <w:color w:val="auto"/>
              </w:rPr>
            </w:pPr>
          </w:p>
        </w:tc>
        <w:tc>
          <w:tcPr>
            <w:tcW w:w="60" w:type="dxa"/>
            <w:vAlign w:val="bottom"/>
            <w:shd w:val="clear" w:color="auto" w:fill="E2E6F4"/>
          </w:tcPr>
          <w:p>
            <w:pPr>
              <w:spacing w:after="0"/>
              <w:rPr>
                <w:sz w:val="12"/>
                <w:szCs w:val="12"/>
                <w:color w:val="auto"/>
              </w:rPr>
            </w:pPr>
          </w:p>
        </w:tc>
        <w:tc>
          <w:tcPr>
            <w:tcW w:w="720" w:type="dxa"/>
            <w:vAlign w:val="bottom"/>
            <w:vMerge w:val="continue"/>
            <w:shd w:val="clear" w:color="auto" w:fill="E2E6F4"/>
          </w:tcPr>
          <w:p>
            <w:pPr>
              <w:spacing w:after="0"/>
              <w:rPr>
                <w:sz w:val="12"/>
                <w:szCs w:val="12"/>
                <w:color w:val="auto"/>
              </w:rPr>
            </w:pPr>
          </w:p>
        </w:tc>
        <w:tc>
          <w:tcPr>
            <w:tcW w:w="960" w:type="dxa"/>
            <w:vAlign w:val="bottom"/>
            <w:vMerge w:val="continue"/>
            <w:shd w:val="clear" w:color="auto" w:fill="E2E6F4"/>
          </w:tcPr>
          <w:p>
            <w:pPr>
              <w:spacing w:after="0"/>
              <w:rPr>
                <w:sz w:val="12"/>
                <w:szCs w:val="12"/>
                <w:color w:val="auto"/>
              </w:rPr>
            </w:pPr>
          </w:p>
        </w:tc>
        <w:tc>
          <w:tcPr>
            <w:tcW w:w="1000" w:type="dxa"/>
            <w:vAlign w:val="bottom"/>
            <w:vMerge w:val="continue"/>
            <w:shd w:val="clear" w:color="auto" w:fill="E2E6F4"/>
          </w:tcPr>
          <w:p>
            <w:pPr>
              <w:spacing w:after="0"/>
              <w:rPr>
                <w:sz w:val="12"/>
                <w:szCs w:val="12"/>
                <w:color w:val="auto"/>
              </w:rPr>
            </w:pPr>
          </w:p>
        </w:tc>
        <w:tc>
          <w:tcPr>
            <w:tcW w:w="1040" w:type="dxa"/>
            <w:vAlign w:val="bottom"/>
            <w:vMerge w:val="continue"/>
            <w:shd w:val="clear" w:color="auto" w:fill="E2E6F4"/>
          </w:tcPr>
          <w:p>
            <w:pPr>
              <w:spacing w:after="0"/>
              <w:rPr>
                <w:sz w:val="12"/>
                <w:szCs w:val="12"/>
                <w:color w:val="auto"/>
              </w:rPr>
            </w:pPr>
          </w:p>
        </w:tc>
        <w:tc>
          <w:tcPr>
            <w:tcW w:w="660" w:type="dxa"/>
            <w:vAlign w:val="bottom"/>
            <w:vMerge w:val="continue"/>
            <w:shd w:val="clear" w:color="auto" w:fill="E2E6F4"/>
          </w:tcPr>
          <w:p>
            <w:pPr>
              <w:spacing w:after="0"/>
              <w:rPr>
                <w:sz w:val="12"/>
                <w:szCs w:val="12"/>
                <w:color w:val="auto"/>
              </w:rPr>
            </w:pPr>
          </w:p>
        </w:tc>
        <w:tc>
          <w:tcPr>
            <w:tcW w:w="680" w:type="dxa"/>
            <w:vAlign w:val="bottom"/>
            <w:shd w:val="clear" w:color="auto" w:fill="E2E6F4"/>
          </w:tcPr>
          <w:p>
            <w:pPr>
              <w:spacing w:after="0"/>
              <w:rPr>
                <w:sz w:val="12"/>
                <w:szCs w:val="12"/>
                <w:color w:val="auto"/>
              </w:rPr>
            </w:pPr>
          </w:p>
        </w:tc>
        <w:tc>
          <w:tcPr>
            <w:tcW w:w="1120" w:type="dxa"/>
            <w:vAlign w:val="bottom"/>
            <w:vMerge w:val="continue"/>
            <w:shd w:val="clear" w:color="auto" w:fill="E2E6F4"/>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20" w:type="dxa"/>
            <w:vAlign w:val="bottom"/>
            <w:shd w:val="clear" w:color="auto" w:fill="E2E6F4"/>
          </w:tcPr>
          <w:p>
            <w:pPr>
              <w:spacing w:after="0"/>
              <w:rPr>
                <w:sz w:val="21"/>
                <w:szCs w:val="21"/>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3/10/2021</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17,696</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53,090</w:t>
            </w:r>
          </w:p>
        </w:tc>
        <w:tc>
          <w:tcPr>
            <w:tcW w:w="40" w:type="dxa"/>
            <w:vAlign w:val="bottom"/>
            <w:shd w:val="clear" w:color="auto" w:fill="E2E6F4"/>
          </w:tcPr>
          <w:p>
            <w:pPr>
              <w:spacing w:after="0"/>
              <w:rPr>
                <w:sz w:val="21"/>
                <w:szCs w:val="21"/>
                <w:color w:val="auto"/>
              </w:rPr>
            </w:pP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2E6F4"/>
          </w:tcPr>
          <w:p>
            <w:pPr>
              <w:spacing w:after="0"/>
              <w:rPr>
                <w:sz w:val="21"/>
                <w:szCs w:val="21"/>
                <w:color w:val="auto"/>
              </w:rPr>
            </w:pP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147.11</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3/10/2031</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14,521</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2,103,802</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38,722</w:t>
            </w:r>
          </w:p>
        </w:tc>
        <w:tc>
          <w:tcPr>
            <w:tcW w:w="680" w:type="dxa"/>
            <w:vAlign w:val="bottom"/>
            <w:shd w:val="clear" w:color="auto" w:fill="E2E6F4"/>
          </w:tcPr>
          <w:p>
            <w:pPr>
              <w:jc w:val="right"/>
              <w:ind w:right="4"/>
              <w:spacing w:after="0"/>
              <w:rPr>
                <w:sz w:val="20"/>
                <w:szCs w:val="20"/>
                <w:color w:val="auto"/>
              </w:rPr>
            </w:pPr>
            <w:r>
              <w:rPr>
                <w:rFonts w:ascii="Arial" w:cs="Arial" w:eastAsia="Arial" w:hAnsi="Arial"/>
                <w:sz w:val="11"/>
                <w:szCs w:val="11"/>
                <w:color w:val="auto"/>
              </w:rPr>
              <w:t>(8),(13)</w:t>
            </w: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5,610,043</w:t>
            </w:r>
          </w:p>
        </w:tc>
        <w:tc>
          <w:tcPr>
            <w:tcW w:w="0" w:type="dxa"/>
            <w:vAlign w:val="bottom"/>
          </w:tcPr>
          <w:p>
            <w:pPr>
              <w:spacing w:after="0"/>
              <w:rPr>
                <w:sz w:val="1"/>
                <w:szCs w:val="1"/>
                <w:color w:val="auto"/>
              </w:rPr>
            </w:pPr>
          </w:p>
        </w:tc>
      </w:tr>
      <w:tr>
        <w:trPr>
          <w:trHeight w:val="259"/>
        </w:trPr>
        <w:tc>
          <w:tcPr>
            <w:tcW w:w="920" w:type="dxa"/>
            <w:vAlign w:val="bottom"/>
            <w:shd w:val="clear" w:color="auto" w:fill="E2E6F4"/>
          </w:tcPr>
          <w:p>
            <w:pPr>
              <w:spacing w:after="0"/>
              <w:rPr>
                <w:sz w:val="22"/>
                <w:szCs w:val="22"/>
                <w:color w:val="auto"/>
              </w:rPr>
            </w:pP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2E6F4"/>
          </w:tcPr>
          <w:p>
            <w:pPr>
              <w:spacing w:after="0"/>
              <w:rPr>
                <w:sz w:val="22"/>
                <w:szCs w:val="22"/>
                <w:color w:val="auto"/>
              </w:rPr>
            </w:pPr>
          </w:p>
        </w:tc>
        <w:tc>
          <w:tcPr>
            <w:tcW w:w="9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2E6F4"/>
          </w:tcPr>
          <w:p>
            <w:pPr>
              <w:spacing w:after="0"/>
              <w:rPr>
                <w:sz w:val="22"/>
                <w:szCs w:val="22"/>
                <w:color w:val="auto"/>
              </w:rPr>
            </w:pP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33,395</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4,838,268</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54,938</w:t>
            </w:r>
          </w:p>
        </w:tc>
        <w:tc>
          <w:tcPr>
            <w:tcW w:w="680" w:type="dxa"/>
            <w:vAlign w:val="bottom"/>
            <w:shd w:val="clear" w:color="auto" w:fill="E2E6F4"/>
          </w:tcPr>
          <w:p>
            <w:pPr>
              <w:jc w:val="right"/>
              <w:ind w:right="4"/>
              <w:spacing w:after="0"/>
              <w:rPr>
                <w:sz w:val="20"/>
                <w:szCs w:val="20"/>
                <w:color w:val="auto"/>
              </w:rPr>
            </w:pPr>
            <w:r>
              <w:rPr>
                <w:rFonts w:ascii="Arial" w:cs="Arial" w:eastAsia="Arial" w:hAnsi="Arial"/>
                <w:sz w:val="11"/>
                <w:szCs w:val="11"/>
                <w:color w:val="auto"/>
              </w:rPr>
              <w:t>(9),(13)</w:t>
            </w: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7,959,417</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3/29/2018</w:t>
            </w:r>
          </w:p>
        </w:tc>
        <w:tc>
          <w:tcPr>
            <w:tcW w:w="1020" w:type="dxa"/>
            <w:vAlign w:val="bottom"/>
          </w:tcPr>
          <w:p>
            <w:pPr>
              <w:jc w:val="right"/>
              <w:spacing w:after="0"/>
              <w:rPr>
                <w:sz w:val="20"/>
                <w:szCs w:val="20"/>
                <w:color w:val="auto"/>
              </w:rPr>
            </w:pPr>
            <w:r>
              <w:rPr>
                <w:rFonts w:ascii="Arial" w:cs="Arial" w:eastAsia="Arial" w:hAnsi="Arial"/>
                <w:sz w:val="16"/>
                <w:szCs w:val="16"/>
                <w:color w:val="auto"/>
              </w:rPr>
              <w:t>12,829</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91.13</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3/29/2028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0067B3"/>
              </w:rPr>
              <w:t>Prashanth</w:t>
            </w:r>
          </w:p>
        </w:tc>
        <w:tc>
          <w:tcPr>
            <w:tcW w:w="880" w:type="dxa"/>
            <w:vAlign w:val="bottom"/>
          </w:tcPr>
          <w:p>
            <w:pPr>
              <w:jc w:val="right"/>
              <w:spacing w:after="0"/>
              <w:rPr>
                <w:sz w:val="20"/>
                <w:szCs w:val="20"/>
                <w:color w:val="auto"/>
              </w:rPr>
            </w:pPr>
            <w:r>
              <w:rPr>
                <w:rFonts w:ascii="Arial" w:cs="Arial" w:eastAsia="Arial" w:hAnsi="Arial"/>
                <w:sz w:val="16"/>
                <w:szCs w:val="16"/>
                <w:color w:val="auto"/>
              </w:rPr>
              <w:t>3/13/2019</w:t>
            </w:r>
          </w:p>
        </w:tc>
        <w:tc>
          <w:tcPr>
            <w:tcW w:w="1020" w:type="dxa"/>
            <w:vAlign w:val="bottom"/>
          </w:tcPr>
          <w:p>
            <w:pPr>
              <w:jc w:val="right"/>
              <w:spacing w:after="0"/>
              <w:rPr>
                <w:sz w:val="20"/>
                <w:szCs w:val="20"/>
                <w:color w:val="auto"/>
              </w:rPr>
            </w:pPr>
            <w:r>
              <w:rPr>
                <w:rFonts w:ascii="Arial" w:cs="Arial" w:eastAsia="Arial" w:hAnsi="Arial"/>
                <w:sz w:val="16"/>
                <w:szCs w:val="16"/>
                <w:color w:val="auto"/>
              </w:rPr>
              <w:t>19,884</w:t>
            </w:r>
          </w:p>
        </w:tc>
        <w:tc>
          <w:tcPr>
            <w:tcW w:w="1180" w:type="dxa"/>
            <w:vAlign w:val="bottom"/>
          </w:tcPr>
          <w:p>
            <w:pPr>
              <w:jc w:val="right"/>
              <w:spacing w:after="0"/>
              <w:rPr>
                <w:sz w:val="20"/>
                <w:szCs w:val="20"/>
                <w:color w:val="auto"/>
              </w:rPr>
            </w:pPr>
            <w:r>
              <w:rPr>
                <w:rFonts w:ascii="Arial" w:cs="Arial" w:eastAsia="Arial" w:hAnsi="Arial"/>
                <w:sz w:val="16"/>
                <w:szCs w:val="16"/>
                <w:color w:val="auto"/>
              </w:rPr>
              <w:t>6,629</w:t>
            </w:r>
          </w:p>
        </w:tc>
        <w:tc>
          <w:tcPr>
            <w:tcW w:w="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108.08</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3/13/2029</w:t>
            </w:r>
          </w:p>
        </w:tc>
        <w:tc>
          <w:tcPr>
            <w:tcW w:w="1000" w:type="dxa"/>
            <w:vAlign w:val="bottom"/>
          </w:tcPr>
          <w:p>
            <w:pPr>
              <w:jc w:val="right"/>
              <w:spacing w:after="0"/>
              <w:rPr>
                <w:sz w:val="20"/>
                <w:szCs w:val="20"/>
                <w:color w:val="auto"/>
              </w:rPr>
            </w:pPr>
            <w:r>
              <w:rPr>
                <w:rFonts w:ascii="Arial" w:cs="Arial" w:eastAsia="Arial" w:hAnsi="Arial"/>
                <w:sz w:val="16"/>
                <w:szCs w:val="16"/>
                <w:color w:val="auto"/>
              </w:rPr>
              <w:t>1,497</w:t>
            </w:r>
          </w:p>
        </w:tc>
        <w:tc>
          <w:tcPr>
            <w:tcW w:w="1040" w:type="dxa"/>
            <w:vAlign w:val="bottom"/>
          </w:tcPr>
          <w:p>
            <w:pPr>
              <w:jc w:val="right"/>
              <w:spacing w:after="0"/>
              <w:rPr>
                <w:sz w:val="20"/>
                <w:szCs w:val="20"/>
                <w:color w:val="auto"/>
              </w:rPr>
            </w:pPr>
            <w:r>
              <w:rPr>
                <w:rFonts w:ascii="Arial" w:cs="Arial" w:eastAsia="Arial" w:hAnsi="Arial"/>
                <w:sz w:val="16"/>
                <w:szCs w:val="16"/>
                <w:color w:val="auto"/>
              </w:rPr>
              <w:t>216,885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920" w:type="dxa"/>
            <w:vAlign w:val="bottom"/>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3/11/2020</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17,500</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17,501</w:t>
            </w:r>
          </w:p>
        </w:tc>
        <w:tc>
          <w:tcPr>
            <w:tcW w:w="40" w:type="dxa"/>
            <w:vAlign w:val="bottom"/>
          </w:tcPr>
          <w:p>
            <w:pPr>
              <w:spacing w:after="0"/>
              <w:rPr>
                <w:sz w:val="11"/>
                <w:szCs w:val="11"/>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94.41</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3/11/2030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3,558</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515,483</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20,999</w:t>
            </w: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(11),(12)</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3,042,381</w:t>
            </w:r>
          </w:p>
        </w:tc>
        <w:tc>
          <w:tcPr>
            <w:tcW w:w="0" w:type="dxa"/>
            <w:vAlign w:val="bottom"/>
          </w:tcPr>
          <w:p>
            <w:pPr>
              <w:spacing w:after="0"/>
              <w:rPr>
                <w:sz w:val="1"/>
                <w:szCs w:val="1"/>
                <w:color w:val="auto"/>
              </w:rPr>
            </w:pPr>
          </w:p>
        </w:tc>
      </w:tr>
      <w:tr>
        <w:trPr>
          <w:trHeight w:val="107"/>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0067B3"/>
              </w:rPr>
              <w:t>Mahendra-</w:t>
            </w:r>
          </w:p>
        </w:tc>
        <w:tc>
          <w:tcPr>
            <w:tcW w:w="8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12/15/2020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19,443</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2,816,902</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6"/>
                <w:szCs w:val="16"/>
                <w:b w:val="1"/>
                <w:bCs w:val="1"/>
                <w:color w:val="0067B3"/>
              </w:rPr>
              <w:t>Rajah</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3/10/2021</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4,826</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14,480</w:t>
            </w:r>
          </w:p>
        </w:tc>
        <w:tc>
          <w:tcPr>
            <w:tcW w:w="40" w:type="dxa"/>
            <w:vAlign w:val="bottom"/>
          </w:tcPr>
          <w:p>
            <w:pPr>
              <w:spacing w:after="0"/>
              <w:rPr>
                <w:sz w:val="19"/>
                <w:szCs w:val="19"/>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147.11</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3/10/2031</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3,961</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573,870</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10,562</w:t>
            </w: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(8),(13)</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1,530,223</w:t>
            </w:r>
          </w:p>
        </w:tc>
        <w:tc>
          <w:tcPr>
            <w:tcW w:w="0" w:type="dxa"/>
            <w:vAlign w:val="bottom"/>
          </w:tcPr>
          <w:p>
            <w:pPr>
              <w:spacing w:after="0"/>
              <w:rPr>
                <w:sz w:val="1"/>
                <w:szCs w:val="1"/>
                <w:color w:val="auto"/>
              </w:rPr>
            </w:pPr>
          </w:p>
        </w:tc>
      </w:tr>
      <w:tr>
        <w:trPr>
          <w:trHeight w:val="72"/>
        </w:trPr>
        <w:tc>
          <w:tcPr>
            <w:tcW w:w="9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4/4/2022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12,245</w:t>
            </w:r>
          </w:p>
        </w:tc>
        <w:tc>
          <w:tcPr>
            <w:tcW w:w="1040" w:type="dxa"/>
            <w:vAlign w:val="bottom"/>
          </w:tcPr>
          <w:p>
            <w:pPr>
              <w:jc w:val="right"/>
              <w:spacing w:after="0"/>
              <w:rPr>
                <w:sz w:val="20"/>
                <w:szCs w:val="20"/>
                <w:color w:val="auto"/>
              </w:rPr>
            </w:pPr>
            <w:r>
              <w:rPr>
                <w:rFonts w:ascii="Arial" w:cs="Arial" w:eastAsia="Arial" w:hAnsi="Arial"/>
                <w:sz w:val="16"/>
                <w:szCs w:val="16"/>
                <w:color w:val="auto"/>
              </w:rPr>
              <w:t>1,774,056</w:t>
            </w:r>
          </w:p>
        </w:tc>
        <w:tc>
          <w:tcPr>
            <w:tcW w:w="660" w:type="dxa"/>
            <w:vAlign w:val="bottom"/>
          </w:tcPr>
          <w:p>
            <w:pPr>
              <w:jc w:val="right"/>
              <w:spacing w:after="0"/>
              <w:rPr>
                <w:sz w:val="20"/>
                <w:szCs w:val="20"/>
                <w:color w:val="auto"/>
              </w:rPr>
            </w:pPr>
            <w:r>
              <w:rPr>
                <w:rFonts w:ascii="Arial" w:cs="Arial" w:eastAsia="Arial" w:hAnsi="Arial"/>
                <w:sz w:val="16"/>
                <w:szCs w:val="16"/>
                <w:color w:val="auto"/>
              </w:rPr>
              <w:t>20,145</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(9),(13)</w:t>
            </w:r>
          </w:p>
        </w:tc>
        <w:tc>
          <w:tcPr>
            <w:tcW w:w="1120" w:type="dxa"/>
            <w:vAlign w:val="bottom"/>
          </w:tcPr>
          <w:p>
            <w:pPr>
              <w:jc w:val="right"/>
              <w:spacing w:after="0"/>
              <w:rPr>
                <w:sz w:val="20"/>
                <w:szCs w:val="20"/>
                <w:color w:val="auto"/>
              </w:rPr>
            </w:pPr>
            <w:r>
              <w:rPr>
                <w:rFonts w:ascii="Arial" w:cs="Arial" w:eastAsia="Arial" w:hAnsi="Arial"/>
                <w:sz w:val="16"/>
                <w:szCs w:val="16"/>
                <w:color w:val="auto"/>
              </w:rPr>
              <w:t>2,918,608</w:t>
            </w:r>
          </w:p>
        </w:tc>
        <w:tc>
          <w:tcPr>
            <w:tcW w:w="0" w:type="dxa"/>
            <w:vAlign w:val="bottom"/>
          </w:tcPr>
          <w:p>
            <w:pPr>
              <w:spacing w:after="0"/>
              <w:rPr>
                <w:sz w:val="1"/>
                <w:szCs w:val="1"/>
                <w:color w:val="auto"/>
              </w:rPr>
            </w:pPr>
          </w:p>
        </w:tc>
      </w:tr>
      <w:tr>
        <w:trPr>
          <w:trHeight w:val="143"/>
        </w:trPr>
        <w:tc>
          <w:tcPr>
            <w:tcW w:w="920" w:type="dxa"/>
            <w:vAlign w:val="bottom"/>
            <w:shd w:val="clear" w:color="auto" w:fill="E2E6F4"/>
          </w:tcPr>
          <w:p>
            <w:pPr>
              <w:ind w:left="20"/>
              <w:spacing w:after="0" w:line="143" w:lineRule="exact"/>
              <w:rPr>
                <w:sz w:val="20"/>
                <w:szCs w:val="20"/>
                <w:color w:val="auto"/>
              </w:rPr>
            </w:pPr>
            <w:r>
              <w:rPr>
                <w:rFonts w:ascii="Arial" w:cs="Arial" w:eastAsia="Arial" w:hAnsi="Arial"/>
                <w:sz w:val="16"/>
                <w:szCs w:val="16"/>
                <w:b w:val="1"/>
                <w:bCs w:val="1"/>
                <w:color w:val="004DA8"/>
              </w:rPr>
              <w:t>Gregory</w:t>
            </w:r>
          </w:p>
        </w:tc>
        <w:tc>
          <w:tcPr>
            <w:tcW w:w="88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3/15/2022</w:t>
            </w:r>
          </w:p>
        </w:tc>
        <w:tc>
          <w:tcPr>
            <w:tcW w:w="102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E2E6F4"/>
          </w:tcPr>
          <w:p>
            <w:pPr>
              <w:jc w:val="right"/>
              <w:ind w:right="80"/>
              <w:spacing w:after="0" w:line="14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100"/>
              <w:spacing w:after="0" w:line="143" w:lineRule="exact"/>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w:t>
            </w:r>
          </w:p>
        </w:tc>
        <w:tc>
          <w:tcPr>
            <w:tcW w:w="960" w:type="dxa"/>
            <w:vAlign w:val="bottom"/>
            <w:shd w:val="clear" w:color="auto" w:fill="E2E6F4"/>
          </w:tcPr>
          <w:p>
            <w:pPr>
              <w:jc w:val="right"/>
              <w:ind w:right="20"/>
              <w:spacing w:after="0" w:line="14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70,014</w:t>
            </w:r>
          </w:p>
        </w:tc>
        <w:tc>
          <w:tcPr>
            <w:tcW w:w="104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10,143,629</w:t>
            </w:r>
          </w:p>
        </w:tc>
        <w:tc>
          <w:tcPr>
            <w:tcW w:w="66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160,092</w:t>
            </w:r>
          </w:p>
        </w:tc>
        <w:tc>
          <w:tcPr>
            <w:tcW w:w="680" w:type="dxa"/>
            <w:vAlign w:val="bottom"/>
            <w:vMerge w:val="restart"/>
            <w:shd w:val="clear" w:color="auto" w:fill="E2E6F4"/>
          </w:tcPr>
          <w:p>
            <w:pPr>
              <w:jc w:val="right"/>
              <w:ind w:right="4"/>
              <w:spacing w:after="0"/>
              <w:rPr>
                <w:sz w:val="20"/>
                <w:szCs w:val="20"/>
                <w:color w:val="auto"/>
              </w:rPr>
            </w:pPr>
            <w:r>
              <w:rPr>
                <w:rFonts w:ascii="Arial" w:cs="Arial" w:eastAsia="Arial" w:hAnsi="Arial"/>
                <w:sz w:val="11"/>
                <w:szCs w:val="11"/>
                <w:color w:val="auto"/>
              </w:rPr>
              <w:t>(14)</w:t>
            </w:r>
          </w:p>
        </w:tc>
        <w:tc>
          <w:tcPr>
            <w:tcW w:w="1120" w:type="dxa"/>
            <w:vAlign w:val="bottom"/>
            <w:shd w:val="clear" w:color="auto" w:fill="E2E6F4"/>
          </w:tcPr>
          <w:p>
            <w:pPr>
              <w:jc w:val="right"/>
              <w:spacing w:after="0" w:line="143" w:lineRule="exact"/>
              <w:rPr>
                <w:sz w:val="20"/>
                <w:szCs w:val="20"/>
                <w:color w:val="auto"/>
              </w:rPr>
            </w:pPr>
            <w:r>
              <w:rPr>
                <w:rFonts w:ascii="Arial" w:cs="Arial" w:eastAsia="Arial" w:hAnsi="Arial"/>
                <w:sz w:val="16"/>
                <w:szCs w:val="16"/>
                <w:color w:val="auto"/>
              </w:rPr>
              <w:t>23,194,129</w:t>
            </w:r>
          </w:p>
        </w:tc>
        <w:tc>
          <w:tcPr>
            <w:tcW w:w="0" w:type="dxa"/>
            <w:vAlign w:val="bottom"/>
          </w:tcPr>
          <w:p>
            <w:pPr>
              <w:spacing w:after="0"/>
              <w:rPr>
                <w:sz w:val="1"/>
                <w:szCs w:val="1"/>
                <w:color w:val="auto"/>
              </w:rPr>
            </w:pPr>
          </w:p>
        </w:tc>
      </w:tr>
      <w:tr>
        <w:trPr>
          <w:trHeight w:val="34"/>
        </w:trPr>
        <w:tc>
          <w:tcPr>
            <w:tcW w:w="920" w:type="dxa"/>
            <w:vAlign w:val="bottom"/>
            <w:shd w:val="clear" w:color="auto" w:fill="E2E6F4"/>
          </w:tcPr>
          <w:p>
            <w:pPr>
              <w:spacing w:after="0"/>
              <w:rPr>
                <w:sz w:val="2"/>
                <w:szCs w:val="2"/>
                <w:color w:val="auto"/>
              </w:rPr>
            </w:pPr>
          </w:p>
        </w:tc>
        <w:tc>
          <w:tcPr>
            <w:tcW w:w="880" w:type="dxa"/>
            <w:vAlign w:val="bottom"/>
            <w:shd w:val="clear" w:color="auto" w:fill="E2E6F4"/>
          </w:tcPr>
          <w:p>
            <w:pPr>
              <w:spacing w:after="0"/>
              <w:rPr>
                <w:sz w:val="2"/>
                <w:szCs w:val="2"/>
                <w:color w:val="auto"/>
              </w:rPr>
            </w:pPr>
          </w:p>
        </w:tc>
        <w:tc>
          <w:tcPr>
            <w:tcW w:w="1020" w:type="dxa"/>
            <w:vAlign w:val="bottom"/>
            <w:shd w:val="clear" w:color="auto" w:fill="E2E6F4"/>
          </w:tcPr>
          <w:p>
            <w:pPr>
              <w:spacing w:after="0"/>
              <w:rPr>
                <w:sz w:val="2"/>
                <w:szCs w:val="2"/>
                <w:color w:val="auto"/>
              </w:rPr>
            </w:pPr>
          </w:p>
        </w:tc>
        <w:tc>
          <w:tcPr>
            <w:tcW w:w="1180" w:type="dxa"/>
            <w:vAlign w:val="bottom"/>
            <w:shd w:val="clear" w:color="auto" w:fill="E2E6F4"/>
          </w:tcPr>
          <w:p>
            <w:pPr>
              <w:spacing w:after="0"/>
              <w:rPr>
                <w:sz w:val="2"/>
                <w:szCs w:val="2"/>
                <w:color w:val="auto"/>
              </w:rPr>
            </w:pPr>
          </w:p>
        </w:tc>
        <w:tc>
          <w:tcPr>
            <w:tcW w:w="40" w:type="dxa"/>
            <w:vAlign w:val="bottom"/>
            <w:shd w:val="clear" w:color="auto" w:fill="E2E6F4"/>
          </w:tcPr>
          <w:p>
            <w:pPr>
              <w:spacing w:after="0"/>
              <w:rPr>
                <w:sz w:val="2"/>
                <w:szCs w:val="2"/>
                <w:color w:val="auto"/>
              </w:rPr>
            </w:pPr>
          </w:p>
        </w:tc>
        <w:tc>
          <w:tcPr>
            <w:tcW w:w="960" w:type="dxa"/>
            <w:vAlign w:val="bottom"/>
            <w:shd w:val="clear" w:color="auto" w:fill="E2E6F4"/>
          </w:tcPr>
          <w:p>
            <w:pPr>
              <w:spacing w:after="0"/>
              <w:rPr>
                <w:sz w:val="2"/>
                <w:szCs w:val="2"/>
                <w:color w:val="auto"/>
              </w:rPr>
            </w:pPr>
          </w:p>
        </w:tc>
        <w:tc>
          <w:tcPr>
            <w:tcW w:w="60" w:type="dxa"/>
            <w:vAlign w:val="bottom"/>
            <w:shd w:val="clear" w:color="auto" w:fill="E2E6F4"/>
          </w:tcPr>
          <w:p>
            <w:pPr>
              <w:spacing w:after="0"/>
              <w:rPr>
                <w:sz w:val="2"/>
                <w:szCs w:val="2"/>
                <w:color w:val="auto"/>
              </w:rPr>
            </w:pPr>
          </w:p>
        </w:tc>
        <w:tc>
          <w:tcPr>
            <w:tcW w:w="720" w:type="dxa"/>
            <w:vAlign w:val="bottom"/>
            <w:shd w:val="clear" w:color="auto" w:fill="E2E6F4"/>
          </w:tcPr>
          <w:p>
            <w:pPr>
              <w:spacing w:after="0"/>
              <w:rPr>
                <w:sz w:val="2"/>
                <w:szCs w:val="2"/>
                <w:color w:val="auto"/>
              </w:rPr>
            </w:pPr>
          </w:p>
        </w:tc>
        <w:tc>
          <w:tcPr>
            <w:tcW w:w="960" w:type="dxa"/>
            <w:vAlign w:val="bottom"/>
            <w:shd w:val="clear" w:color="auto" w:fill="E2E6F4"/>
          </w:tcPr>
          <w:p>
            <w:pPr>
              <w:spacing w:after="0"/>
              <w:rPr>
                <w:sz w:val="2"/>
                <w:szCs w:val="2"/>
                <w:color w:val="auto"/>
              </w:rPr>
            </w:pPr>
          </w:p>
        </w:tc>
        <w:tc>
          <w:tcPr>
            <w:tcW w:w="1000" w:type="dxa"/>
            <w:vAlign w:val="bottom"/>
            <w:shd w:val="clear" w:color="auto" w:fill="E2E6F4"/>
          </w:tcPr>
          <w:p>
            <w:pPr>
              <w:spacing w:after="0"/>
              <w:rPr>
                <w:sz w:val="2"/>
                <w:szCs w:val="2"/>
                <w:color w:val="auto"/>
              </w:rPr>
            </w:pPr>
          </w:p>
        </w:tc>
        <w:tc>
          <w:tcPr>
            <w:tcW w:w="1040" w:type="dxa"/>
            <w:vAlign w:val="bottom"/>
            <w:shd w:val="clear" w:color="auto" w:fill="E2E6F4"/>
          </w:tcPr>
          <w:p>
            <w:pPr>
              <w:spacing w:after="0"/>
              <w:rPr>
                <w:sz w:val="2"/>
                <w:szCs w:val="2"/>
                <w:color w:val="auto"/>
              </w:rPr>
            </w:pPr>
          </w:p>
        </w:tc>
        <w:tc>
          <w:tcPr>
            <w:tcW w:w="660" w:type="dxa"/>
            <w:vAlign w:val="bottom"/>
            <w:shd w:val="clear" w:color="auto" w:fill="E2E6F4"/>
          </w:tcPr>
          <w:p>
            <w:pPr>
              <w:spacing w:after="0"/>
              <w:rPr>
                <w:sz w:val="2"/>
                <w:szCs w:val="2"/>
                <w:color w:val="auto"/>
              </w:rPr>
            </w:pPr>
          </w:p>
        </w:tc>
        <w:tc>
          <w:tcPr>
            <w:tcW w:w="680" w:type="dxa"/>
            <w:vAlign w:val="bottom"/>
            <w:vMerge w:val="continue"/>
            <w:shd w:val="clear" w:color="auto" w:fill="E2E6F4"/>
          </w:tcPr>
          <w:p>
            <w:pPr>
              <w:spacing w:after="0"/>
              <w:rPr>
                <w:sz w:val="2"/>
                <w:szCs w:val="2"/>
                <w:color w:val="auto"/>
              </w:rPr>
            </w:pPr>
          </w:p>
        </w:tc>
        <w:tc>
          <w:tcPr>
            <w:tcW w:w="1120" w:type="dxa"/>
            <w:vAlign w:val="bottom"/>
            <w:shd w:val="clear" w:color="auto" w:fill="E2E6F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4DA8"/>
              </w:rPr>
              <w:t>Bryant</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16,698</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2,419,206</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27,469</w:t>
            </w:r>
          </w:p>
        </w:tc>
        <w:tc>
          <w:tcPr>
            <w:tcW w:w="680" w:type="dxa"/>
            <w:vAlign w:val="bottom"/>
            <w:shd w:val="clear" w:color="auto" w:fill="E2E6F4"/>
          </w:tcPr>
          <w:p>
            <w:pPr>
              <w:jc w:val="right"/>
              <w:ind w:right="4"/>
              <w:spacing w:after="0"/>
              <w:rPr>
                <w:sz w:val="20"/>
                <w:szCs w:val="20"/>
                <w:color w:val="auto"/>
              </w:rPr>
            </w:pPr>
            <w:r>
              <w:rPr>
                <w:rFonts w:ascii="Arial" w:cs="Arial" w:eastAsia="Arial" w:hAnsi="Arial"/>
                <w:sz w:val="11"/>
                <w:szCs w:val="11"/>
                <w:color w:val="auto"/>
              </w:rPr>
              <w:t>(9),(13)</w:t>
            </w: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3,979,709</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9/3/2019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4,101</w:t>
            </w:r>
          </w:p>
        </w:tc>
        <w:tc>
          <w:tcPr>
            <w:tcW w:w="1040" w:type="dxa"/>
            <w:vAlign w:val="bottom"/>
          </w:tcPr>
          <w:p>
            <w:pPr>
              <w:jc w:val="right"/>
              <w:spacing w:after="0"/>
              <w:rPr>
                <w:sz w:val="20"/>
                <w:szCs w:val="20"/>
                <w:color w:val="auto"/>
              </w:rPr>
            </w:pPr>
            <w:r>
              <w:rPr>
                <w:rFonts w:ascii="Arial" w:cs="Arial" w:eastAsia="Arial" w:hAnsi="Arial"/>
                <w:sz w:val="16"/>
                <w:szCs w:val="16"/>
                <w:color w:val="auto"/>
              </w:rPr>
              <w:t>594,153</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9/1/2020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5,745</w:t>
            </w:r>
          </w:p>
        </w:tc>
        <w:tc>
          <w:tcPr>
            <w:tcW w:w="1040" w:type="dxa"/>
            <w:vAlign w:val="bottom"/>
          </w:tcPr>
          <w:p>
            <w:pPr>
              <w:jc w:val="right"/>
              <w:spacing w:after="0"/>
              <w:rPr>
                <w:sz w:val="20"/>
                <w:szCs w:val="20"/>
                <w:color w:val="auto"/>
              </w:rPr>
            </w:pPr>
            <w:r>
              <w:rPr>
                <w:rFonts w:ascii="Arial" w:cs="Arial" w:eastAsia="Arial" w:hAnsi="Arial"/>
                <w:sz w:val="16"/>
                <w:szCs w:val="16"/>
                <w:color w:val="auto"/>
              </w:rPr>
              <w:t>832,336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tcPr>
          <w:p>
            <w:pPr>
              <w:ind w:left="20"/>
              <w:spacing w:after="0"/>
              <w:rPr>
                <w:sz w:val="20"/>
                <w:szCs w:val="20"/>
                <w:color w:val="auto"/>
              </w:rPr>
            </w:pPr>
            <w:r>
              <w:rPr>
                <w:rFonts w:ascii="Arial" w:cs="Arial" w:eastAsia="Arial" w:hAnsi="Arial"/>
                <w:sz w:val="16"/>
                <w:szCs w:val="16"/>
                <w:b w:val="1"/>
                <w:bCs w:val="1"/>
                <w:color w:val="0067B3"/>
              </w:rPr>
              <w:t>Vivek Jain</w:t>
            </w:r>
          </w:p>
        </w:tc>
        <w:tc>
          <w:tcPr>
            <w:tcW w:w="880" w:type="dxa"/>
            <w:vAlign w:val="bottom"/>
          </w:tcPr>
          <w:p>
            <w:pPr>
              <w:jc w:val="right"/>
              <w:spacing w:after="0"/>
              <w:rPr>
                <w:sz w:val="20"/>
                <w:szCs w:val="20"/>
                <w:color w:val="auto"/>
              </w:rPr>
            </w:pPr>
            <w:r>
              <w:rPr>
                <w:rFonts w:ascii="Arial" w:cs="Arial" w:eastAsia="Arial" w:hAnsi="Arial"/>
                <w:sz w:val="16"/>
                <w:szCs w:val="16"/>
                <w:color w:val="auto"/>
              </w:rPr>
              <w:t>8/24/2021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9,158</w:t>
            </w:r>
          </w:p>
        </w:tc>
        <w:tc>
          <w:tcPr>
            <w:tcW w:w="1040" w:type="dxa"/>
            <w:vAlign w:val="bottom"/>
          </w:tcPr>
          <w:p>
            <w:pPr>
              <w:jc w:val="right"/>
              <w:spacing w:after="0"/>
              <w:rPr>
                <w:sz w:val="20"/>
                <w:szCs w:val="20"/>
                <w:color w:val="auto"/>
              </w:rPr>
            </w:pPr>
            <w:r>
              <w:rPr>
                <w:rFonts w:ascii="Arial" w:cs="Arial" w:eastAsia="Arial" w:hAnsi="Arial"/>
                <w:sz w:val="16"/>
                <w:szCs w:val="16"/>
                <w:color w:val="auto"/>
              </w:rPr>
              <w:t>1,326,811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10/15/2021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11,332</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1,641,780</w:t>
            </w: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4/4/2022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11,132</w:t>
            </w:r>
          </w:p>
        </w:tc>
        <w:tc>
          <w:tcPr>
            <w:tcW w:w="1040" w:type="dxa"/>
            <w:vAlign w:val="bottom"/>
          </w:tcPr>
          <w:p>
            <w:pPr>
              <w:jc w:val="right"/>
              <w:spacing w:after="0"/>
              <w:rPr>
                <w:sz w:val="20"/>
                <w:szCs w:val="20"/>
                <w:color w:val="auto"/>
              </w:rPr>
            </w:pPr>
            <w:r>
              <w:rPr>
                <w:rFonts w:ascii="Arial" w:cs="Arial" w:eastAsia="Arial" w:hAnsi="Arial"/>
                <w:sz w:val="16"/>
                <w:szCs w:val="16"/>
                <w:color w:val="auto"/>
              </w:rPr>
              <w:t>1,612,804</w:t>
            </w:r>
          </w:p>
        </w:tc>
        <w:tc>
          <w:tcPr>
            <w:tcW w:w="660" w:type="dxa"/>
            <w:vAlign w:val="bottom"/>
          </w:tcPr>
          <w:p>
            <w:pPr>
              <w:jc w:val="right"/>
              <w:spacing w:after="0"/>
              <w:rPr>
                <w:sz w:val="20"/>
                <w:szCs w:val="20"/>
                <w:color w:val="auto"/>
              </w:rPr>
            </w:pPr>
            <w:r>
              <w:rPr>
                <w:rFonts w:ascii="Arial" w:cs="Arial" w:eastAsia="Arial" w:hAnsi="Arial"/>
                <w:sz w:val="16"/>
                <w:szCs w:val="16"/>
                <w:color w:val="auto"/>
              </w:rPr>
              <w:t>18,313</w:t>
            </w: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(9),(13)</w:t>
            </w:r>
          </w:p>
        </w:tc>
        <w:tc>
          <w:tcPr>
            <w:tcW w:w="1120" w:type="dxa"/>
            <w:vAlign w:val="bottom"/>
          </w:tcPr>
          <w:p>
            <w:pPr>
              <w:jc w:val="right"/>
              <w:spacing w:after="0"/>
              <w:rPr>
                <w:sz w:val="20"/>
                <w:szCs w:val="20"/>
                <w:color w:val="auto"/>
              </w:rPr>
            </w:pPr>
            <w:r>
              <w:rPr>
                <w:rFonts w:ascii="Arial" w:cs="Arial" w:eastAsia="Arial" w:hAnsi="Arial"/>
                <w:sz w:val="16"/>
                <w:szCs w:val="16"/>
                <w:color w:val="auto"/>
              </w:rPr>
              <w:t>2,653,187</w:t>
            </w:r>
          </w:p>
        </w:tc>
        <w:tc>
          <w:tcPr>
            <w:tcW w:w="0" w:type="dxa"/>
            <w:vAlign w:val="bottom"/>
          </w:tcPr>
          <w:p>
            <w:pPr>
              <w:spacing w:after="0"/>
              <w:rPr>
                <w:sz w:val="1"/>
                <w:szCs w:val="1"/>
                <w:color w:val="auto"/>
              </w:rPr>
            </w:pPr>
          </w:p>
        </w:tc>
      </w:tr>
      <w:tr>
        <w:trPr>
          <w:trHeight w:val="243"/>
        </w:trPr>
        <w:tc>
          <w:tcPr>
            <w:tcW w:w="920" w:type="dxa"/>
            <w:vAlign w:val="bottom"/>
            <w:shd w:val="clear" w:color="auto" w:fill="E2E6F4"/>
          </w:tcPr>
          <w:p>
            <w:pPr>
              <w:ind w:left="20"/>
              <w:spacing w:after="0"/>
              <w:rPr>
                <w:sz w:val="20"/>
                <w:szCs w:val="20"/>
                <w:color w:val="auto"/>
              </w:rPr>
            </w:pPr>
            <w:r>
              <w:rPr>
                <w:rFonts w:ascii="Arial" w:cs="Arial" w:eastAsia="Arial" w:hAnsi="Arial"/>
                <w:sz w:val="16"/>
                <w:szCs w:val="16"/>
                <w:b w:val="1"/>
                <w:bCs w:val="1"/>
                <w:color w:val="0067B3"/>
              </w:rPr>
              <w:t>Anelise</w:t>
            </w:r>
          </w:p>
        </w:tc>
        <w:tc>
          <w:tcPr>
            <w:tcW w:w="8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3/15/2021</w:t>
            </w:r>
          </w:p>
        </w:tc>
        <w:tc>
          <w:tcPr>
            <w:tcW w:w="10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2,091</w:t>
            </w:r>
          </w:p>
        </w:tc>
        <w:tc>
          <w:tcPr>
            <w:tcW w:w="1180" w:type="dxa"/>
            <w:vAlign w:val="bottom"/>
            <w:shd w:val="clear" w:color="auto" w:fill="E2E6F4"/>
          </w:tcPr>
          <w:p>
            <w:pPr>
              <w:jc w:val="right"/>
              <w:spacing w:after="0"/>
              <w:rPr>
                <w:sz w:val="20"/>
                <w:szCs w:val="20"/>
                <w:color w:val="auto"/>
              </w:rPr>
            </w:pPr>
            <w:r>
              <w:rPr>
                <w:rFonts w:ascii="Arial" w:cs="Arial" w:eastAsia="Arial" w:hAnsi="Arial"/>
                <w:sz w:val="16"/>
                <w:szCs w:val="16"/>
                <w:color w:val="auto"/>
              </w:rPr>
              <w:t>6,275</w:t>
            </w:r>
          </w:p>
        </w:tc>
        <w:tc>
          <w:tcPr>
            <w:tcW w:w="40" w:type="dxa"/>
            <w:vAlign w:val="bottom"/>
            <w:shd w:val="clear" w:color="auto" w:fill="E2E6F4"/>
          </w:tcPr>
          <w:p>
            <w:pPr>
              <w:spacing w:after="0"/>
              <w:rPr>
                <w:sz w:val="21"/>
                <w:szCs w:val="21"/>
                <w:color w:val="auto"/>
              </w:rPr>
            </w:pPr>
          </w:p>
        </w:tc>
        <w:tc>
          <w:tcPr>
            <w:tcW w:w="1020" w:type="dxa"/>
            <w:vAlign w:val="bottom"/>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151.00</w:t>
            </w:r>
          </w:p>
        </w:tc>
        <w:tc>
          <w:tcPr>
            <w:tcW w:w="960" w:type="dxa"/>
            <w:vAlign w:val="bottom"/>
            <w:shd w:val="clear" w:color="auto" w:fill="E2E6F4"/>
          </w:tcPr>
          <w:p>
            <w:pPr>
              <w:jc w:val="right"/>
              <w:ind w:right="20"/>
              <w:spacing w:after="0"/>
              <w:rPr>
                <w:sz w:val="20"/>
                <w:szCs w:val="20"/>
                <w:color w:val="auto"/>
              </w:rPr>
            </w:pPr>
            <w:r>
              <w:rPr>
                <w:rFonts w:ascii="Arial" w:cs="Arial" w:eastAsia="Arial" w:hAnsi="Arial"/>
                <w:sz w:val="16"/>
                <w:szCs w:val="16"/>
                <w:color w:val="auto"/>
              </w:rPr>
              <w:t>3/15/2031</w:t>
            </w:r>
          </w:p>
        </w:tc>
        <w:tc>
          <w:tcPr>
            <w:tcW w:w="100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1,717</w:t>
            </w:r>
          </w:p>
        </w:tc>
        <w:tc>
          <w:tcPr>
            <w:tcW w:w="104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248,759</w:t>
            </w:r>
          </w:p>
        </w:tc>
        <w:tc>
          <w:tcPr>
            <w:tcW w:w="660" w:type="dxa"/>
            <w:vAlign w:val="bottom"/>
            <w:shd w:val="clear" w:color="auto" w:fill="E2E6F4"/>
          </w:tcPr>
          <w:p>
            <w:pPr>
              <w:jc w:val="right"/>
              <w:spacing w:after="0"/>
              <w:rPr>
                <w:sz w:val="20"/>
                <w:szCs w:val="20"/>
                <w:color w:val="auto"/>
              </w:rPr>
            </w:pPr>
            <w:r>
              <w:rPr>
                <w:rFonts w:ascii="Arial" w:cs="Arial" w:eastAsia="Arial" w:hAnsi="Arial"/>
                <w:sz w:val="16"/>
                <w:szCs w:val="16"/>
                <w:color w:val="auto"/>
              </w:rPr>
              <w:t>15,955</w:t>
            </w:r>
          </w:p>
        </w:tc>
        <w:tc>
          <w:tcPr>
            <w:tcW w:w="680" w:type="dxa"/>
            <w:vAlign w:val="bottom"/>
            <w:shd w:val="clear" w:color="auto" w:fill="E2E6F4"/>
          </w:tcPr>
          <w:p>
            <w:pPr>
              <w:jc w:val="right"/>
              <w:ind w:right="4"/>
              <w:spacing w:after="0"/>
              <w:rPr>
                <w:sz w:val="20"/>
                <w:szCs w:val="20"/>
                <w:color w:val="auto"/>
              </w:rPr>
            </w:pPr>
            <w:r>
              <w:rPr>
                <w:rFonts w:ascii="Arial" w:cs="Arial" w:eastAsia="Arial" w:hAnsi="Arial"/>
                <w:sz w:val="11"/>
                <w:szCs w:val="11"/>
                <w:color w:val="auto"/>
              </w:rPr>
              <w:t>(8),(10),(13)</w:t>
            </w:r>
          </w:p>
        </w:tc>
        <w:tc>
          <w:tcPr>
            <w:tcW w:w="1120" w:type="dxa"/>
            <w:vAlign w:val="bottom"/>
            <w:shd w:val="clear" w:color="auto" w:fill="E2E6F4"/>
          </w:tcPr>
          <w:p>
            <w:pPr>
              <w:jc w:val="right"/>
              <w:spacing w:after="0"/>
              <w:rPr>
                <w:sz w:val="20"/>
                <w:szCs w:val="20"/>
                <w:color w:val="auto"/>
              </w:rPr>
            </w:pPr>
            <w:r>
              <w:rPr>
                <w:rFonts w:ascii="Arial" w:cs="Arial" w:eastAsia="Arial" w:hAnsi="Arial"/>
                <w:sz w:val="16"/>
                <w:szCs w:val="16"/>
                <w:color w:val="auto"/>
              </w:rPr>
              <w:t>2,311,560</w:t>
            </w:r>
          </w:p>
        </w:tc>
        <w:tc>
          <w:tcPr>
            <w:tcW w:w="0" w:type="dxa"/>
            <w:vAlign w:val="bottom"/>
          </w:tcPr>
          <w:p>
            <w:pPr>
              <w:spacing w:after="0"/>
              <w:rPr>
                <w:sz w:val="1"/>
                <w:szCs w:val="1"/>
                <w:color w:val="auto"/>
              </w:rPr>
            </w:pPr>
          </w:p>
        </w:tc>
      </w:tr>
      <w:tr>
        <w:trPr>
          <w:trHeight w:val="244"/>
        </w:trPr>
        <w:tc>
          <w:tcPr>
            <w:tcW w:w="92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6"/>
                <w:szCs w:val="16"/>
                <w:b w:val="1"/>
                <w:bCs w:val="1"/>
                <w:color w:val="0067B3"/>
              </w:rPr>
              <w:t>Sacks</w:t>
            </w:r>
          </w:p>
        </w:tc>
        <w:tc>
          <w:tcPr>
            <w:tcW w:w="8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4/4/2022</w:t>
            </w:r>
          </w:p>
        </w:tc>
        <w:tc>
          <w:tcPr>
            <w:tcW w:w="102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7B3"/>
            </w:tcBorders>
            <w:gridSpan w:val="2"/>
            <w:shd w:val="clear" w:color="auto" w:fill="E2E6F4"/>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67B3"/>
            </w:tcBorders>
            <w:gridSpan w:val="2"/>
            <w:shd w:val="clear" w:color="auto" w:fill="E2E6F4"/>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7B3"/>
            </w:tcBorders>
            <w:shd w:val="clear" w:color="auto" w:fill="E2E6F4"/>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10,464</w:t>
            </w:r>
          </w:p>
        </w:tc>
        <w:tc>
          <w:tcPr>
            <w:tcW w:w="10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1,516,024</w:t>
            </w:r>
          </w:p>
        </w:tc>
        <w:tc>
          <w:tcPr>
            <w:tcW w:w="6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17,214</w:t>
            </w:r>
          </w:p>
        </w:tc>
        <w:tc>
          <w:tcPr>
            <w:tcW w:w="680" w:type="dxa"/>
            <w:vAlign w:val="bottom"/>
            <w:tcBorders>
              <w:bottom w:val="single" w:sz="8" w:color="0067B3"/>
            </w:tcBorders>
            <w:shd w:val="clear" w:color="auto" w:fill="E2E6F4"/>
          </w:tcPr>
          <w:p>
            <w:pPr>
              <w:jc w:val="right"/>
              <w:ind w:right="4"/>
              <w:spacing w:after="0"/>
              <w:rPr>
                <w:sz w:val="20"/>
                <w:szCs w:val="20"/>
                <w:color w:val="auto"/>
              </w:rPr>
            </w:pPr>
            <w:r>
              <w:rPr>
                <w:rFonts w:ascii="Arial" w:cs="Arial" w:eastAsia="Arial" w:hAnsi="Arial"/>
                <w:sz w:val="11"/>
                <w:szCs w:val="11"/>
                <w:color w:val="auto"/>
              </w:rPr>
              <w:t>(9),(13)</w:t>
            </w:r>
          </w:p>
        </w:tc>
        <w:tc>
          <w:tcPr>
            <w:tcW w:w="112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6"/>
                <w:szCs w:val="16"/>
                <w:color w:val="auto"/>
              </w:rPr>
              <w:t>2,493,964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-4619625</wp:posOffset>
            </wp:positionV>
            <wp:extent cx="59918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91860" cy="8255"/>
                    </a:xfrm>
                    <a:prstGeom prst="rect">
                      <a:avLst/>
                    </a:prstGeom>
                    <a:noFill/>
                  </pic:spPr>
                </pic:pic>
              </a:graphicData>
            </a:graphic>
          </wp:anchor>
        </w:drawing>
      </w:r>
    </w:p>
    <w:p>
      <w:pPr>
        <w:spacing w:after="0" w:line="142"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The unexercisable options held by these executive officers vest, subject to continued employment, as follows: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800" w:type="dxa"/>
            <w:vAlign w:val="bottom"/>
            <w:shd w:val="clear" w:color="auto" w:fill="0067B3"/>
          </w:tcPr>
          <w:p>
            <w:pPr>
              <w:spacing w:after="0"/>
              <w:rPr>
                <w:sz w:val="16"/>
                <w:szCs w:val="16"/>
                <w:color w:val="auto"/>
              </w:rPr>
            </w:pPr>
          </w:p>
        </w:tc>
        <w:tc>
          <w:tcPr>
            <w:tcW w:w="2920" w:type="dxa"/>
            <w:vAlign w:val="bottom"/>
            <w:shd w:val="clear" w:color="auto" w:fill="0067B3"/>
          </w:tcPr>
          <w:p>
            <w:pPr>
              <w:jc w:val="right"/>
              <w:ind w:right="185"/>
              <w:spacing w:after="0"/>
              <w:rPr>
                <w:sz w:val="20"/>
                <w:szCs w:val="20"/>
                <w:color w:val="auto"/>
              </w:rPr>
            </w:pPr>
            <w:r>
              <w:rPr>
                <w:rFonts w:ascii="Arial" w:cs="Arial" w:eastAsia="Arial" w:hAnsi="Arial"/>
                <w:sz w:val="14"/>
                <w:szCs w:val="14"/>
                <w:b w:val="1"/>
                <w:bCs w:val="1"/>
                <w:color w:val="FFFFFF"/>
              </w:rPr>
              <w:t>Vest</w:t>
            </w:r>
          </w:p>
        </w:tc>
        <w:tc>
          <w:tcPr>
            <w:tcW w:w="1040" w:type="dxa"/>
            <w:vAlign w:val="bottom"/>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Vincent</w:t>
            </w:r>
          </w:p>
        </w:tc>
        <w:tc>
          <w:tcPr>
            <w:tcW w:w="1180" w:type="dxa"/>
            <w:vAlign w:val="bottom"/>
            <w:shd w:val="clear" w:color="auto" w:fill="0067B3"/>
          </w:tcPr>
          <w:p>
            <w:pPr>
              <w:jc w:val="right"/>
              <w:ind w:right="164"/>
              <w:spacing w:after="0"/>
              <w:rPr>
                <w:sz w:val="20"/>
                <w:szCs w:val="20"/>
                <w:color w:val="auto"/>
              </w:rPr>
            </w:pPr>
            <w:r>
              <w:rPr>
                <w:rFonts w:ascii="Arial" w:cs="Arial" w:eastAsia="Arial" w:hAnsi="Arial"/>
                <w:sz w:val="14"/>
                <w:szCs w:val="14"/>
                <w:b w:val="1"/>
                <w:bCs w:val="1"/>
                <w:color w:val="FFFFFF"/>
              </w:rPr>
              <w:t>Prashanth</w:t>
            </w:r>
          </w:p>
        </w:tc>
        <w:tc>
          <w:tcPr>
            <w:tcW w:w="1120" w:type="dxa"/>
            <w:vAlign w:val="bottom"/>
            <w:shd w:val="clear" w:color="auto" w:fill="0067B3"/>
          </w:tcPr>
          <w:p>
            <w:pPr>
              <w:jc w:val="right"/>
              <w:ind w:right="245"/>
              <w:spacing w:after="0"/>
              <w:rPr>
                <w:sz w:val="20"/>
                <w:szCs w:val="20"/>
                <w:color w:val="auto"/>
              </w:rPr>
            </w:pPr>
            <w:r>
              <w:rPr>
                <w:rFonts w:ascii="Arial" w:cs="Arial" w:eastAsia="Arial" w:hAnsi="Arial"/>
                <w:sz w:val="14"/>
                <w:szCs w:val="14"/>
                <w:b w:val="1"/>
                <w:bCs w:val="1"/>
                <w:color w:val="FFFFFF"/>
              </w:rPr>
              <w:t>Gregory</w:t>
            </w:r>
          </w:p>
        </w:tc>
        <w:tc>
          <w:tcPr>
            <w:tcW w:w="960" w:type="dxa"/>
            <w:vAlign w:val="bottom"/>
            <w:shd w:val="clear" w:color="auto" w:fill="0067B3"/>
          </w:tcPr>
          <w:p>
            <w:pPr>
              <w:ind w:left="320"/>
              <w:spacing w:after="0"/>
              <w:rPr>
                <w:sz w:val="20"/>
                <w:szCs w:val="20"/>
                <w:color w:val="auto"/>
              </w:rPr>
            </w:pPr>
            <w:r>
              <w:rPr>
                <w:rFonts w:ascii="Arial" w:cs="Arial" w:eastAsia="Arial" w:hAnsi="Arial"/>
                <w:sz w:val="14"/>
                <w:szCs w:val="14"/>
                <w:b w:val="1"/>
                <w:bCs w:val="1"/>
                <w:color w:val="FFFFFF"/>
              </w:rPr>
              <w:t>Vivek</w:t>
            </w:r>
          </w:p>
        </w:tc>
        <w:tc>
          <w:tcPr>
            <w:tcW w:w="78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Anelise</w:t>
            </w:r>
          </w:p>
        </w:tc>
      </w:tr>
      <w:tr>
        <w:trPr>
          <w:trHeight w:val="205"/>
        </w:trPr>
        <w:tc>
          <w:tcPr>
            <w:tcW w:w="280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4"/>
                <w:szCs w:val="14"/>
                <w:b w:val="1"/>
                <w:bCs w:val="1"/>
                <w:color w:val="FFFFFF"/>
              </w:rPr>
              <w:t>Grant Date</w:t>
            </w:r>
          </w:p>
        </w:tc>
        <w:tc>
          <w:tcPr>
            <w:tcW w:w="2920" w:type="dxa"/>
            <w:vAlign w:val="bottom"/>
            <w:tcBorders>
              <w:bottom w:val="single" w:sz="8" w:color="auto"/>
            </w:tcBorders>
            <w:shd w:val="clear" w:color="auto" w:fill="0067B3"/>
          </w:tcPr>
          <w:p>
            <w:pPr>
              <w:jc w:val="right"/>
              <w:ind w:right="145"/>
              <w:spacing w:after="0"/>
              <w:rPr>
                <w:sz w:val="20"/>
                <w:szCs w:val="20"/>
                <w:color w:val="auto"/>
              </w:rPr>
            </w:pPr>
            <w:r>
              <w:rPr>
                <w:rFonts w:ascii="Arial" w:cs="Arial" w:eastAsia="Arial" w:hAnsi="Arial"/>
                <w:sz w:val="14"/>
                <w:szCs w:val="14"/>
                <w:b w:val="1"/>
                <w:bCs w:val="1"/>
                <w:color w:val="FFFFFF"/>
              </w:rPr>
              <w:t>Date</w:t>
            </w:r>
          </w:p>
        </w:tc>
        <w:tc>
          <w:tcPr>
            <w:tcW w:w="2220" w:type="dxa"/>
            <w:vAlign w:val="bottom"/>
            <w:tcBorders>
              <w:bottom w:val="single" w:sz="8" w:color="auto"/>
            </w:tcBorders>
            <w:gridSpan w:val="2"/>
            <w:shd w:val="clear" w:color="auto" w:fill="0067B3"/>
          </w:tcPr>
          <w:p>
            <w:pPr>
              <w:jc w:val="right"/>
              <w:ind w:right="164"/>
              <w:spacing w:after="0"/>
              <w:rPr>
                <w:sz w:val="20"/>
                <w:szCs w:val="20"/>
                <w:color w:val="auto"/>
              </w:rPr>
            </w:pPr>
            <w:r>
              <w:rPr>
                <w:rFonts w:ascii="Arial" w:cs="Arial" w:eastAsia="Arial" w:hAnsi="Arial"/>
                <w:sz w:val="14"/>
                <w:szCs w:val="14"/>
                <w:b w:val="1"/>
                <w:bCs w:val="1"/>
                <w:color w:val="FFFFFF"/>
              </w:rPr>
              <w:t>Roche Mahendra-Rajah</w:t>
            </w:r>
          </w:p>
        </w:tc>
        <w:tc>
          <w:tcPr>
            <w:tcW w:w="1120" w:type="dxa"/>
            <w:vAlign w:val="bottom"/>
            <w:tcBorders>
              <w:bottom w:val="single" w:sz="8" w:color="auto"/>
            </w:tcBorders>
            <w:shd w:val="clear" w:color="auto" w:fill="0067B3"/>
          </w:tcPr>
          <w:p>
            <w:pPr>
              <w:jc w:val="right"/>
              <w:ind w:right="245"/>
              <w:spacing w:after="0"/>
              <w:rPr>
                <w:sz w:val="20"/>
                <w:szCs w:val="20"/>
                <w:color w:val="auto"/>
              </w:rPr>
            </w:pPr>
            <w:r>
              <w:rPr>
                <w:rFonts w:ascii="Arial" w:cs="Arial" w:eastAsia="Arial" w:hAnsi="Arial"/>
                <w:sz w:val="14"/>
                <w:szCs w:val="14"/>
                <w:b w:val="1"/>
                <w:bCs w:val="1"/>
                <w:color w:val="FFFFFF"/>
              </w:rPr>
              <w:t>Bryant</w:t>
            </w:r>
          </w:p>
        </w:tc>
        <w:tc>
          <w:tcPr>
            <w:tcW w:w="960" w:type="dxa"/>
            <w:vAlign w:val="bottom"/>
            <w:tcBorders>
              <w:bottom w:val="single" w:sz="8" w:color="auto"/>
            </w:tcBorders>
            <w:shd w:val="clear" w:color="auto" w:fill="0067B3"/>
          </w:tcPr>
          <w:p>
            <w:pPr>
              <w:jc w:val="center"/>
              <w:ind w:left="85"/>
              <w:spacing w:after="0"/>
              <w:rPr>
                <w:sz w:val="20"/>
                <w:szCs w:val="20"/>
                <w:color w:val="auto"/>
              </w:rPr>
            </w:pPr>
            <w:r>
              <w:rPr>
                <w:rFonts w:ascii="Arial" w:cs="Arial" w:eastAsia="Arial" w:hAnsi="Arial"/>
                <w:sz w:val="14"/>
                <w:szCs w:val="14"/>
                <w:b w:val="1"/>
                <w:bCs w:val="1"/>
                <w:color w:val="FFFFFF"/>
                <w:w w:val="99"/>
              </w:rPr>
              <w:t>Jain</w:t>
            </w:r>
          </w:p>
        </w:tc>
        <w:tc>
          <w:tcPr>
            <w:tcW w:w="7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Sacks</w:t>
            </w:r>
          </w:p>
        </w:tc>
      </w:tr>
      <w:tr>
        <w:trPr>
          <w:trHeight w:val="223"/>
        </w:trPr>
        <w:tc>
          <w:tcPr>
            <w:tcW w:w="28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3/13/2019</w:t>
            </w:r>
          </w:p>
        </w:tc>
        <w:tc>
          <w:tcPr>
            <w:tcW w:w="2920" w:type="dxa"/>
            <w:vAlign w:val="bottom"/>
            <w:tcBorders>
              <w:bottom w:val="single" w:sz="8" w:color="E2E6F4"/>
            </w:tcBorders>
            <w:shd w:val="clear" w:color="auto" w:fill="E2E6F4"/>
          </w:tcPr>
          <w:p>
            <w:pPr>
              <w:jc w:val="right"/>
              <w:ind w:right="145"/>
              <w:spacing w:after="0"/>
              <w:rPr>
                <w:sz w:val="20"/>
                <w:szCs w:val="20"/>
                <w:color w:val="auto"/>
              </w:rPr>
            </w:pPr>
            <w:r>
              <w:rPr>
                <w:rFonts w:ascii="Arial" w:cs="Arial" w:eastAsia="Arial" w:hAnsi="Arial"/>
                <w:sz w:val="15"/>
                <w:szCs w:val="15"/>
                <w:color w:val="auto"/>
              </w:rPr>
              <w:t>3/13/2023</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25,201</w:t>
            </w:r>
          </w:p>
        </w:tc>
        <w:tc>
          <w:tcPr>
            <w:tcW w:w="1180" w:type="dxa"/>
            <w:vAlign w:val="bottom"/>
            <w:tcBorders>
              <w:bottom w:val="single" w:sz="8" w:color="E2E6F4"/>
            </w:tcBorders>
            <w:shd w:val="clear" w:color="auto" w:fill="E2E6F4"/>
          </w:tcPr>
          <w:p>
            <w:pPr>
              <w:jc w:val="right"/>
              <w:ind w:right="204"/>
              <w:spacing w:after="0"/>
              <w:rPr>
                <w:sz w:val="20"/>
                <w:szCs w:val="20"/>
                <w:color w:val="auto"/>
              </w:rPr>
            </w:pPr>
            <w:r>
              <w:rPr>
                <w:rFonts w:ascii="Arial" w:cs="Arial" w:eastAsia="Arial" w:hAnsi="Arial"/>
                <w:sz w:val="15"/>
                <w:szCs w:val="15"/>
                <w:color w:val="auto"/>
              </w:rPr>
              <w:t>6,629</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2800" w:type="dxa"/>
            <w:vAlign w:val="bottom"/>
          </w:tcPr>
          <w:p>
            <w:pPr>
              <w:ind w:left="20"/>
              <w:spacing w:after="0"/>
              <w:rPr>
                <w:sz w:val="20"/>
                <w:szCs w:val="20"/>
                <w:color w:val="auto"/>
              </w:rPr>
            </w:pPr>
            <w:r>
              <w:rPr>
                <w:rFonts w:ascii="Arial" w:cs="Arial" w:eastAsia="Arial" w:hAnsi="Arial"/>
                <w:sz w:val="15"/>
                <w:szCs w:val="15"/>
                <w:color w:val="auto"/>
              </w:rPr>
              <w:t>3/11/2020</w:t>
            </w:r>
          </w:p>
        </w:tc>
        <w:tc>
          <w:tcPr>
            <w:tcW w:w="2920" w:type="dxa"/>
            <w:vAlign w:val="bottom"/>
          </w:tcPr>
          <w:p>
            <w:pPr>
              <w:jc w:val="right"/>
              <w:ind w:right="145"/>
              <w:spacing w:after="0"/>
              <w:rPr>
                <w:sz w:val="20"/>
                <w:szCs w:val="20"/>
                <w:color w:val="auto"/>
              </w:rPr>
            </w:pPr>
            <w:r>
              <w:rPr>
                <w:rFonts w:ascii="Arial" w:cs="Arial" w:eastAsia="Arial" w:hAnsi="Arial"/>
                <w:sz w:val="15"/>
                <w:szCs w:val="15"/>
                <w:color w:val="auto"/>
              </w:rPr>
              <w:t>3/15/2023</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33,655</w:t>
            </w:r>
          </w:p>
        </w:tc>
        <w:tc>
          <w:tcPr>
            <w:tcW w:w="1180" w:type="dxa"/>
            <w:vAlign w:val="bottom"/>
          </w:tcPr>
          <w:p>
            <w:pPr>
              <w:jc w:val="right"/>
              <w:ind w:right="204"/>
              <w:spacing w:after="0"/>
              <w:rPr>
                <w:sz w:val="20"/>
                <w:szCs w:val="20"/>
                <w:color w:val="auto"/>
              </w:rPr>
            </w:pPr>
            <w:r>
              <w:rPr>
                <w:rFonts w:ascii="Arial" w:cs="Arial" w:eastAsia="Arial" w:hAnsi="Arial"/>
                <w:sz w:val="15"/>
                <w:szCs w:val="15"/>
                <w:color w:val="auto"/>
              </w:rPr>
              <w:t>8,750</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2800" w:type="dxa"/>
            <w:vAlign w:val="bottom"/>
          </w:tcPr>
          <w:p>
            <w:pPr>
              <w:spacing w:after="0"/>
              <w:rPr>
                <w:sz w:val="21"/>
                <w:szCs w:val="21"/>
                <w:color w:val="auto"/>
              </w:rPr>
            </w:pPr>
          </w:p>
        </w:tc>
        <w:tc>
          <w:tcPr>
            <w:tcW w:w="2920" w:type="dxa"/>
            <w:vAlign w:val="bottom"/>
          </w:tcPr>
          <w:p>
            <w:pPr>
              <w:jc w:val="right"/>
              <w:ind w:right="145"/>
              <w:spacing w:after="0"/>
              <w:rPr>
                <w:sz w:val="20"/>
                <w:szCs w:val="20"/>
                <w:color w:val="auto"/>
              </w:rPr>
            </w:pPr>
            <w:r>
              <w:rPr>
                <w:rFonts w:ascii="Arial" w:cs="Arial" w:eastAsia="Arial" w:hAnsi="Arial"/>
                <w:sz w:val="15"/>
                <w:szCs w:val="15"/>
                <w:color w:val="auto"/>
              </w:rPr>
              <w:t>3/15/2024</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33,655</w:t>
            </w:r>
          </w:p>
        </w:tc>
        <w:tc>
          <w:tcPr>
            <w:tcW w:w="1180" w:type="dxa"/>
            <w:vAlign w:val="bottom"/>
          </w:tcPr>
          <w:p>
            <w:pPr>
              <w:jc w:val="right"/>
              <w:ind w:right="204"/>
              <w:spacing w:after="0"/>
              <w:rPr>
                <w:sz w:val="20"/>
                <w:szCs w:val="20"/>
                <w:color w:val="auto"/>
              </w:rPr>
            </w:pPr>
            <w:r>
              <w:rPr>
                <w:rFonts w:ascii="Arial" w:cs="Arial" w:eastAsia="Arial" w:hAnsi="Arial"/>
                <w:sz w:val="15"/>
                <w:szCs w:val="15"/>
                <w:color w:val="auto"/>
              </w:rPr>
              <w:t>8,751</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
        </w:trPr>
        <w:tc>
          <w:tcPr>
            <w:tcW w:w="28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28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color w:val="auto"/>
              </w:rPr>
              <w:t>12/15/2020</w:t>
            </w:r>
          </w:p>
        </w:tc>
        <w:tc>
          <w:tcPr>
            <w:tcW w:w="2920" w:type="dxa"/>
            <w:vAlign w:val="bottom"/>
            <w:tcBorders>
              <w:bottom w:val="single" w:sz="8" w:color="E2E6F4"/>
            </w:tcBorders>
            <w:shd w:val="clear" w:color="auto" w:fill="E2E6F4"/>
          </w:tcPr>
          <w:p>
            <w:pPr>
              <w:jc w:val="right"/>
              <w:ind w:right="145"/>
              <w:spacing w:after="0"/>
              <w:rPr>
                <w:sz w:val="20"/>
                <w:szCs w:val="20"/>
                <w:color w:val="auto"/>
              </w:rPr>
            </w:pPr>
            <w:r>
              <w:rPr>
                <w:rFonts w:ascii="Arial" w:cs="Arial" w:eastAsia="Arial" w:hAnsi="Arial"/>
                <w:sz w:val="15"/>
                <w:szCs w:val="15"/>
                <w:color w:val="auto"/>
              </w:rPr>
              <w:t>variable</w:t>
            </w:r>
          </w:p>
        </w:tc>
        <w:tc>
          <w:tcPr>
            <w:tcW w:w="1040" w:type="dxa"/>
            <w:vAlign w:val="bottom"/>
            <w:tcBorders>
              <w:bottom w:val="single" w:sz="8" w:color="E2E6F4"/>
            </w:tcBorders>
            <w:shd w:val="clear" w:color="auto" w:fill="E2E6F4"/>
          </w:tcPr>
          <w:p>
            <w:pPr>
              <w:jc w:val="right"/>
              <w:ind w:right="205"/>
              <w:spacing w:after="0"/>
              <w:rPr>
                <w:sz w:val="20"/>
                <w:szCs w:val="20"/>
                <w:color w:val="auto"/>
              </w:rPr>
            </w:pPr>
            <w:r>
              <w:rPr>
                <w:rFonts w:ascii="Arial" w:cs="Arial" w:eastAsia="Arial" w:hAnsi="Arial"/>
                <w:sz w:val="15"/>
                <w:szCs w:val="15"/>
                <w:color w:val="auto"/>
              </w:rPr>
              <w:t>460,000</w:t>
            </w:r>
          </w:p>
        </w:tc>
        <w:tc>
          <w:tcPr>
            <w:tcW w:w="1180" w:type="dxa"/>
            <w:vAlign w:val="bottom"/>
            <w:tcBorders>
              <w:bottom w:val="single" w:sz="8" w:color="E2E6F4"/>
            </w:tcBorders>
            <w:shd w:val="clear" w:color="auto" w:fill="E2E6F4"/>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2E6F4"/>
            </w:tcBorders>
            <w:shd w:val="clear" w:color="auto" w:fill="E2E6F4"/>
          </w:tcPr>
          <w:p>
            <w:pPr>
              <w:ind w:left="5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2E6F4"/>
            </w:tcBorders>
            <w:shd w:val="clear" w:color="auto" w:fill="E2E6F4"/>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2800" w:type="dxa"/>
            <w:vAlign w:val="bottom"/>
          </w:tcPr>
          <w:p>
            <w:pPr>
              <w:ind w:left="20"/>
              <w:spacing w:after="0"/>
              <w:rPr>
                <w:sz w:val="20"/>
                <w:szCs w:val="20"/>
                <w:color w:val="auto"/>
              </w:rPr>
            </w:pPr>
            <w:r>
              <w:rPr>
                <w:rFonts w:ascii="Arial" w:cs="Arial" w:eastAsia="Arial" w:hAnsi="Arial"/>
                <w:sz w:val="15"/>
                <w:szCs w:val="15"/>
                <w:color w:val="auto"/>
              </w:rPr>
              <w:t>03/10/2021</w:t>
            </w:r>
          </w:p>
        </w:tc>
        <w:tc>
          <w:tcPr>
            <w:tcW w:w="2920" w:type="dxa"/>
            <w:vAlign w:val="bottom"/>
          </w:tcPr>
          <w:p>
            <w:pPr>
              <w:jc w:val="right"/>
              <w:ind w:right="145"/>
              <w:spacing w:after="0"/>
              <w:rPr>
                <w:sz w:val="20"/>
                <w:szCs w:val="20"/>
                <w:color w:val="auto"/>
              </w:rPr>
            </w:pPr>
            <w:r>
              <w:rPr>
                <w:rFonts w:ascii="Arial" w:cs="Arial" w:eastAsia="Arial" w:hAnsi="Arial"/>
                <w:sz w:val="15"/>
                <w:szCs w:val="15"/>
                <w:color w:val="auto"/>
              </w:rPr>
              <w:t>3/10/2023</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17,696</w:t>
            </w:r>
          </w:p>
        </w:tc>
        <w:tc>
          <w:tcPr>
            <w:tcW w:w="1180" w:type="dxa"/>
            <w:vAlign w:val="bottom"/>
          </w:tcPr>
          <w:p>
            <w:pPr>
              <w:jc w:val="right"/>
              <w:ind w:right="204"/>
              <w:spacing w:after="0"/>
              <w:rPr>
                <w:sz w:val="20"/>
                <w:szCs w:val="20"/>
                <w:color w:val="auto"/>
              </w:rPr>
            </w:pPr>
            <w:r>
              <w:rPr>
                <w:rFonts w:ascii="Arial" w:cs="Arial" w:eastAsia="Arial" w:hAnsi="Arial"/>
                <w:sz w:val="15"/>
                <w:szCs w:val="15"/>
                <w:color w:val="auto"/>
              </w:rPr>
              <w:t>4,826</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2,091</w:t>
            </w:r>
          </w:p>
        </w:tc>
      </w:tr>
      <w:tr>
        <w:trPr>
          <w:trHeight w:val="243"/>
        </w:trPr>
        <w:tc>
          <w:tcPr>
            <w:tcW w:w="2800" w:type="dxa"/>
            <w:vAlign w:val="bottom"/>
          </w:tcPr>
          <w:p>
            <w:pPr>
              <w:spacing w:after="0"/>
              <w:rPr>
                <w:sz w:val="21"/>
                <w:szCs w:val="21"/>
                <w:color w:val="auto"/>
              </w:rPr>
            </w:pPr>
          </w:p>
        </w:tc>
        <w:tc>
          <w:tcPr>
            <w:tcW w:w="2920" w:type="dxa"/>
            <w:vAlign w:val="bottom"/>
          </w:tcPr>
          <w:p>
            <w:pPr>
              <w:jc w:val="right"/>
              <w:ind w:right="145"/>
              <w:spacing w:after="0"/>
              <w:rPr>
                <w:sz w:val="20"/>
                <w:szCs w:val="20"/>
                <w:color w:val="auto"/>
              </w:rPr>
            </w:pPr>
            <w:r>
              <w:rPr>
                <w:rFonts w:ascii="Arial" w:cs="Arial" w:eastAsia="Arial" w:hAnsi="Arial"/>
                <w:sz w:val="15"/>
                <w:szCs w:val="15"/>
                <w:color w:val="auto"/>
              </w:rPr>
              <w:t>3/10/2024</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17,697</w:t>
            </w:r>
          </w:p>
        </w:tc>
        <w:tc>
          <w:tcPr>
            <w:tcW w:w="1180" w:type="dxa"/>
            <w:vAlign w:val="bottom"/>
          </w:tcPr>
          <w:p>
            <w:pPr>
              <w:jc w:val="right"/>
              <w:ind w:right="204"/>
              <w:spacing w:after="0"/>
              <w:rPr>
                <w:sz w:val="20"/>
                <w:szCs w:val="20"/>
                <w:color w:val="auto"/>
              </w:rPr>
            </w:pPr>
            <w:r>
              <w:rPr>
                <w:rFonts w:ascii="Arial" w:cs="Arial" w:eastAsia="Arial" w:hAnsi="Arial"/>
                <w:sz w:val="15"/>
                <w:szCs w:val="15"/>
                <w:color w:val="auto"/>
              </w:rPr>
              <w:t>4,827</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2,092</w:t>
            </w:r>
          </w:p>
        </w:tc>
      </w:tr>
      <w:tr>
        <w:trPr>
          <w:trHeight w:val="243"/>
        </w:trPr>
        <w:tc>
          <w:tcPr>
            <w:tcW w:w="2800" w:type="dxa"/>
            <w:vAlign w:val="bottom"/>
          </w:tcPr>
          <w:p>
            <w:pPr>
              <w:spacing w:after="0"/>
              <w:rPr>
                <w:sz w:val="21"/>
                <w:szCs w:val="21"/>
                <w:color w:val="auto"/>
              </w:rPr>
            </w:pPr>
          </w:p>
        </w:tc>
        <w:tc>
          <w:tcPr>
            <w:tcW w:w="2920" w:type="dxa"/>
            <w:vAlign w:val="bottom"/>
          </w:tcPr>
          <w:p>
            <w:pPr>
              <w:jc w:val="right"/>
              <w:ind w:right="145"/>
              <w:spacing w:after="0"/>
              <w:rPr>
                <w:sz w:val="20"/>
                <w:szCs w:val="20"/>
                <w:color w:val="auto"/>
              </w:rPr>
            </w:pPr>
            <w:r>
              <w:rPr>
                <w:rFonts w:ascii="Arial" w:cs="Arial" w:eastAsia="Arial" w:hAnsi="Arial"/>
                <w:sz w:val="15"/>
                <w:szCs w:val="15"/>
                <w:color w:val="auto"/>
              </w:rPr>
              <w:t>3/10/2025</w:t>
            </w:r>
          </w:p>
        </w:tc>
        <w:tc>
          <w:tcPr>
            <w:tcW w:w="1040" w:type="dxa"/>
            <w:vAlign w:val="bottom"/>
          </w:tcPr>
          <w:p>
            <w:pPr>
              <w:jc w:val="right"/>
              <w:ind w:right="205"/>
              <w:spacing w:after="0"/>
              <w:rPr>
                <w:sz w:val="20"/>
                <w:szCs w:val="20"/>
                <w:color w:val="auto"/>
              </w:rPr>
            </w:pPr>
            <w:r>
              <w:rPr>
                <w:rFonts w:ascii="Arial" w:cs="Arial" w:eastAsia="Arial" w:hAnsi="Arial"/>
                <w:sz w:val="15"/>
                <w:szCs w:val="15"/>
                <w:color w:val="auto"/>
              </w:rPr>
              <w:t>17,697</w:t>
            </w:r>
          </w:p>
        </w:tc>
        <w:tc>
          <w:tcPr>
            <w:tcW w:w="1180" w:type="dxa"/>
            <w:vAlign w:val="bottom"/>
          </w:tcPr>
          <w:p>
            <w:pPr>
              <w:jc w:val="right"/>
              <w:ind w:right="204"/>
              <w:spacing w:after="0"/>
              <w:rPr>
                <w:sz w:val="20"/>
                <w:szCs w:val="20"/>
                <w:color w:val="auto"/>
              </w:rPr>
            </w:pPr>
            <w:r>
              <w:rPr>
                <w:rFonts w:ascii="Arial" w:cs="Arial" w:eastAsia="Arial" w:hAnsi="Arial"/>
                <w:sz w:val="15"/>
                <w:szCs w:val="15"/>
                <w:color w:val="auto"/>
              </w:rPr>
              <w:t>4,827</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105"/>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2,092</w:t>
            </w:r>
          </w:p>
        </w:tc>
      </w:tr>
      <w:tr>
        <w:trPr>
          <w:trHeight w:val="33"/>
        </w:trPr>
        <w:tc>
          <w:tcPr>
            <w:tcW w:w="2800" w:type="dxa"/>
            <w:vAlign w:val="bottom"/>
            <w:tcBorders>
              <w:bottom w:val="single" w:sz="8" w:color="0067B3"/>
            </w:tcBorders>
          </w:tcPr>
          <w:p>
            <w:pPr>
              <w:spacing w:after="0"/>
              <w:rPr>
                <w:sz w:val="2"/>
                <w:szCs w:val="2"/>
                <w:color w:val="auto"/>
              </w:rPr>
            </w:pPr>
          </w:p>
        </w:tc>
        <w:tc>
          <w:tcPr>
            <w:tcW w:w="2920" w:type="dxa"/>
            <w:vAlign w:val="bottom"/>
            <w:tcBorders>
              <w:bottom w:val="single" w:sz="8" w:color="0067B3"/>
            </w:tcBorders>
          </w:tcPr>
          <w:p>
            <w:pPr>
              <w:spacing w:after="0"/>
              <w:rPr>
                <w:sz w:val="2"/>
                <w:szCs w:val="2"/>
                <w:color w:val="auto"/>
              </w:rPr>
            </w:pPr>
          </w:p>
        </w:tc>
        <w:tc>
          <w:tcPr>
            <w:tcW w:w="1040" w:type="dxa"/>
            <w:vAlign w:val="bottom"/>
            <w:tcBorders>
              <w:bottom w:val="single" w:sz="8" w:color="0067B3"/>
            </w:tcBorders>
          </w:tcPr>
          <w:p>
            <w:pPr>
              <w:spacing w:after="0"/>
              <w:rPr>
                <w:sz w:val="2"/>
                <w:szCs w:val="2"/>
                <w:color w:val="auto"/>
              </w:rPr>
            </w:pPr>
          </w:p>
        </w:tc>
        <w:tc>
          <w:tcPr>
            <w:tcW w:w="1180" w:type="dxa"/>
            <w:vAlign w:val="bottom"/>
            <w:tcBorders>
              <w:bottom w:val="single" w:sz="8" w:color="0067B3"/>
            </w:tcBorders>
          </w:tcPr>
          <w:p>
            <w:pPr>
              <w:spacing w:after="0"/>
              <w:rPr>
                <w:sz w:val="2"/>
                <w:szCs w:val="2"/>
                <w:color w:val="auto"/>
              </w:rPr>
            </w:pPr>
          </w:p>
        </w:tc>
        <w:tc>
          <w:tcPr>
            <w:tcW w:w="1120" w:type="dxa"/>
            <w:vAlign w:val="bottom"/>
            <w:tcBorders>
              <w:bottom w:val="single" w:sz="8" w:color="0067B3"/>
            </w:tcBorders>
          </w:tcPr>
          <w:p>
            <w:pPr>
              <w:spacing w:after="0"/>
              <w:rPr>
                <w:sz w:val="2"/>
                <w:szCs w:val="2"/>
                <w:color w:val="auto"/>
              </w:rPr>
            </w:pPr>
          </w:p>
        </w:tc>
        <w:tc>
          <w:tcPr>
            <w:tcW w:w="960" w:type="dxa"/>
            <w:vAlign w:val="bottom"/>
            <w:tcBorders>
              <w:bottom w:val="single" w:sz="8" w:color="0067B3"/>
            </w:tcBorders>
          </w:tcPr>
          <w:p>
            <w:pPr>
              <w:spacing w:after="0"/>
              <w:rPr>
                <w:sz w:val="2"/>
                <w:szCs w:val="2"/>
                <w:color w:val="auto"/>
              </w:rPr>
            </w:pPr>
          </w:p>
        </w:tc>
        <w:tc>
          <w:tcPr>
            <w:tcW w:w="780" w:type="dxa"/>
            <w:vAlign w:val="bottom"/>
            <w:tcBorders>
              <w:bottom w:val="single" w:sz="8" w:color="0067B3"/>
            </w:tcBorders>
          </w:tcPr>
          <w:p>
            <w:pPr>
              <w:spacing w:after="0"/>
              <w:rPr>
                <w:sz w:val="2"/>
                <w:szCs w:val="2"/>
                <w:color w:val="auto"/>
              </w:rPr>
            </w:pPr>
          </w:p>
        </w:tc>
      </w:tr>
    </w:tbl>
    <w:p>
      <w:pPr>
        <w:spacing w:after="0" w:line="188" w:lineRule="exact"/>
        <w:rPr>
          <w:sz w:val="20"/>
          <w:szCs w:val="20"/>
          <w:color w:val="auto"/>
        </w:rPr>
      </w:pPr>
    </w:p>
    <w:p>
      <w:pPr>
        <w:ind w:left="200" w:right="40" w:hanging="192"/>
        <w:spacing w:after="0" w:line="235" w:lineRule="auto"/>
        <w:tabs>
          <w:tab w:leader="none" w:pos="215"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the performance-based stock option will vest subject to the satisfaction of certain target stock price thresholds during a five-year period, measured on the basis of the average of the closing prices of ADI’s common stock over 70 consecutive trading days.</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The expiration date of each stock option award is ten years after its grant date.</w:t>
      </w:r>
    </w:p>
    <w:p>
      <w:pPr>
        <w:spacing w:after="0" w:line="70" w:lineRule="exact"/>
        <w:rPr>
          <w:rFonts w:ascii="Arial" w:cs="Arial" w:eastAsia="Arial" w:hAnsi="Arial"/>
          <w:sz w:val="21"/>
          <w:szCs w:val="21"/>
          <w:color w:val="auto"/>
          <w:vertAlign w:val="superscript"/>
        </w:rPr>
      </w:pPr>
    </w:p>
    <w:p>
      <w:pPr>
        <w:ind w:left="200" w:right="40" w:hanging="192"/>
        <w:spacing w:after="0" w:line="242" w:lineRule="auto"/>
        <w:tabs>
          <w:tab w:leader="none" w:pos="215"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 xml:space="preserve">The time-based RSUs granted in 2019, 2020, and 2021 vest in four equal installments on the first, second, third and fourth anniversaries of the grant date. The time-based RSUs granted in 2022 (other than those granted to Mr. Bryant on March 15, 2022 and those granted to Mr. Jain in 2019, 2020 and 2021) vest in four equal installments on each of the first, second, third and fourth anniversaries of March 15, 2022. The time-based RSUs granted to Mr. Bryant on March 15, 2022 vest as follows: (i) 34,827 RSUs vest in equal increments on the first, second, third and fourth anniversaries of March 15, 2022, and (ii) 35,187 time-based RSUs vest in full on the third anniversary of March 15, 2022 as described in </w:t>
      </w:r>
      <w:r>
        <w:rPr>
          <w:rFonts w:ascii="Arial" w:cs="Arial" w:eastAsia="Arial" w:hAnsi="Arial"/>
          <w:sz w:val="16"/>
          <w:szCs w:val="16"/>
          <w:i w:val="1"/>
          <w:iCs w:val="1"/>
          <w:color w:val="auto"/>
        </w:rPr>
        <w:t>Equity Vehicle Structure - New-Hire Equity Awards</w:t>
      </w:r>
      <w:r>
        <w:rPr>
          <w:rFonts w:ascii="Arial" w:cs="Arial" w:eastAsia="Arial" w:hAnsi="Arial"/>
          <w:sz w:val="16"/>
          <w:szCs w:val="16"/>
          <w:color w:val="auto"/>
        </w:rPr>
        <w:t xml:space="preserve"> above. The remaining time-based RSUs</w:t>
      </w: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100"/>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11" w:right="339" w:bottom="881" w:gutter="0" w:footer="0" w:header="0"/>
        </w:sectPr>
      </w:pPr>
    </w:p>
    <w:bookmarkStart w:id="80" w:name="page81"/>
    <w:bookmarkEnd w:id="80"/>
    <w:p>
      <w:pPr>
        <w:ind w:left="192" w:right="140"/>
        <w:spacing w:after="0" w:line="275" w:lineRule="auto"/>
        <w:rPr>
          <w:sz w:val="20"/>
          <w:szCs w:val="20"/>
          <w:color w:val="auto"/>
        </w:rPr>
      </w:pPr>
      <w:r>
        <w:rPr>
          <w:rFonts w:ascii="Arial" w:cs="Arial" w:eastAsia="Arial" w:hAnsi="Arial"/>
          <w:sz w:val="16"/>
          <w:szCs w:val="16"/>
          <w:color w:val="auto"/>
        </w:rPr>
        <w:t>granted to Mr. Jain in 2019 vest on August 15, 2023. The time-based RSUs granted to Mr. Jain in 2021 vest in four equal increments on February 15, 2025; May 15, 2025; August 15, 2025; and November 15, 2025. The restricted stock awards granted to Mr. Jain in 2020 vest in four equal increments on February 15, 2024; May 15, 2024; August 15, 2024; and November 15, 2024.</w:t>
      </w:r>
    </w:p>
    <w:p>
      <w:pPr>
        <w:spacing w:after="0" w:line="29" w:lineRule="exact"/>
        <w:rPr>
          <w:sz w:val="20"/>
          <w:szCs w:val="20"/>
          <w:color w:val="auto"/>
        </w:rPr>
      </w:pPr>
    </w:p>
    <w:p>
      <w:pPr>
        <w:ind w:left="192" w:right="200" w:hanging="192"/>
        <w:spacing w:after="0" w:line="227"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The market value was calculated based on $144.88, the closing price per share of our common stock on October 28, 2022, the last trading day of fiscal year 2022.</w:t>
      </w:r>
    </w:p>
    <w:p>
      <w:pPr>
        <w:spacing w:after="0" w:line="56" w:lineRule="exact"/>
        <w:rPr>
          <w:rFonts w:ascii="Arial" w:cs="Arial" w:eastAsia="Arial" w:hAnsi="Arial"/>
          <w:sz w:val="21"/>
          <w:szCs w:val="21"/>
          <w:color w:val="auto"/>
          <w:vertAlign w:val="superscript"/>
        </w:rPr>
      </w:pPr>
    </w:p>
    <w:p>
      <w:pPr>
        <w:ind w:left="192" w:right="40" w:hanging="192"/>
        <w:spacing w:after="0" w:line="238"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Includes 27,368 shares under relative TSR PRSU awards. The number of shares, if any, earned under relative TSR PRSU awards granted in March 2020 is contingent upon the achievement of pre-established performance parameters over a three-year performance period beginning on the grant date and ending on the third anniversary of the grant date and vest on March 25, 2023.</w:t>
      </w:r>
    </w:p>
    <w:p>
      <w:pPr>
        <w:spacing w:after="0" w:line="57" w:lineRule="exact"/>
        <w:rPr>
          <w:rFonts w:ascii="Arial" w:cs="Arial" w:eastAsia="Arial" w:hAnsi="Arial"/>
          <w:sz w:val="21"/>
          <w:szCs w:val="21"/>
          <w:color w:val="auto"/>
          <w:vertAlign w:val="superscript"/>
        </w:rPr>
      </w:pPr>
    </w:p>
    <w:p>
      <w:pPr>
        <w:ind w:left="192" w:right="260" w:hanging="192"/>
        <w:spacing w:after="0" w:line="233"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Includes 53,394 shares under financial metric PRSU awards granted in March 2020, which is 195.1% of the total target number of such PRSUs and reflects the performance of such awards certified by the Compensation and Talent Committee in December 2022. These awards will vest on March 15, 2023.</w:t>
      </w:r>
    </w:p>
    <w:p>
      <w:pPr>
        <w:spacing w:after="0" w:line="56" w:lineRule="exact"/>
        <w:rPr>
          <w:rFonts w:ascii="Arial" w:cs="Arial" w:eastAsia="Arial" w:hAnsi="Arial"/>
          <w:sz w:val="21"/>
          <w:szCs w:val="21"/>
          <w:color w:val="auto"/>
          <w:vertAlign w:val="superscript"/>
        </w:rPr>
      </w:pPr>
    </w:p>
    <w:p>
      <w:pPr>
        <w:ind w:left="192" w:right="60" w:hanging="192"/>
        <w:spacing w:after="0" w:line="238"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2021 is contingent upon the achievement of pre-established performance parameters over a three-year performance period beginning on the grant date and ending on the third anniversary of the grant date and vest on March 25, 2024.</w:t>
      </w:r>
    </w:p>
    <w:p>
      <w:pPr>
        <w:spacing w:after="0" w:line="57" w:lineRule="exact"/>
        <w:rPr>
          <w:rFonts w:ascii="Arial" w:cs="Arial" w:eastAsia="Arial" w:hAnsi="Arial"/>
          <w:sz w:val="21"/>
          <w:szCs w:val="21"/>
          <w:color w:val="auto"/>
          <w:vertAlign w:val="superscript"/>
        </w:rPr>
      </w:pPr>
    </w:p>
    <w:p>
      <w:pPr>
        <w:ind w:left="192" w:right="60" w:hanging="192"/>
        <w:spacing w:after="0" w:line="227" w:lineRule="auto"/>
        <w:tabs>
          <w:tab w:leader="none" w:pos="207"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The number of shares, if any, earned under relative TSR PRSU awards granted in 2022 is contingent upon the achievement of pre-established performance parameters over a three-year performance period beginning on March 15, 2022 and ending on March 25, 2025 and vest on March 29, 2025.</w:t>
      </w:r>
    </w:p>
    <w:p>
      <w:pPr>
        <w:spacing w:after="0" w:line="56" w:lineRule="exact"/>
        <w:rPr>
          <w:rFonts w:ascii="Arial" w:cs="Arial" w:eastAsia="Arial" w:hAnsi="Arial"/>
          <w:sz w:val="21"/>
          <w:szCs w:val="21"/>
          <w:color w:val="auto"/>
          <w:vertAlign w:val="superscript"/>
        </w:rPr>
      </w:pPr>
    </w:p>
    <w:p>
      <w:pPr>
        <w:ind w:left="192" w:hanging="192"/>
        <w:spacing w:after="0" w:line="257" w:lineRule="auto"/>
        <w:tabs>
          <w:tab w:leader="none" w:pos="225"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 xml:space="preserve">The number of shares, if any, earned under the Maxim Integration PRSU awards granted in 2020 and 2021 will vest on October 25, 2023, subject to the level of attainment of the performance parameters as described in our 2022 Proxy Statement under the section titled </w:t>
      </w:r>
      <w:r>
        <w:rPr>
          <w:rFonts w:ascii="Arial" w:cs="Arial" w:eastAsia="Arial" w:hAnsi="Arial"/>
          <w:sz w:val="15"/>
          <w:szCs w:val="15"/>
          <w:i w:val="1"/>
          <w:iCs w:val="1"/>
          <w:color w:val="auto"/>
        </w:rPr>
        <w:t>Special Equity Awards - Components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Fiscal 2021 Executive Compensation </w:t>
      </w:r>
      <w:r>
        <w:rPr>
          <w:rFonts w:ascii="Arial" w:cs="Arial" w:eastAsia="Arial" w:hAnsi="Arial"/>
          <w:sz w:val="15"/>
          <w:szCs w:val="15"/>
          <w:color w:val="auto"/>
        </w:rPr>
        <w:t>and footnote 5 of the Outstanding Equity Awards at Fiscal Year-End 2021 table.</w:t>
      </w:r>
    </w:p>
    <w:p>
      <w:pPr>
        <w:spacing w:after="0" w:line="44" w:lineRule="exact"/>
        <w:rPr>
          <w:rFonts w:ascii="Arial" w:cs="Arial" w:eastAsia="Arial" w:hAnsi="Arial"/>
          <w:sz w:val="19"/>
          <w:szCs w:val="19"/>
          <w:color w:val="auto"/>
          <w:vertAlign w:val="superscript"/>
        </w:rPr>
      </w:pPr>
    </w:p>
    <w:p>
      <w:pPr>
        <w:ind w:left="192" w:right="440" w:hanging="192"/>
        <w:spacing w:after="0" w:line="290" w:lineRule="auto"/>
        <w:tabs>
          <w:tab w:leader="none" w:pos="218"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Includes 7,116 shares under TSR PRSU awards. The number of shares, if any, earned under relative TSR PRSU awards granted in March 2020 is contingent upon the achievement of pre-established performance parameters over a three-year performance period beginning on the grant date and ending on the third anniversary of the grant date and vest on March 25, 2023.</w:t>
      </w:r>
    </w:p>
    <w:p>
      <w:pPr>
        <w:spacing w:after="0" w:line="22" w:lineRule="exact"/>
        <w:rPr>
          <w:rFonts w:ascii="Arial" w:cs="Arial" w:eastAsia="Arial" w:hAnsi="Arial"/>
          <w:sz w:val="18"/>
          <w:szCs w:val="18"/>
          <w:color w:val="auto"/>
          <w:vertAlign w:val="superscript"/>
        </w:rPr>
      </w:pPr>
    </w:p>
    <w:p>
      <w:pPr>
        <w:ind w:left="192" w:right="260" w:hanging="192"/>
        <w:spacing w:after="0" w:line="397" w:lineRule="auto"/>
        <w:tabs>
          <w:tab w:leader="none" w:pos="225"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Includes 13,883 shares under financial metric PRSU awards granted in March 2020, which is 195.1% of the total target number of such PRSUs and reflects the performance of such awards certified by the Compensation and Talent Committee in December 2022. These awards will vest on March 15, 2023.</w:t>
      </w:r>
    </w:p>
    <w:p>
      <w:pPr>
        <w:spacing w:after="0" w:line="1" w:lineRule="exact"/>
        <w:rPr>
          <w:rFonts w:ascii="Arial" w:cs="Arial" w:eastAsia="Arial" w:hAnsi="Arial"/>
          <w:sz w:val="19"/>
          <w:szCs w:val="19"/>
          <w:color w:val="auto"/>
          <w:vertAlign w:val="superscript"/>
        </w:rPr>
      </w:pPr>
    </w:p>
    <w:p>
      <w:pPr>
        <w:ind w:left="192" w:right="280" w:hanging="192"/>
        <w:spacing w:after="0" w:line="276" w:lineRule="auto"/>
        <w:tabs>
          <w:tab w:leader="none" w:pos="225"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The number of shares, if any, earned under financial metric PRSU awards granted in 2021 and 2022 will vest on March 15, 2024 and March 15, 2025, respectively, subject to the level of attainment of the performance parameters achieved over the applicable three-year performance period.</w:t>
      </w:r>
    </w:p>
    <w:p>
      <w:pPr>
        <w:spacing w:after="0" w:line="9" w:lineRule="exact"/>
        <w:rPr>
          <w:rFonts w:ascii="Arial" w:cs="Arial" w:eastAsia="Arial" w:hAnsi="Arial"/>
          <w:sz w:val="19"/>
          <w:szCs w:val="19"/>
          <w:color w:val="auto"/>
          <w:vertAlign w:val="superscript"/>
        </w:rPr>
      </w:pPr>
    </w:p>
    <w:p>
      <w:pPr>
        <w:ind w:left="192" w:right="160" w:hanging="192"/>
        <w:spacing w:after="0" w:line="276" w:lineRule="auto"/>
        <w:tabs>
          <w:tab w:leader="none" w:pos="225"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 xml:space="preserve">The number of shares, if any, earned under Mr. Bryant’s new-hire PRSU awards granted during 2022 will vest on attainment dates upon achievement of certain price hurdles as are described in </w:t>
      </w:r>
      <w:r>
        <w:rPr>
          <w:rFonts w:ascii="Arial" w:cs="Arial" w:eastAsia="Arial" w:hAnsi="Arial"/>
          <w:sz w:val="15"/>
          <w:szCs w:val="15"/>
          <w:i w:val="1"/>
          <w:iCs w:val="1"/>
          <w:color w:val="auto"/>
        </w:rPr>
        <w:t>Equity Vehicle Structure - New-Hire Equity Awards</w:t>
      </w:r>
      <w:r>
        <w:rPr>
          <w:rFonts w:ascii="Arial" w:cs="Arial" w:eastAsia="Arial" w:hAnsi="Arial"/>
          <w:sz w:val="15"/>
          <w:szCs w:val="15"/>
          <w:color w:val="auto"/>
        </w:rPr>
        <w:t xml:space="preserve"> above.</w:t>
      </w:r>
    </w:p>
    <w:p>
      <w:pPr>
        <w:spacing w:after="0" w:line="270" w:lineRule="exact"/>
        <w:rPr>
          <w:sz w:val="20"/>
          <w:szCs w:val="20"/>
          <w:color w:val="auto"/>
        </w:rPr>
      </w:pPr>
    </w:p>
    <w:p>
      <w:pPr>
        <w:ind w:left="9152"/>
        <w:spacing w:after="0"/>
        <w:tabs>
          <w:tab w:leader="none" w:pos="10972"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73</w:t>
      </w:r>
    </w:p>
    <w:p>
      <w:pPr>
        <w:sectPr>
          <w:pgSz w:w="11900" w:h="16838" w:orient="portrait"/>
          <w:cols w:equalWidth="0" w:num="1">
            <w:col w:w="11232"/>
          </w:cols>
          <w:pgMar w:left="328" w:top="1178" w:right="339" w:bottom="1440" w:gutter="0" w:footer="0" w:header="0"/>
        </w:sectPr>
      </w:pPr>
    </w:p>
    <w:bookmarkStart w:id="81" w:name="page82"/>
    <w:bookmarkEnd w:id="81"/>
    <w:p>
      <w:pPr>
        <w:spacing w:after="0"/>
        <w:rPr>
          <w:sz w:val="20"/>
          <w:szCs w:val="20"/>
          <w:color w:val="auto"/>
        </w:rPr>
      </w:pPr>
      <w:r>
        <w:rPr>
          <w:rFonts w:ascii="Arial" w:cs="Arial" w:eastAsia="Arial" w:hAnsi="Arial"/>
          <w:sz w:val="32"/>
          <w:szCs w:val="32"/>
          <w:b w:val="1"/>
          <w:bCs w:val="1"/>
          <w:color w:val="auto"/>
        </w:rPr>
        <w:t>Option Exercises and Stock Vested During Fiscal Year 2022</w:t>
      </w:r>
    </w:p>
    <w:p>
      <w:pPr>
        <w:spacing w:after="0" w:line="15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provides information on the aggregate value realized by each NEO upon the exercise of stock options and the vesting of restricted stock units/awards, time-based RSUs and PRSUs during fiscal year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0067B3"/>
          </w:tcPr>
          <w:p>
            <w:pPr>
              <w:spacing w:after="0"/>
              <w:rPr>
                <w:sz w:val="21"/>
                <w:szCs w:val="21"/>
                <w:color w:val="auto"/>
              </w:rPr>
            </w:pPr>
          </w:p>
        </w:tc>
        <w:tc>
          <w:tcPr>
            <w:tcW w:w="3620" w:type="dxa"/>
            <w:vAlign w:val="bottom"/>
            <w:gridSpan w:val="2"/>
            <w:shd w:val="clear" w:color="auto" w:fill="0067B3"/>
          </w:tcPr>
          <w:p>
            <w:pPr>
              <w:jc w:val="right"/>
              <w:ind w:right="1213"/>
              <w:spacing w:after="0"/>
              <w:rPr>
                <w:sz w:val="20"/>
                <w:szCs w:val="20"/>
                <w:color w:val="auto"/>
              </w:rPr>
            </w:pPr>
            <w:r>
              <w:rPr>
                <w:rFonts w:ascii="Arial" w:cs="Arial" w:eastAsia="Arial" w:hAnsi="Arial"/>
                <w:sz w:val="16"/>
                <w:szCs w:val="16"/>
                <w:b w:val="1"/>
                <w:bCs w:val="1"/>
                <w:color w:val="FFFFFF"/>
              </w:rPr>
              <w:t>Option Awards</w:t>
            </w:r>
          </w:p>
        </w:tc>
        <w:tc>
          <w:tcPr>
            <w:tcW w:w="3540" w:type="dxa"/>
            <w:vAlign w:val="bottom"/>
            <w:gridSpan w:val="2"/>
            <w:shd w:val="clear" w:color="auto" w:fill="0067B3"/>
          </w:tcPr>
          <w:p>
            <w:pPr>
              <w:jc w:val="right"/>
              <w:ind w:right="1093"/>
              <w:spacing w:after="0"/>
              <w:rPr>
                <w:sz w:val="20"/>
                <w:szCs w:val="20"/>
                <w:color w:val="auto"/>
              </w:rPr>
            </w:pPr>
            <w:r>
              <w:rPr>
                <w:rFonts w:ascii="Arial" w:cs="Arial" w:eastAsia="Arial" w:hAnsi="Arial"/>
                <w:sz w:val="16"/>
                <w:szCs w:val="16"/>
                <w:b w:val="1"/>
                <w:bCs w:val="1"/>
                <w:color w:val="FFFFFF"/>
              </w:rPr>
              <w:t>Stock Awards</w:t>
            </w:r>
          </w:p>
        </w:tc>
      </w:tr>
      <w:tr>
        <w:trPr>
          <w:trHeight w:val="229"/>
        </w:trPr>
        <w:tc>
          <w:tcPr>
            <w:tcW w:w="4080" w:type="dxa"/>
            <w:vAlign w:val="bottom"/>
            <w:shd w:val="clear" w:color="auto" w:fill="0067B3"/>
          </w:tcPr>
          <w:p>
            <w:pPr>
              <w:spacing w:after="0"/>
              <w:rPr>
                <w:sz w:val="19"/>
                <w:szCs w:val="19"/>
                <w:color w:val="auto"/>
              </w:rPr>
            </w:pPr>
          </w:p>
        </w:tc>
        <w:tc>
          <w:tcPr>
            <w:tcW w:w="202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Number of Shares</w:t>
            </w:r>
          </w:p>
        </w:tc>
        <w:tc>
          <w:tcPr>
            <w:tcW w:w="1600" w:type="dxa"/>
            <w:vAlign w:val="bottom"/>
            <w:shd w:val="clear" w:color="auto" w:fill="0067B3"/>
          </w:tcPr>
          <w:p>
            <w:pPr>
              <w:jc w:val="right"/>
              <w:ind w:right="53"/>
              <w:spacing w:after="0"/>
              <w:rPr>
                <w:sz w:val="20"/>
                <w:szCs w:val="20"/>
                <w:color w:val="auto"/>
              </w:rPr>
            </w:pPr>
            <w:r>
              <w:rPr>
                <w:rFonts w:ascii="Arial" w:cs="Arial" w:eastAsia="Arial" w:hAnsi="Arial"/>
                <w:sz w:val="16"/>
                <w:szCs w:val="16"/>
                <w:b w:val="1"/>
                <w:bCs w:val="1"/>
                <w:color w:val="FFFFFF"/>
              </w:rPr>
              <w:t>Value Realized on</w:t>
            </w:r>
          </w:p>
        </w:tc>
        <w:tc>
          <w:tcPr>
            <w:tcW w:w="2060" w:type="dxa"/>
            <w:vAlign w:val="bottom"/>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Number of Shares</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Value Realized on</w:t>
            </w:r>
          </w:p>
        </w:tc>
      </w:tr>
      <w:tr>
        <w:trPr>
          <w:trHeight w:val="230"/>
        </w:trPr>
        <w:tc>
          <w:tcPr>
            <w:tcW w:w="40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Grant Date</w:t>
            </w:r>
          </w:p>
        </w:tc>
        <w:tc>
          <w:tcPr>
            <w:tcW w:w="2020" w:type="dxa"/>
            <w:vAlign w:val="bottom"/>
            <w:tcBorders>
              <w:bottom w:val="single" w:sz="8" w:color="auto"/>
            </w:tcBorders>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Acquired on Exercise (#)</w:t>
            </w:r>
          </w:p>
        </w:tc>
        <w:tc>
          <w:tcPr>
            <w:tcW w:w="1600" w:type="dxa"/>
            <w:vAlign w:val="bottom"/>
            <w:tcBorders>
              <w:bottom w:val="single" w:sz="8" w:color="auto"/>
            </w:tcBorders>
            <w:shd w:val="clear" w:color="auto" w:fill="0067B3"/>
          </w:tcPr>
          <w:p>
            <w:pPr>
              <w:jc w:val="right"/>
              <w:ind w:right="53"/>
              <w:spacing w:after="0" w:line="230" w:lineRule="exact"/>
              <w:rPr>
                <w:sz w:val="20"/>
                <w:szCs w:val="20"/>
                <w:color w:val="auto"/>
              </w:rPr>
            </w:pPr>
            <w:r>
              <w:rPr>
                <w:rFonts w:ascii="Arial" w:cs="Arial" w:eastAsia="Arial" w:hAnsi="Arial"/>
                <w:sz w:val="16"/>
                <w:szCs w:val="16"/>
                <w:b w:val="1"/>
                <w:bCs w:val="1"/>
                <w:color w:val="FFFFFF"/>
              </w:rPr>
              <w:t>Exercise ($)</w:t>
            </w:r>
            <w:r>
              <w:rPr>
                <w:rFonts w:ascii="Arial" w:cs="Arial" w:eastAsia="Arial" w:hAnsi="Arial"/>
                <w:sz w:val="21"/>
                <w:szCs w:val="21"/>
                <w:b w:val="1"/>
                <w:bCs w:val="1"/>
                <w:color w:val="FFFFFF"/>
                <w:vertAlign w:val="superscript"/>
              </w:rPr>
              <w:t>(1)</w:t>
            </w:r>
          </w:p>
        </w:tc>
        <w:tc>
          <w:tcPr>
            <w:tcW w:w="2060" w:type="dxa"/>
            <w:vAlign w:val="bottom"/>
            <w:tcBorders>
              <w:bottom w:val="single" w:sz="8" w:color="auto"/>
            </w:tcBorders>
            <w:shd w:val="clear" w:color="auto" w:fill="0067B3"/>
          </w:tcPr>
          <w:p>
            <w:pPr>
              <w:jc w:val="right"/>
              <w:ind w:right="13"/>
              <w:spacing w:after="0"/>
              <w:rPr>
                <w:sz w:val="20"/>
                <w:szCs w:val="20"/>
                <w:color w:val="auto"/>
              </w:rPr>
            </w:pPr>
            <w:r>
              <w:rPr>
                <w:rFonts w:ascii="Arial" w:cs="Arial" w:eastAsia="Arial" w:hAnsi="Arial"/>
                <w:sz w:val="16"/>
                <w:szCs w:val="16"/>
                <w:b w:val="1"/>
                <w:bCs w:val="1"/>
                <w:color w:val="FFFFFF"/>
              </w:rPr>
              <w:t>Acquired on Vesting (#)</w:t>
            </w:r>
          </w:p>
        </w:tc>
        <w:tc>
          <w:tcPr>
            <w:tcW w:w="1480" w:type="dxa"/>
            <w:vAlign w:val="bottom"/>
            <w:tcBorders>
              <w:bottom w:val="single" w:sz="8" w:color="auto"/>
            </w:tcBorders>
            <w:shd w:val="clear" w:color="auto" w:fill="0067B3"/>
          </w:tcPr>
          <w:p>
            <w:pPr>
              <w:jc w:val="right"/>
              <w:spacing w:after="0" w:line="230" w:lineRule="exact"/>
              <w:rPr>
                <w:sz w:val="20"/>
                <w:szCs w:val="20"/>
                <w:color w:val="auto"/>
              </w:rPr>
            </w:pPr>
            <w:r>
              <w:rPr>
                <w:rFonts w:ascii="Arial" w:cs="Arial" w:eastAsia="Arial" w:hAnsi="Arial"/>
                <w:sz w:val="16"/>
                <w:szCs w:val="16"/>
                <w:b w:val="1"/>
                <w:bCs w:val="1"/>
                <w:color w:val="FFFFFF"/>
              </w:rPr>
              <w:t>Vesting ($)</w:t>
            </w:r>
            <w:r>
              <w:rPr>
                <w:rFonts w:ascii="Arial" w:cs="Arial" w:eastAsia="Arial" w:hAnsi="Arial"/>
                <w:sz w:val="21"/>
                <w:szCs w:val="21"/>
                <w:b w:val="1"/>
                <w:bCs w:val="1"/>
                <w:color w:val="FFFFFF"/>
                <w:vertAlign w:val="superscript"/>
              </w:rPr>
              <w:t>(2)</w:t>
            </w:r>
          </w:p>
        </w:tc>
      </w:tr>
      <w:tr>
        <w:trPr>
          <w:trHeight w:val="264"/>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02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18,536</w:t>
            </w:r>
          </w:p>
        </w:tc>
        <w:tc>
          <w:tcPr>
            <w:tcW w:w="16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2,270,669</w:t>
            </w:r>
          </w:p>
        </w:tc>
        <w:tc>
          <w:tcPr>
            <w:tcW w:w="20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25,171</w:t>
            </w:r>
          </w:p>
        </w:tc>
        <w:tc>
          <w:tcPr>
            <w:tcW w:w="1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3,887,542</w:t>
            </w:r>
          </w:p>
        </w:tc>
      </w:tr>
      <w:tr>
        <w:trPr>
          <w:trHeight w:val="262"/>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p>
        </w:tc>
        <w:tc>
          <w:tcPr>
            <w:tcW w:w="2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3"/>
              <w:spacing w:after="0"/>
              <w:rPr>
                <w:sz w:val="20"/>
                <w:szCs w:val="20"/>
                <w:color w:val="auto"/>
              </w:rPr>
            </w:pPr>
            <w:r>
              <w:rPr>
                <w:rFonts w:ascii="Arial" w:cs="Arial" w:eastAsia="Arial" w:hAnsi="Arial"/>
                <w:sz w:val="18"/>
                <w:szCs w:val="18"/>
                <w:color w:val="auto"/>
              </w:rPr>
              <w:t>6,985</w:t>
            </w:r>
          </w:p>
        </w:tc>
        <w:tc>
          <w:tcPr>
            <w:tcW w:w="1480" w:type="dxa"/>
            <w:vAlign w:val="bottom"/>
          </w:tcPr>
          <w:p>
            <w:pPr>
              <w:jc w:val="right"/>
              <w:spacing w:after="0"/>
              <w:rPr>
                <w:sz w:val="20"/>
                <w:szCs w:val="20"/>
                <w:color w:val="auto"/>
              </w:rPr>
            </w:pPr>
            <w:r>
              <w:rPr>
                <w:rFonts w:ascii="Arial" w:cs="Arial" w:eastAsia="Arial" w:hAnsi="Arial"/>
                <w:sz w:val="18"/>
                <w:szCs w:val="18"/>
                <w:color w:val="auto"/>
              </w:rPr>
              <w:t>1,084,012</w:t>
            </w:r>
          </w:p>
        </w:tc>
      </w:tr>
      <w:tr>
        <w:trPr>
          <w:trHeight w:val="278"/>
        </w:trPr>
        <w:tc>
          <w:tcPr>
            <w:tcW w:w="40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02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w:t>
            </w:r>
          </w:p>
        </w:tc>
        <w:tc>
          <w:tcPr>
            <w:tcW w:w="1600" w:type="dxa"/>
            <w:vAlign w:val="bottom"/>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060" w:type="dxa"/>
            <w:vAlign w:val="bottom"/>
            <w:shd w:val="clear" w:color="auto" w:fill="E2E6F4"/>
          </w:tcPr>
          <w:p>
            <w:pPr>
              <w:jc w:val="right"/>
              <w:ind w:right="73"/>
              <w:spacing w:after="0"/>
              <w:rPr>
                <w:sz w:val="20"/>
                <w:szCs w:val="20"/>
                <w:color w:val="auto"/>
              </w:rPr>
            </w:pPr>
            <w:r>
              <w:rPr>
                <w:rFonts w:ascii="Arial" w:cs="Arial" w:eastAsia="Arial" w:hAnsi="Arial"/>
                <w:sz w:val="18"/>
                <w:szCs w:val="18"/>
                <w:color w:val="auto"/>
              </w:rPr>
              <w:t>—</w:t>
            </w:r>
          </w:p>
        </w:tc>
        <w:tc>
          <w:tcPr>
            <w:tcW w:w="14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40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3"/>
              <w:spacing w:after="0"/>
              <w:rPr>
                <w:sz w:val="20"/>
                <w:szCs w:val="20"/>
                <w:color w:val="auto"/>
              </w:rPr>
            </w:pPr>
            <w:r>
              <w:rPr>
                <w:rFonts w:ascii="Arial" w:cs="Arial" w:eastAsia="Arial" w:hAnsi="Arial"/>
                <w:sz w:val="18"/>
                <w:szCs w:val="18"/>
                <w:color w:val="auto"/>
              </w:rPr>
              <w:t>3,053</w:t>
            </w:r>
          </w:p>
        </w:tc>
        <w:tc>
          <w:tcPr>
            <w:tcW w:w="1480" w:type="dxa"/>
            <w:vAlign w:val="bottom"/>
          </w:tcPr>
          <w:p>
            <w:pPr>
              <w:jc w:val="right"/>
              <w:spacing w:after="0"/>
              <w:rPr>
                <w:sz w:val="20"/>
                <w:szCs w:val="20"/>
                <w:color w:val="auto"/>
              </w:rPr>
            </w:pPr>
            <w:r>
              <w:rPr>
                <w:rFonts w:ascii="Arial" w:cs="Arial" w:eastAsia="Arial" w:hAnsi="Arial"/>
                <w:sz w:val="18"/>
                <w:szCs w:val="18"/>
                <w:color w:val="auto"/>
              </w:rPr>
              <w:t>549,204</w:t>
            </w:r>
          </w:p>
        </w:tc>
      </w:tr>
      <w:tr>
        <w:trPr>
          <w:trHeight w:val="271"/>
        </w:trPr>
        <w:tc>
          <w:tcPr>
            <w:tcW w:w="40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020" w:type="dxa"/>
            <w:vAlign w:val="bottom"/>
            <w:tcBorders>
              <w:bottom w:val="single" w:sz="8" w:color="0067B3"/>
            </w:tcBorders>
            <w:shd w:val="clear" w:color="auto" w:fill="E2E6F4"/>
          </w:tcPr>
          <w:p>
            <w:pPr>
              <w:jc w:val="right"/>
              <w:ind w:right="7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67B3"/>
            </w:tcBorders>
            <w:shd w:val="clear" w:color="auto" w:fill="E2E6F4"/>
          </w:tcPr>
          <w:p>
            <w:pPr>
              <w:jc w:val="right"/>
              <w:ind w:right="113"/>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0067B3"/>
            </w:tcBorders>
            <w:shd w:val="clear" w:color="auto" w:fill="E2E6F4"/>
          </w:tcPr>
          <w:p>
            <w:pPr>
              <w:jc w:val="right"/>
              <w:ind w:right="73"/>
              <w:spacing w:after="0"/>
              <w:rPr>
                <w:sz w:val="20"/>
                <w:szCs w:val="20"/>
                <w:color w:val="auto"/>
              </w:rPr>
            </w:pPr>
            <w:r>
              <w:rPr>
                <w:rFonts w:ascii="Arial" w:cs="Arial" w:eastAsia="Arial" w:hAnsi="Arial"/>
                <w:sz w:val="18"/>
                <w:szCs w:val="18"/>
                <w:color w:val="auto"/>
              </w:rPr>
              <w:t>572</w:t>
            </w:r>
          </w:p>
        </w:tc>
        <w:tc>
          <w:tcPr>
            <w:tcW w:w="14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86,326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-1165225</wp:posOffset>
            </wp:positionV>
            <wp:extent cx="45516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68" w:lineRule="exact"/>
        <w:rPr>
          <w:sz w:val="20"/>
          <w:szCs w:val="20"/>
          <w:color w:val="auto"/>
        </w:rPr>
      </w:pPr>
    </w:p>
    <w:p>
      <w:pPr>
        <w:ind w:left="200" w:right="440" w:hanging="192"/>
        <w:spacing w:after="0" w:line="227" w:lineRule="auto"/>
        <w:tabs>
          <w:tab w:leader="none" w:pos="215"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difference between the closing price per share of our common stock on the date of exercise and the exercise price per share, multiplied by the number of shares acquired on exercise.</w:t>
      </w:r>
    </w:p>
    <w:p>
      <w:pPr>
        <w:spacing w:after="0" w:line="29"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Non-Qualified Deferred Compensation Plan</w:t>
      </w:r>
    </w:p>
    <w:p>
      <w:pPr>
        <w:spacing w:after="0" w:line="1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executive officers, including our NEOs, and key employees will be delayed six months or as otherwise required by relevant tax regulations.</w:t>
      </w:r>
    </w:p>
    <w:p>
      <w:pPr>
        <w:spacing w:after="0" w:line="200" w:lineRule="exact"/>
        <w:rPr>
          <w:sz w:val="20"/>
          <w:szCs w:val="20"/>
          <w:color w:val="auto"/>
        </w:rPr>
      </w:pPr>
    </w:p>
    <w:p>
      <w:pPr>
        <w:spacing w:after="0" w:line="282" w:lineRule="exact"/>
        <w:rPr>
          <w:sz w:val="20"/>
          <w:szCs w:val="20"/>
          <w:color w:val="auto"/>
        </w:rPr>
      </w:pPr>
    </w:p>
    <w:p>
      <w:pPr>
        <w:ind w:left="480" w:hanging="454"/>
        <w:spacing w:after="0"/>
        <w:tabs>
          <w:tab w:leader="none" w:pos="480" w:val="left"/>
        </w:tabs>
        <w:numPr>
          <w:ilvl w:val="0"/>
          <w:numId w:val="10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31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table shows the non-qualified deferred compensation activity for the NEOs during fiscal year 2022.</w:t>
      </w: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Non-Qualified Deferred Compensation for Fiscal Year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shd w:val="clear" w:color="auto" w:fill="0067B3"/>
          </w:tcPr>
          <w:p>
            <w:pPr>
              <w:spacing w:after="0"/>
              <w:rPr>
                <w:sz w:val="18"/>
                <w:szCs w:val="18"/>
                <w:color w:val="auto"/>
              </w:rPr>
            </w:pPr>
          </w:p>
        </w:tc>
        <w:tc>
          <w:tcPr>
            <w:tcW w:w="242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Executive</w:t>
            </w:r>
          </w:p>
        </w:tc>
        <w:tc>
          <w:tcPr>
            <w:tcW w:w="1560" w:type="dxa"/>
            <w:vAlign w:val="bottom"/>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ADI</w:t>
            </w:r>
          </w:p>
        </w:tc>
        <w:tc>
          <w:tcPr>
            <w:tcW w:w="134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Aggregate</w:t>
            </w:r>
          </w:p>
        </w:tc>
        <w:tc>
          <w:tcPr>
            <w:tcW w:w="1400" w:type="dxa"/>
            <w:vAlign w:val="bottom"/>
            <w:vMerge w:val="restart"/>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Aggregate</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Aggregate</w:t>
            </w:r>
          </w:p>
        </w:tc>
        <w:tc>
          <w:tcPr>
            <w:tcW w:w="0" w:type="dxa"/>
            <w:vAlign w:val="bottom"/>
          </w:tcPr>
          <w:p>
            <w:pPr>
              <w:spacing w:after="0"/>
              <w:rPr>
                <w:sz w:val="1"/>
                <w:szCs w:val="1"/>
                <w:color w:val="auto"/>
              </w:rPr>
            </w:pPr>
          </w:p>
        </w:tc>
      </w:tr>
      <w:tr>
        <w:trPr>
          <w:trHeight w:val="189"/>
        </w:trPr>
        <w:tc>
          <w:tcPr>
            <w:tcW w:w="3380" w:type="dxa"/>
            <w:vAlign w:val="bottom"/>
            <w:shd w:val="clear" w:color="auto" w:fill="0067B3"/>
          </w:tcPr>
          <w:p>
            <w:pPr>
              <w:spacing w:after="0"/>
              <w:rPr>
                <w:sz w:val="16"/>
                <w:szCs w:val="16"/>
                <w:color w:val="auto"/>
              </w:rPr>
            </w:pPr>
          </w:p>
        </w:tc>
        <w:tc>
          <w:tcPr>
            <w:tcW w:w="242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Contributions in</w:t>
            </w:r>
          </w:p>
        </w:tc>
        <w:tc>
          <w:tcPr>
            <w:tcW w:w="1560" w:type="dxa"/>
            <w:vAlign w:val="bottom"/>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Contributions in</w:t>
            </w:r>
          </w:p>
        </w:tc>
        <w:tc>
          <w:tcPr>
            <w:tcW w:w="134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Earnings in</w:t>
            </w:r>
          </w:p>
        </w:tc>
        <w:tc>
          <w:tcPr>
            <w:tcW w:w="1400" w:type="dxa"/>
            <w:vAlign w:val="bottom"/>
            <w:vMerge w:val="continue"/>
            <w:shd w:val="clear" w:color="auto" w:fill="0067B3"/>
          </w:tcPr>
          <w:p>
            <w:pPr>
              <w:spacing w:after="0"/>
              <w:rPr>
                <w:sz w:val="16"/>
                <w:szCs w:val="16"/>
                <w:color w:val="auto"/>
              </w:rPr>
            </w:pP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Balance at</w:t>
            </w:r>
          </w:p>
        </w:tc>
        <w:tc>
          <w:tcPr>
            <w:tcW w:w="0" w:type="dxa"/>
            <w:vAlign w:val="bottom"/>
          </w:tcPr>
          <w:p>
            <w:pPr>
              <w:spacing w:after="0"/>
              <w:rPr>
                <w:sz w:val="1"/>
                <w:szCs w:val="1"/>
                <w:color w:val="auto"/>
              </w:rPr>
            </w:pPr>
          </w:p>
        </w:tc>
      </w:tr>
      <w:tr>
        <w:trPr>
          <w:trHeight w:val="189"/>
        </w:trPr>
        <w:tc>
          <w:tcPr>
            <w:tcW w:w="3380" w:type="dxa"/>
            <w:vAlign w:val="bottom"/>
            <w:shd w:val="clear" w:color="auto" w:fill="0067B3"/>
          </w:tcPr>
          <w:p>
            <w:pPr>
              <w:spacing w:after="0"/>
              <w:rPr>
                <w:sz w:val="16"/>
                <w:szCs w:val="16"/>
                <w:color w:val="auto"/>
              </w:rPr>
            </w:pPr>
          </w:p>
        </w:tc>
        <w:tc>
          <w:tcPr>
            <w:tcW w:w="2420" w:type="dxa"/>
            <w:vAlign w:val="bottom"/>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Last Fiscal</w:t>
            </w:r>
          </w:p>
        </w:tc>
        <w:tc>
          <w:tcPr>
            <w:tcW w:w="1560" w:type="dxa"/>
            <w:vAlign w:val="bottom"/>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Last Fiscal</w:t>
            </w:r>
          </w:p>
        </w:tc>
        <w:tc>
          <w:tcPr>
            <w:tcW w:w="134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Last Fiscal</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Withdrawals/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Last Fiscal</w:t>
            </w:r>
          </w:p>
        </w:tc>
        <w:tc>
          <w:tcPr>
            <w:tcW w:w="0" w:type="dxa"/>
            <w:vAlign w:val="bottom"/>
          </w:tcPr>
          <w:p>
            <w:pPr>
              <w:spacing w:after="0"/>
              <w:rPr>
                <w:sz w:val="1"/>
                <w:szCs w:val="1"/>
                <w:color w:val="auto"/>
              </w:rPr>
            </w:pPr>
          </w:p>
        </w:tc>
      </w:tr>
      <w:tr>
        <w:trPr>
          <w:trHeight w:val="189"/>
        </w:trPr>
        <w:tc>
          <w:tcPr>
            <w:tcW w:w="3380" w:type="dxa"/>
            <w:vAlign w:val="bottom"/>
            <w:shd w:val="clear" w:color="auto" w:fill="0067B3"/>
          </w:tcPr>
          <w:p>
            <w:pPr>
              <w:spacing w:after="0"/>
              <w:rPr>
                <w:sz w:val="16"/>
                <w:szCs w:val="16"/>
                <w:color w:val="auto"/>
              </w:rPr>
            </w:pPr>
          </w:p>
        </w:tc>
        <w:tc>
          <w:tcPr>
            <w:tcW w:w="2420" w:type="dxa"/>
            <w:vAlign w:val="bottom"/>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Year</w:t>
            </w:r>
          </w:p>
        </w:tc>
        <w:tc>
          <w:tcPr>
            <w:tcW w:w="1560" w:type="dxa"/>
            <w:vAlign w:val="bottom"/>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Year</w:t>
            </w:r>
          </w:p>
        </w:tc>
        <w:tc>
          <w:tcPr>
            <w:tcW w:w="1340" w:type="dxa"/>
            <w:vAlign w:val="bottom"/>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Distributions</w:t>
            </w:r>
          </w:p>
        </w:tc>
        <w:tc>
          <w:tcPr>
            <w:tcW w:w="11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Year End</w:t>
            </w:r>
          </w:p>
        </w:tc>
        <w:tc>
          <w:tcPr>
            <w:tcW w:w="0" w:type="dxa"/>
            <w:vAlign w:val="bottom"/>
          </w:tcPr>
          <w:p>
            <w:pPr>
              <w:spacing w:after="0"/>
              <w:rPr>
                <w:sz w:val="1"/>
                <w:szCs w:val="1"/>
                <w:color w:val="auto"/>
              </w:rPr>
            </w:pPr>
          </w:p>
        </w:tc>
      </w:tr>
      <w:tr>
        <w:trPr>
          <w:trHeight w:val="244"/>
        </w:trPr>
        <w:tc>
          <w:tcPr>
            <w:tcW w:w="338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2420" w:type="dxa"/>
            <w:vAlign w:val="bottom"/>
            <w:tcBorders>
              <w:bottom w:val="single" w:sz="8" w:color="auto"/>
            </w:tcBorders>
            <w:shd w:val="clear" w:color="auto" w:fill="0067B3"/>
          </w:tcPr>
          <w:p>
            <w:pPr>
              <w:jc w:val="right"/>
              <w:ind w:right="35"/>
              <w:spacing w:after="0"/>
              <w:rPr>
                <w:sz w:val="20"/>
                <w:szCs w:val="20"/>
                <w:color w:val="auto"/>
              </w:rPr>
            </w:pPr>
            <w:r>
              <w:rPr>
                <w:rFonts w:ascii="Arial" w:cs="Arial" w:eastAsia="Arial" w:hAnsi="Arial"/>
                <w:sz w:val="16"/>
                <w:szCs w:val="16"/>
                <w:b w:val="1"/>
                <w:bCs w:val="1"/>
                <w:color w:val="FFFFFF"/>
              </w:rPr>
              <w:t>($)</w:t>
            </w:r>
          </w:p>
        </w:tc>
        <w:tc>
          <w:tcPr>
            <w:tcW w:w="1560" w:type="dxa"/>
            <w:vAlign w:val="bottom"/>
            <w:tcBorders>
              <w:bottom w:val="single" w:sz="8" w:color="auto"/>
            </w:tcBorders>
            <w:shd w:val="clear" w:color="auto" w:fill="0067B3"/>
          </w:tcPr>
          <w:p>
            <w:pPr>
              <w:jc w:val="right"/>
              <w:ind w:right="9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340" w:type="dxa"/>
            <w:vAlign w:val="bottom"/>
            <w:tcBorders>
              <w:bottom w:val="single" w:sz="8" w:color="auto"/>
            </w:tcBorders>
            <w:shd w:val="clear" w:color="auto" w:fill="0067B3"/>
          </w:tcPr>
          <w:p>
            <w:pPr>
              <w:jc w:val="right"/>
              <w:ind w:right="15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400" w:type="dxa"/>
            <w:vAlign w:val="bottom"/>
            <w:tcBorders>
              <w:bottom w:val="single" w:sz="8" w:color="auto"/>
            </w:tcBorders>
            <w:shd w:val="clear" w:color="auto" w:fill="0067B3"/>
          </w:tcPr>
          <w:p>
            <w:pPr>
              <w:jc w:val="right"/>
              <w:ind w:right="94"/>
              <w:spacing w:after="0"/>
              <w:rPr>
                <w:sz w:val="20"/>
                <w:szCs w:val="20"/>
                <w:color w:val="auto"/>
              </w:rPr>
            </w:pPr>
            <w:r>
              <w:rPr>
                <w:rFonts w:ascii="Arial" w:cs="Arial" w:eastAsia="Arial" w:hAnsi="Arial"/>
                <w:sz w:val="16"/>
                <w:szCs w:val="16"/>
                <w:b w:val="1"/>
                <w:bCs w:val="1"/>
                <w:color w:val="FFFFFF"/>
              </w:rPr>
              <w:t>($)</w:t>
            </w:r>
          </w:p>
        </w:tc>
        <w:tc>
          <w:tcPr>
            <w:tcW w:w="11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(3)</w:t>
            </w:r>
          </w:p>
        </w:tc>
        <w:tc>
          <w:tcPr>
            <w:tcW w:w="0" w:type="dxa"/>
            <w:vAlign w:val="bottom"/>
          </w:tcPr>
          <w:p>
            <w:pPr>
              <w:spacing w:after="0"/>
              <w:rPr>
                <w:sz w:val="1"/>
                <w:szCs w:val="1"/>
                <w:color w:val="auto"/>
              </w:rPr>
            </w:pPr>
          </w:p>
        </w:tc>
      </w:tr>
      <w:tr>
        <w:trPr>
          <w:trHeight w:val="264"/>
        </w:trPr>
        <w:tc>
          <w:tcPr>
            <w:tcW w:w="33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242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w:t>
            </w:r>
          </w:p>
        </w:tc>
        <w:tc>
          <w:tcPr>
            <w:tcW w:w="1560" w:type="dxa"/>
            <w:vAlign w:val="bottom"/>
            <w:shd w:val="clear" w:color="auto" w:fill="E2E6F4"/>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shd w:val="clear" w:color="auto" w:fill="E2E6F4"/>
          </w:tcPr>
          <w:p>
            <w:pPr>
              <w:jc w:val="right"/>
              <w:ind w:right="155"/>
              <w:spacing w:after="0"/>
              <w:rPr>
                <w:sz w:val="20"/>
                <w:szCs w:val="20"/>
                <w:color w:val="auto"/>
              </w:rPr>
            </w:pPr>
            <w:r>
              <w:rPr>
                <w:rFonts w:ascii="Arial" w:cs="Arial" w:eastAsia="Arial" w:hAnsi="Arial"/>
                <w:sz w:val="18"/>
                <w:szCs w:val="18"/>
                <w:color w:val="auto"/>
              </w:rPr>
              <w:t>(1,195,478)</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10,402,276</w:t>
            </w:r>
          </w:p>
        </w:tc>
        <w:tc>
          <w:tcPr>
            <w:tcW w:w="0" w:type="dxa"/>
            <w:vAlign w:val="bottom"/>
          </w:tcPr>
          <w:p>
            <w:pPr>
              <w:spacing w:after="0"/>
              <w:rPr>
                <w:sz w:val="1"/>
                <w:szCs w:val="1"/>
                <w:color w:val="auto"/>
              </w:rPr>
            </w:pPr>
          </w:p>
        </w:tc>
      </w:tr>
      <w:tr>
        <w:trPr>
          <w:trHeight w:val="262"/>
        </w:trPr>
        <w:tc>
          <w:tcPr>
            <w:tcW w:w="338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p>
        </w:tc>
        <w:tc>
          <w:tcPr>
            <w:tcW w:w="2420" w:type="dxa"/>
            <w:vAlign w:val="bottom"/>
          </w:tcPr>
          <w:p>
            <w:pPr>
              <w:jc w:val="right"/>
              <w:ind w:right="95"/>
              <w:spacing w:after="0"/>
              <w:rPr>
                <w:sz w:val="20"/>
                <w:szCs w:val="20"/>
                <w:color w:val="auto"/>
              </w:rPr>
            </w:pPr>
            <w:r>
              <w:rPr>
                <w:rFonts w:ascii="Arial" w:cs="Arial" w:eastAsia="Arial" w:hAnsi="Arial"/>
                <w:sz w:val="18"/>
                <w:szCs w:val="18"/>
                <w:color w:val="auto"/>
              </w:rPr>
              <w:t>838,991</w:t>
            </w:r>
          </w:p>
        </w:tc>
        <w:tc>
          <w:tcPr>
            <w:tcW w:w="1560" w:type="dxa"/>
            <w:vAlign w:val="bottom"/>
          </w:tcPr>
          <w:p>
            <w:pPr>
              <w:jc w:val="right"/>
              <w:ind w:right="155"/>
              <w:spacing w:after="0"/>
              <w:rPr>
                <w:sz w:val="20"/>
                <w:szCs w:val="20"/>
                <w:color w:val="auto"/>
              </w:rPr>
            </w:pPr>
            <w:r>
              <w:rPr>
                <w:rFonts w:ascii="Arial" w:cs="Arial" w:eastAsia="Arial" w:hAnsi="Arial"/>
                <w:sz w:val="18"/>
                <w:szCs w:val="18"/>
                <w:color w:val="auto"/>
              </w:rPr>
              <w:t>35,238</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(166,923)</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1,712,601</w:t>
            </w:r>
          </w:p>
        </w:tc>
        <w:tc>
          <w:tcPr>
            <w:tcW w:w="0" w:type="dxa"/>
            <w:vAlign w:val="bottom"/>
          </w:tcPr>
          <w:p>
            <w:pPr>
              <w:spacing w:after="0"/>
              <w:rPr>
                <w:sz w:val="1"/>
                <w:szCs w:val="1"/>
                <w:color w:val="auto"/>
              </w:rPr>
            </w:pPr>
          </w:p>
        </w:tc>
      </w:tr>
      <w:tr>
        <w:trPr>
          <w:trHeight w:val="278"/>
        </w:trPr>
        <w:tc>
          <w:tcPr>
            <w:tcW w:w="338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2420" w:type="dxa"/>
            <w:vAlign w:val="bottom"/>
            <w:shd w:val="clear" w:color="auto" w:fill="E2E6F4"/>
          </w:tcPr>
          <w:p>
            <w:pPr>
              <w:jc w:val="right"/>
              <w:ind w:right="95"/>
              <w:spacing w:after="0"/>
              <w:rPr>
                <w:sz w:val="20"/>
                <w:szCs w:val="20"/>
                <w:color w:val="auto"/>
              </w:rPr>
            </w:pPr>
            <w:r>
              <w:rPr>
                <w:rFonts w:ascii="Arial" w:cs="Arial" w:eastAsia="Arial" w:hAnsi="Arial"/>
                <w:sz w:val="18"/>
                <w:szCs w:val="18"/>
                <w:color w:val="auto"/>
              </w:rPr>
              <w:t>23,077</w:t>
            </w:r>
          </w:p>
        </w:tc>
        <w:tc>
          <w:tcPr>
            <w:tcW w:w="1560" w:type="dxa"/>
            <w:vAlign w:val="bottom"/>
            <w:shd w:val="clear" w:color="auto" w:fill="E2E6F4"/>
          </w:tcPr>
          <w:p>
            <w:pPr>
              <w:jc w:val="right"/>
              <w:ind w:right="155"/>
              <w:spacing w:after="0"/>
              <w:rPr>
                <w:sz w:val="20"/>
                <w:szCs w:val="20"/>
                <w:color w:val="auto"/>
              </w:rPr>
            </w:pPr>
            <w:r>
              <w:rPr>
                <w:rFonts w:ascii="Arial" w:cs="Arial" w:eastAsia="Arial" w:hAnsi="Arial"/>
                <w:sz w:val="18"/>
                <w:szCs w:val="18"/>
                <w:color w:val="auto"/>
              </w:rPr>
              <w:t>2,596</w:t>
            </w:r>
          </w:p>
        </w:tc>
        <w:tc>
          <w:tcPr>
            <w:tcW w:w="1340" w:type="dxa"/>
            <w:vAlign w:val="bottom"/>
            <w:shd w:val="clear" w:color="auto" w:fill="E2E6F4"/>
          </w:tcPr>
          <w:p>
            <w:pPr>
              <w:jc w:val="right"/>
              <w:ind w:right="155"/>
              <w:spacing w:after="0"/>
              <w:rPr>
                <w:sz w:val="20"/>
                <w:szCs w:val="20"/>
                <w:color w:val="auto"/>
              </w:rPr>
            </w:pPr>
            <w:r>
              <w:rPr>
                <w:rFonts w:ascii="Arial" w:cs="Arial" w:eastAsia="Arial" w:hAnsi="Arial"/>
                <w:sz w:val="18"/>
                <w:szCs w:val="18"/>
                <w:color w:val="auto"/>
              </w:rPr>
              <w:t>(808)</w:t>
            </w:r>
          </w:p>
        </w:tc>
        <w:tc>
          <w:tcPr>
            <w:tcW w:w="1400" w:type="dxa"/>
            <w:vAlign w:val="bottom"/>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24,865</w:t>
            </w:r>
          </w:p>
        </w:tc>
        <w:tc>
          <w:tcPr>
            <w:tcW w:w="0" w:type="dxa"/>
            <w:vAlign w:val="bottom"/>
          </w:tcPr>
          <w:p>
            <w:pPr>
              <w:spacing w:after="0"/>
              <w:rPr>
                <w:sz w:val="1"/>
                <w:szCs w:val="1"/>
                <w:color w:val="auto"/>
              </w:rPr>
            </w:pPr>
          </w:p>
        </w:tc>
      </w:tr>
      <w:tr>
        <w:trPr>
          <w:trHeight w:val="263"/>
        </w:trPr>
        <w:tc>
          <w:tcPr>
            <w:tcW w:w="338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2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38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2420" w:type="dxa"/>
            <w:vAlign w:val="bottom"/>
            <w:tcBorders>
              <w:bottom w:val="single" w:sz="8" w:color="0067B3"/>
            </w:tcBorders>
            <w:shd w:val="clear" w:color="auto" w:fill="E2E6F4"/>
          </w:tcPr>
          <w:p>
            <w:pPr>
              <w:jc w:val="right"/>
              <w:ind w:right="95"/>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0067B3"/>
            </w:tcBorders>
            <w:shd w:val="clear" w:color="auto" w:fill="E2E6F4"/>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67B3"/>
            </w:tcBorders>
            <w:shd w:val="clear" w:color="auto" w:fill="E2E6F4"/>
          </w:tcPr>
          <w:p>
            <w:pPr>
              <w:jc w:val="right"/>
              <w:ind w:right="21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0067B3"/>
            </w:tcBorders>
            <w:shd w:val="clear" w:color="auto" w:fill="E2E6F4"/>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These amounts are included in the Summary Compensation Table above in the “All Other Compensation” column.</w:t>
      </w:r>
    </w:p>
    <w:p>
      <w:pPr>
        <w:spacing w:after="0" w:line="57" w:lineRule="exact"/>
        <w:rPr>
          <w:rFonts w:ascii="Arial" w:cs="Arial" w:eastAsia="Arial" w:hAnsi="Arial"/>
          <w:sz w:val="21"/>
          <w:szCs w:val="21"/>
          <w:color w:val="auto"/>
          <w:vertAlign w:val="superscript"/>
        </w:rPr>
      </w:pPr>
    </w:p>
    <w:p>
      <w:pPr>
        <w:ind w:left="200" w:right="560" w:hanging="192"/>
        <w:spacing w:after="0" w:line="211" w:lineRule="auto"/>
        <w:tabs>
          <w:tab w:leader="none" w:pos="215"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These amounts are excluded from the Summary Compensation Table above in accordance with SEC regulations, as we did not pay above-market earnings on deferred compensation in fiscal year 2022.</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Of the amounts in this column, the following amounts have also been reported in the Summary Compensation Table for fiscal year 2021 and 2020:</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4560" w:type="dxa"/>
            <w:vAlign w:val="bottom"/>
            <w:shd w:val="clear" w:color="auto" w:fill="0067B3"/>
          </w:tcPr>
          <w:p>
            <w:pPr>
              <w:spacing w:after="0"/>
              <w:rPr>
                <w:sz w:val="16"/>
                <w:szCs w:val="16"/>
                <w:color w:val="auto"/>
              </w:rPr>
            </w:pPr>
          </w:p>
        </w:tc>
        <w:tc>
          <w:tcPr>
            <w:tcW w:w="4480" w:type="dxa"/>
            <w:vAlign w:val="bottom"/>
            <w:shd w:val="clear" w:color="auto" w:fill="0067B3"/>
          </w:tcPr>
          <w:p>
            <w:pPr>
              <w:jc w:val="right"/>
              <w:ind w:right="225"/>
              <w:spacing w:after="0"/>
              <w:rPr>
                <w:sz w:val="20"/>
                <w:szCs w:val="20"/>
                <w:color w:val="auto"/>
              </w:rPr>
            </w:pPr>
            <w:r>
              <w:rPr>
                <w:rFonts w:ascii="Arial" w:cs="Arial" w:eastAsia="Arial" w:hAnsi="Arial"/>
                <w:sz w:val="14"/>
                <w:szCs w:val="14"/>
                <w:b w:val="1"/>
                <w:bCs w:val="1"/>
                <w:color w:val="FFFFFF"/>
              </w:rPr>
              <w:t>Previously Reported for</w:t>
            </w:r>
          </w:p>
        </w:tc>
        <w:tc>
          <w:tcPr>
            <w:tcW w:w="19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Previously Reported for</w:t>
            </w:r>
          </w:p>
        </w:tc>
        <w:tc>
          <w:tcPr>
            <w:tcW w:w="0" w:type="dxa"/>
            <w:vAlign w:val="bottom"/>
          </w:tcPr>
          <w:p>
            <w:pPr>
              <w:spacing w:after="0"/>
              <w:rPr>
                <w:sz w:val="1"/>
                <w:szCs w:val="1"/>
                <w:color w:val="auto"/>
              </w:rPr>
            </w:pPr>
          </w:p>
        </w:tc>
      </w:tr>
      <w:tr>
        <w:trPr>
          <w:trHeight w:val="176"/>
        </w:trPr>
        <w:tc>
          <w:tcPr>
            <w:tcW w:w="4560" w:type="dxa"/>
            <w:vAlign w:val="bottom"/>
            <w:vMerge w:val="restart"/>
            <w:shd w:val="clear" w:color="auto" w:fill="0067B3"/>
          </w:tcPr>
          <w:p>
            <w:pPr>
              <w:ind w:left="20"/>
              <w:spacing w:after="0"/>
              <w:rPr>
                <w:sz w:val="20"/>
                <w:szCs w:val="20"/>
                <w:color w:val="auto"/>
              </w:rPr>
            </w:pPr>
            <w:r>
              <w:rPr>
                <w:rFonts w:ascii="Arial" w:cs="Arial" w:eastAsia="Arial" w:hAnsi="Arial"/>
                <w:sz w:val="14"/>
                <w:szCs w:val="14"/>
                <w:b w:val="1"/>
                <w:bCs w:val="1"/>
                <w:color w:val="FFFFFF"/>
              </w:rPr>
              <w:t>Name</w:t>
            </w:r>
          </w:p>
        </w:tc>
        <w:tc>
          <w:tcPr>
            <w:tcW w:w="4480" w:type="dxa"/>
            <w:vAlign w:val="bottom"/>
            <w:shd w:val="clear" w:color="auto" w:fill="0067B3"/>
          </w:tcPr>
          <w:p>
            <w:pPr>
              <w:jc w:val="right"/>
              <w:ind w:right="225"/>
              <w:spacing w:after="0"/>
              <w:rPr>
                <w:sz w:val="20"/>
                <w:szCs w:val="20"/>
                <w:color w:val="auto"/>
              </w:rPr>
            </w:pPr>
            <w:r>
              <w:rPr>
                <w:rFonts w:ascii="Arial" w:cs="Arial" w:eastAsia="Arial" w:hAnsi="Arial"/>
                <w:sz w:val="14"/>
                <w:szCs w:val="14"/>
                <w:b w:val="1"/>
                <w:bCs w:val="1"/>
                <w:color w:val="FFFFFF"/>
              </w:rPr>
              <w:t>Fiscal Year 2021</w:t>
            </w:r>
          </w:p>
        </w:tc>
        <w:tc>
          <w:tcPr>
            <w:tcW w:w="1940" w:type="dxa"/>
            <w:vAlign w:val="bottom"/>
            <w:shd w:val="clear" w:color="auto" w:fill="0067B3"/>
          </w:tcPr>
          <w:p>
            <w:pPr>
              <w:jc w:val="right"/>
              <w:spacing w:after="0"/>
              <w:rPr>
                <w:sz w:val="20"/>
                <w:szCs w:val="20"/>
                <w:color w:val="auto"/>
              </w:rPr>
            </w:pPr>
            <w:r>
              <w:rPr>
                <w:rFonts w:ascii="Arial" w:cs="Arial" w:eastAsia="Arial" w:hAnsi="Arial"/>
                <w:sz w:val="14"/>
                <w:szCs w:val="14"/>
                <w:b w:val="1"/>
                <w:bCs w:val="1"/>
                <w:color w:val="FFFFFF"/>
              </w:rPr>
              <w:t>Fiscal Year 2020</w:t>
            </w:r>
          </w:p>
        </w:tc>
        <w:tc>
          <w:tcPr>
            <w:tcW w:w="0" w:type="dxa"/>
            <w:vAlign w:val="bottom"/>
          </w:tcPr>
          <w:p>
            <w:pPr>
              <w:spacing w:after="0"/>
              <w:rPr>
                <w:sz w:val="1"/>
                <w:szCs w:val="1"/>
                <w:color w:val="auto"/>
              </w:rPr>
            </w:pPr>
          </w:p>
        </w:tc>
      </w:tr>
      <w:tr>
        <w:trPr>
          <w:trHeight w:val="197"/>
        </w:trPr>
        <w:tc>
          <w:tcPr>
            <w:tcW w:w="4560" w:type="dxa"/>
            <w:vAlign w:val="bottom"/>
            <w:tcBorders>
              <w:bottom w:val="single" w:sz="8" w:color="auto"/>
            </w:tcBorders>
            <w:vMerge w:val="continue"/>
            <w:shd w:val="clear" w:color="auto" w:fill="0067B3"/>
          </w:tcPr>
          <w:p>
            <w:pPr>
              <w:spacing w:after="0"/>
              <w:rPr>
                <w:sz w:val="17"/>
                <w:szCs w:val="17"/>
                <w:color w:val="auto"/>
              </w:rPr>
            </w:pPr>
          </w:p>
        </w:tc>
        <w:tc>
          <w:tcPr>
            <w:tcW w:w="4480" w:type="dxa"/>
            <w:vAlign w:val="bottom"/>
            <w:tcBorders>
              <w:bottom w:val="single" w:sz="8" w:color="auto"/>
            </w:tcBorders>
            <w:shd w:val="clear" w:color="auto" w:fill="0067B3"/>
          </w:tcPr>
          <w:p>
            <w:pPr>
              <w:jc w:val="right"/>
              <w:ind w:right="225"/>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8"/>
        </w:trPr>
        <w:tc>
          <w:tcPr>
            <w:tcW w:w="45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Vincent Roche</w:t>
            </w:r>
          </w:p>
        </w:tc>
        <w:tc>
          <w:tcPr>
            <w:tcW w:w="4480" w:type="dxa"/>
            <w:vAlign w:val="bottom"/>
            <w:tcBorders>
              <w:bottom w:val="single" w:sz="8" w:color="E2E6F4"/>
            </w:tcBorders>
            <w:shd w:val="clear" w:color="auto" w:fill="E2E6F4"/>
          </w:tcPr>
          <w:p>
            <w:pPr>
              <w:jc w:val="right"/>
              <w:ind w:right="285"/>
              <w:spacing w:after="0"/>
              <w:rPr>
                <w:sz w:val="20"/>
                <w:szCs w:val="20"/>
                <w:color w:val="auto"/>
              </w:rPr>
            </w:pPr>
            <w:r>
              <w:rPr>
                <w:rFonts w:ascii="Arial" w:cs="Arial" w:eastAsia="Arial" w:hAnsi="Arial"/>
                <w:sz w:val="15"/>
                <w:szCs w:val="15"/>
                <w:color w:val="auto"/>
              </w:rPr>
              <w:t>743,915</w:t>
            </w:r>
          </w:p>
        </w:tc>
        <w:tc>
          <w:tcPr>
            <w:tcW w:w="1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457,780</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Arial" w:cs="Arial" w:eastAsia="Arial" w:hAnsi="Arial"/>
                <w:sz w:val="15"/>
                <w:szCs w:val="15"/>
                <w:b w:val="1"/>
                <w:bCs w:val="1"/>
                <w:color w:val="0067B3"/>
              </w:rPr>
              <w:t>Prashanth Mahendra-Rajah</w:t>
            </w:r>
          </w:p>
        </w:tc>
        <w:tc>
          <w:tcPr>
            <w:tcW w:w="4480" w:type="dxa"/>
            <w:vAlign w:val="bottom"/>
          </w:tcPr>
          <w:p>
            <w:pPr>
              <w:jc w:val="right"/>
              <w:ind w:right="285"/>
              <w:spacing w:after="0"/>
              <w:rPr>
                <w:sz w:val="20"/>
                <w:szCs w:val="20"/>
                <w:color w:val="auto"/>
              </w:rPr>
            </w:pPr>
            <w:r>
              <w:rPr>
                <w:rFonts w:ascii="Arial" w:cs="Arial" w:eastAsia="Arial" w:hAnsi="Arial"/>
                <w:sz w:val="15"/>
                <w:szCs w:val="15"/>
                <w:color w:val="auto"/>
              </w:rPr>
              <w:t>133,754</w:t>
            </w:r>
          </w:p>
        </w:tc>
        <w:tc>
          <w:tcPr>
            <w:tcW w:w="1940" w:type="dxa"/>
            <w:vAlign w:val="bottom"/>
          </w:tcPr>
          <w:p>
            <w:pPr>
              <w:jc w:val="right"/>
              <w:spacing w:after="0"/>
              <w:rPr>
                <w:sz w:val="20"/>
                <w:szCs w:val="20"/>
                <w:color w:val="auto"/>
              </w:rPr>
            </w:pPr>
            <w:r>
              <w:rPr>
                <w:rFonts w:ascii="Arial" w:cs="Arial" w:eastAsia="Arial" w:hAnsi="Arial"/>
                <w:sz w:val="15"/>
                <w:szCs w:val="15"/>
                <w:color w:val="auto"/>
              </w:rPr>
              <w:t>481,799</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Gregory Bryant</w:t>
            </w:r>
          </w:p>
        </w:tc>
        <w:tc>
          <w:tcPr>
            <w:tcW w:w="4480" w:type="dxa"/>
            <w:vAlign w:val="bottom"/>
            <w:tcBorders>
              <w:bottom w:val="single" w:sz="8" w:color="E2E6F4"/>
            </w:tcBorders>
            <w:shd w:val="clear" w:color="auto" w:fill="E2E6F4"/>
          </w:tcPr>
          <w:p>
            <w:pPr>
              <w:jc w:val="right"/>
              <w:ind w:right="285"/>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Arial" w:cs="Arial" w:eastAsia="Arial" w:hAnsi="Arial"/>
                <w:sz w:val="15"/>
                <w:szCs w:val="15"/>
                <w:b w:val="1"/>
                <w:bCs w:val="1"/>
                <w:color w:val="0067B3"/>
              </w:rPr>
              <w:t>Vivek Jain</w:t>
            </w:r>
          </w:p>
        </w:tc>
        <w:tc>
          <w:tcPr>
            <w:tcW w:w="448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5"/>
                <w:szCs w:val="15"/>
                <w:b w:val="1"/>
                <w:bCs w:val="1"/>
                <w:color w:val="0067B3"/>
              </w:rPr>
              <w:t>Anelise Sacks</w:t>
            </w:r>
          </w:p>
        </w:tc>
        <w:tc>
          <w:tcPr>
            <w:tcW w:w="4480" w:type="dxa"/>
            <w:vAlign w:val="bottom"/>
            <w:tcBorders>
              <w:bottom w:val="single" w:sz="8" w:color="E2E6F4"/>
            </w:tcBorders>
            <w:shd w:val="clear" w:color="auto" w:fill="E2E6F4"/>
          </w:tcPr>
          <w:p>
            <w:pPr>
              <w:jc w:val="right"/>
              <w:ind w:right="285"/>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560" w:type="dxa"/>
            <w:vAlign w:val="bottom"/>
            <w:shd w:val="clear" w:color="auto" w:fill="0067B3"/>
          </w:tcPr>
          <w:p>
            <w:pPr>
              <w:spacing w:after="0" w:line="20" w:lineRule="exact"/>
              <w:rPr>
                <w:sz w:val="1"/>
                <w:szCs w:val="1"/>
                <w:color w:val="auto"/>
              </w:rPr>
            </w:pPr>
          </w:p>
        </w:tc>
        <w:tc>
          <w:tcPr>
            <w:tcW w:w="4480" w:type="dxa"/>
            <w:vAlign w:val="bottom"/>
            <w:shd w:val="clear" w:color="auto" w:fill="0067B3"/>
          </w:tcPr>
          <w:p>
            <w:pPr>
              <w:spacing w:after="0" w:line="20" w:lineRule="exact"/>
              <w:rPr>
                <w:sz w:val="1"/>
                <w:szCs w:val="1"/>
                <w:color w:val="auto"/>
              </w:rPr>
            </w:pPr>
          </w:p>
        </w:tc>
        <w:tc>
          <w:tcPr>
            <w:tcW w:w="194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Change in Control Benefits</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ADI Retention Agreements</w:t>
      </w:r>
    </w:p>
    <w:p>
      <w:pPr>
        <w:spacing w:after="0" w:line="144"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We have entered into ADI Retention Agreements with each of our executive officers other than Mr. Jain. The ADI Retention Agreements entered into with Messrs. Roche, Mahendra-Rajah and Bryant and Ms. Sacks provide for severance benefits if any of the following occurs:</w:t>
      </w:r>
    </w:p>
    <w:p>
      <w:pPr>
        <w:spacing w:after="0" w:line="8" w:lineRule="exact"/>
        <w:rPr>
          <w:sz w:val="20"/>
          <w:szCs w:val="20"/>
          <w:color w:val="auto"/>
        </w:rPr>
      </w:pPr>
    </w:p>
    <w:p>
      <w:pPr>
        <w:ind w:left="200" w:right="160" w:hanging="192"/>
        <w:spacing w:after="0" w:line="271" w:lineRule="auto"/>
        <w:tabs>
          <w:tab w:leader="none" w:pos="163" w:val="left"/>
        </w:tabs>
        <w:numPr>
          <w:ilvl w:val="0"/>
          <w:numId w:val="105"/>
        </w:numPr>
        <w:rPr>
          <w:rFonts w:ascii="Arial" w:cs="Arial" w:eastAsia="Arial" w:hAnsi="Arial"/>
          <w:sz w:val="18"/>
          <w:szCs w:val="18"/>
          <w:color w:val="0067B3"/>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18" w:lineRule="exact"/>
        <w:rPr>
          <w:rFonts w:ascii="Arial" w:cs="Arial" w:eastAsia="Arial" w:hAnsi="Arial"/>
          <w:sz w:val="18"/>
          <w:szCs w:val="18"/>
          <w:color w:val="0067B3"/>
        </w:rPr>
      </w:pPr>
    </w:p>
    <w:p>
      <w:pPr>
        <w:ind w:left="200" w:right="240" w:hanging="192"/>
        <w:spacing w:after="0" w:line="271" w:lineRule="auto"/>
        <w:tabs>
          <w:tab w:leader="none" w:pos="163" w:val="left"/>
        </w:tabs>
        <w:numPr>
          <w:ilvl w:val="0"/>
          <w:numId w:val="105"/>
        </w:numPr>
        <w:rPr>
          <w:rFonts w:ascii="Arial" w:cs="Arial" w:eastAsia="Arial" w:hAnsi="Arial"/>
          <w:sz w:val="18"/>
          <w:szCs w:val="18"/>
          <w:color w:val="0067B3"/>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 w:lineRule="exact"/>
        <w:rPr>
          <w:rFonts w:ascii="Arial" w:cs="Arial" w:eastAsia="Arial" w:hAnsi="Arial"/>
          <w:sz w:val="18"/>
          <w:szCs w:val="18"/>
          <w:color w:val="0067B3"/>
        </w:rPr>
      </w:pPr>
    </w:p>
    <w:p>
      <w:pPr>
        <w:ind w:left="200" w:right="20" w:hanging="192"/>
        <w:spacing w:after="0" w:line="271" w:lineRule="auto"/>
        <w:tabs>
          <w:tab w:leader="none" w:pos="163" w:val="left"/>
        </w:tabs>
        <w:numPr>
          <w:ilvl w:val="0"/>
          <w:numId w:val="105"/>
        </w:numPr>
        <w:rPr>
          <w:rFonts w:ascii="Arial" w:cs="Arial" w:eastAsia="Arial" w:hAnsi="Arial"/>
          <w:sz w:val="18"/>
          <w:szCs w:val="18"/>
          <w:color w:val="0067B3"/>
        </w:rPr>
      </w:pPr>
      <w:r>
        <w:rPr>
          <w:rFonts w:ascii="Arial" w:cs="Arial" w:eastAsia="Arial" w:hAnsi="Arial"/>
          <w:sz w:val="18"/>
          <w:szCs w:val="18"/>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ADI Retention Agreements, a “change in control” occurs when:</w:t>
      </w:r>
    </w:p>
    <w:p>
      <w:pPr>
        <w:spacing w:after="0" w:line="104" w:lineRule="exact"/>
        <w:rPr>
          <w:sz w:val="20"/>
          <w:szCs w:val="20"/>
          <w:color w:val="auto"/>
        </w:rPr>
      </w:pPr>
    </w:p>
    <w:p>
      <w:pPr>
        <w:ind w:left="160" w:hanging="152"/>
        <w:spacing w:after="0"/>
        <w:tabs>
          <w:tab w:leader="none" w:pos="160" w:val="left"/>
        </w:tabs>
        <w:numPr>
          <w:ilvl w:val="0"/>
          <w:numId w:val="106"/>
        </w:numPr>
        <w:rPr>
          <w:rFonts w:ascii="Arial" w:cs="Arial" w:eastAsia="Arial" w:hAnsi="Arial"/>
          <w:sz w:val="18"/>
          <w:szCs w:val="18"/>
          <w:color w:val="0067B3"/>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63" w:lineRule="exact"/>
        <w:rPr>
          <w:rFonts w:ascii="Arial" w:cs="Arial" w:eastAsia="Arial" w:hAnsi="Arial"/>
          <w:sz w:val="18"/>
          <w:szCs w:val="18"/>
          <w:color w:val="0067B3"/>
        </w:rPr>
      </w:pPr>
    </w:p>
    <w:p>
      <w:pPr>
        <w:ind w:left="160" w:hanging="152"/>
        <w:spacing w:after="0"/>
        <w:tabs>
          <w:tab w:leader="none" w:pos="160" w:val="left"/>
        </w:tabs>
        <w:numPr>
          <w:ilvl w:val="0"/>
          <w:numId w:val="106"/>
        </w:numPr>
        <w:rPr>
          <w:rFonts w:ascii="Arial" w:cs="Arial" w:eastAsia="Arial" w:hAnsi="Arial"/>
          <w:sz w:val="18"/>
          <w:szCs w:val="18"/>
          <w:color w:val="0067B3"/>
        </w:rPr>
      </w:pPr>
      <w:r>
        <w:rPr>
          <w:rFonts w:ascii="Arial" w:cs="Arial" w:eastAsia="Arial" w:hAnsi="Arial"/>
          <w:sz w:val="18"/>
          <w:szCs w:val="18"/>
          <w:color w:val="auto"/>
        </w:rPr>
        <w:t>Our shareholders approve specified mergers of ADI with another entity; or</w:t>
      </w:r>
    </w:p>
    <w:p>
      <w:pPr>
        <w:spacing w:after="0" w:line="76" w:lineRule="exact"/>
        <w:rPr>
          <w:rFonts w:ascii="Arial" w:cs="Arial" w:eastAsia="Arial" w:hAnsi="Arial"/>
          <w:sz w:val="18"/>
          <w:szCs w:val="18"/>
          <w:color w:val="0067B3"/>
        </w:rPr>
      </w:pPr>
    </w:p>
    <w:p>
      <w:pPr>
        <w:ind w:left="160" w:hanging="152"/>
        <w:spacing w:after="0"/>
        <w:tabs>
          <w:tab w:leader="none" w:pos="160" w:val="left"/>
        </w:tabs>
        <w:numPr>
          <w:ilvl w:val="0"/>
          <w:numId w:val="106"/>
        </w:numPr>
        <w:rPr>
          <w:rFonts w:ascii="Arial" w:cs="Arial" w:eastAsia="Arial" w:hAnsi="Arial"/>
          <w:sz w:val="18"/>
          <w:szCs w:val="18"/>
          <w:color w:val="0067B3"/>
        </w:rPr>
      </w:pPr>
      <w:r>
        <w:rPr>
          <w:rFonts w:ascii="Arial" w:cs="Arial" w:eastAsia="Arial" w:hAnsi="Arial"/>
          <w:sz w:val="18"/>
          <w:szCs w:val="18"/>
          <w:color w:val="auto"/>
        </w:rPr>
        <w:t>Our shareholders approve a plan of liquidation or sale of all, or substantially all, of ADI’s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86" w:lineRule="exact"/>
        <w:rPr>
          <w:sz w:val="20"/>
          <w:szCs w:val="20"/>
          <w:color w:val="auto"/>
        </w:rPr>
      </w:pPr>
    </w:p>
    <w:p>
      <w:pPr>
        <w:ind w:left="200" w:right="80" w:hanging="192"/>
        <w:spacing w:after="0" w:line="247" w:lineRule="auto"/>
        <w:tabs>
          <w:tab w:leader="none" w:pos="163" w:val="left"/>
        </w:tabs>
        <w:numPr>
          <w:ilvl w:val="0"/>
          <w:numId w:val="107"/>
        </w:numPr>
        <w:rPr>
          <w:rFonts w:ascii="Arial" w:cs="Arial" w:eastAsia="Arial" w:hAnsi="Arial"/>
          <w:sz w:val="18"/>
          <w:szCs w:val="18"/>
          <w:color w:val="0067B3"/>
        </w:rPr>
      </w:pPr>
      <w:r>
        <w:rPr>
          <w:rFonts w:ascii="Arial" w:cs="Arial" w:eastAsia="Arial" w:hAnsi="Arial"/>
          <w:sz w:val="18"/>
          <w:szCs w:val="18"/>
          <w:color w:val="auto"/>
        </w:rPr>
        <w:t>A lump-sum payment equal to 200% (299% in the case of certain employees who are parties to the agreements, including Messrs. Roche, Mahendra-Rajah and Bryant and Ms. Sacks) of the sum of the employee’s annual base salary (as of the date of termination or the date of the change in control, whichever is higher) plus 200% (299% in the case of certain employees who are parties to the agreements, including Messrs. Roche, Mahendra-Rajah and Bryant and Ms. Sacks) of the total cash bonuses paid or awarded to him or her in the four fiscal quarters preceding his or her termination;</w:t>
      </w:r>
    </w:p>
    <w:p>
      <w:pPr>
        <w:sectPr>
          <w:pgSz w:w="11900" w:h="16838" w:orient="portrait"/>
          <w:cols w:equalWidth="0" w:num="1">
            <w:col w:w="11240"/>
          </w:cols>
          <w:pgMar w:left="320" w:top="1174" w:right="339" w:bottom="1440" w:gutter="0" w:footer="0" w:header="0"/>
        </w:sectPr>
      </w:pPr>
    </w:p>
    <w:p>
      <w:pPr>
        <w:spacing w:after="0" w:line="29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75</w:t>
      </w:r>
    </w:p>
    <w:p>
      <w:pPr>
        <w:sectPr>
          <w:pgSz w:w="11900" w:h="16838" w:orient="portrait"/>
          <w:cols w:equalWidth="0" w:num="1">
            <w:col w:w="11240"/>
          </w:cols>
          <w:pgMar w:left="320" w:top="1174" w:right="339" w:bottom="1440" w:gutter="0" w:footer="0" w:header="0"/>
          <w:type w:val="continuous"/>
        </w:sectPr>
      </w:pPr>
    </w:p>
    <w:bookmarkStart w:id="83" w:name="page84"/>
    <w:bookmarkEnd w:id="83"/>
    <w:p>
      <w:pPr>
        <w:ind w:left="200" w:right="200" w:hanging="192"/>
        <w:spacing w:after="0" w:line="252" w:lineRule="auto"/>
        <w:tabs>
          <w:tab w:leader="none" w:pos="163" w:val="left"/>
        </w:tabs>
        <w:numPr>
          <w:ilvl w:val="0"/>
          <w:numId w:val="108"/>
        </w:numPr>
        <w:rPr>
          <w:rFonts w:ascii="Arial" w:cs="Arial" w:eastAsia="Arial" w:hAnsi="Arial"/>
          <w:sz w:val="18"/>
          <w:szCs w:val="18"/>
          <w:color w:val="0067B3"/>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21" w:lineRule="exact"/>
        <w:rPr>
          <w:rFonts w:ascii="Arial" w:cs="Arial" w:eastAsia="Arial" w:hAnsi="Arial"/>
          <w:sz w:val="18"/>
          <w:szCs w:val="18"/>
          <w:color w:val="0067B3"/>
        </w:rPr>
      </w:pPr>
    </w:p>
    <w:p>
      <w:pPr>
        <w:ind w:left="160" w:hanging="152"/>
        <w:spacing w:after="0"/>
        <w:tabs>
          <w:tab w:leader="none" w:pos="160" w:val="left"/>
        </w:tabs>
        <w:numPr>
          <w:ilvl w:val="0"/>
          <w:numId w:val="108"/>
        </w:numPr>
        <w:rPr>
          <w:rFonts w:ascii="Arial" w:cs="Arial" w:eastAsia="Arial" w:hAnsi="Arial"/>
          <w:sz w:val="18"/>
          <w:szCs w:val="18"/>
          <w:color w:val="0067B3"/>
        </w:rPr>
      </w:pPr>
      <w:r>
        <w:rPr>
          <w:rFonts w:ascii="Arial" w:cs="Arial" w:eastAsia="Arial" w:hAnsi="Arial"/>
          <w:sz w:val="18"/>
          <w:szCs w:val="18"/>
          <w:color w:val="auto"/>
        </w:rPr>
        <w:t>The continuation of life, disability, dental, accident and group health insurance benefits for a period of 24 months.</w:t>
      </w:r>
    </w:p>
    <w:p>
      <w:pPr>
        <w:spacing w:after="0" w:line="117"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and Talent Committee eliminated this provision from any new employee retention agreements.</w:t>
      </w:r>
    </w:p>
    <w:p>
      <w:pPr>
        <w:spacing w:after="0" w:line="69"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The ADI Retention agreement provides that, in the event of a potential change in control (as defined in the ADI Retention Agreement), the employee will not voluntarily resign as an employee, subject to certain conditions, for at least six months after the change in control occurs. The Compensation and Talent Committee reviews these agreements each year, and the agreements automatically renew each year unless we give the employee three months’ notice that his or her agreement will not be extended.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 Severance Plan</w:t>
      </w:r>
    </w:p>
    <w:p>
      <w:pPr>
        <w:spacing w:after="0" w:line="15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Mr. Jain is subject to the Maxim Severance Plan which was adopted prior to ADI’s acquisition of Maxim. The Maxim Severance Plan provides for the payment of certain benefits in the event Mr. Jain is terminated without cause or resigns for good reason during the 24-month period following a change-of-control or within the period following the public announcement of, but prior to, the closing of a change-of-control event. A change-of-control is defined under the Maxim Severance Plan as: (i) a merger or consolidation of Maxim in which more than 50% of the outstanding voting power changes hands, (ii) a sale of all or substantially all of Maxim’s assets, (iii) the acquisition of more than 50% of Maxim’s voting power by any person or group, or (iv) a change in the composition of Maxim’s board of directors, such that a majority of directors are no longer “Incumbent Directors” (Incumbent Directors are directors as of the date the change-of-control plan was implemented and directors elected other than in connection with an actual or threatened proxy contest). The acquisition of Maxim by ADI satisfied the definition of a change-of-control event under the Maxim Severance Plan, which would entitle Mr. Jain to acceleration of vesting of all outstanding unvested RSUs granted under our 1996 Plan.</w:t>
      </w:r>
    </w:p>
    <w:p>
      <w:pPr>
        <w:spacing w:after="0" w:line="7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during the 24-month period following the change-of-control or within the period following the public announcement of, but prior to, the closing of a change-of-control event, Mr. Jain’s employment is terminated for reasons other than cause or Mr. Jain terminates his employment for good reason then Mr. Jain will receive a lump sum cash payment consisting of (i) base salary not yet paid through the date of termination, (ii) a severance payment equal to two times Mr. Jain’s annual base salary, and (iii) a severance payment equal to two times the current fiscal year’s performance bonus target. In addition, all legacy Maxim unvested stock options, restricted stock units, and market stock units are accelerated and become fully vested upon a change-of-control and a termination without cause (or resignation for good reason) occurring within 24 months following the change-of-control or within the period following the public announcement of, but prior to, the closing of a change-of-control event. In such circumstances, Mr. Jain is also eligible to receive continued health insurance benefits at ADI’s cost for twenty-four (24) months. Any payments made under the Maxim Severance Plan are subject to Mr. Jain executing a release (as substantially in the form attached to the Maxim Severance Plan) in favor of ADI.</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067B3"/>
        </w:rPr>
        <w:t>Potential Payments Upon Change in Control</w:t>
      </w:r>
    </w:p>
    <w:p>
      <w:pPr>
        <w:spacing w:after="0" w:line="11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Payments upon a change in control for our executive officers, including our NEOs, are calculated based upon the ADI Retention Agreements or the Maxim Severance Plan described above under </w:t>
      </w:r>
      <w:r>
        <w:rPr>
          <w:rFonts w:ascii="Arial" w:cs="Arial" w:eastAsia="Arial" w:hAnsi="Arial"/>
          <w:sz w:val="18"/>
          <w:szCs w:val="18"/>
          <w:i w:val="1"/>
          <w:iCs w:val="1"/>
          <w:color w:val="auto"/>
        </w:rPr>
        <w:t>Change in Control Benefits—Severance, Retention and Change in Control Benefits</w:t>
      </w:r>
      <w:r>
        <w:rPr>
          <w:rFonts w:ascii="Arial" w:cs="Arial" w:eastAsia="Arial" w:hAnsi="Arial"/>
          <w:sz w:val="18"/>
          <w:szCs w:val="18"/>
          <w:color w:val="auto"/>
        </w:rPr>
        <w:t>. Under our 2020 Plan and our 2006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applicable plan).</w:t>
      </w:r>
    </w:p>
    <w:p>
      <w:pPr>
        <w:spacing w:after="0" w:line="7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Upon a change in control approved by our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The following tables quantify the amounts that would be payable to the NEOs upon termination of their employment. The amounts shown assume that the terminations were effective on the last day of our fiscal year, or October 29, 2022. The tables do not include the accumulated benefit under our DCP that would be paid to our NEOs described above under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 or any other employee benefits, except to the extent that the officer is entitled to an additional benefit as a result of the termination. In addition, the tables do not include the value of vested but unexercised stock options held by each executive as of October 29, 2022. The actual amounts that would be paid out would depend on which options were exercised and, therefore, can only be determined at the time of the executive officer’s termination of employment.</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480" w:hanging="454"/>
        <w:spacing w:after="0"/>
        <w:tabs>
          <w:tab w:leader="none" w:pos="480" w:val="left"/>
        </w:tabs>
        <w:numPr>
          <w:ilvl w:val="0"/>
          <w:numId w:val="109"/>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40"/>
          </w:cols>
          <w:pgMar w:left="320" w:top="1174"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27"/>
          <w:szCs w:val="27"/>
          <w:b w:val="1"/>
          <w:bCs w:val="1"/>
          <w:color w:val="0067B3"/>
        </w:rPr>
        <w:t>Potential Payments Upon Death or Disability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Our equity award agreements provide that if an executive is terminated as a result of death or permanent disability, he or she would be</w:t>
      </w:r>
    </w:p>
    <w:p>
      <w:pPr>
        <w:jc w:val="both"/>
        <w:spacing w:after="0" w:line="208" w:lineRule="auto"/>
        <w:rPr>
          <w:sz w:val="20"/>
          <w:szCs w:val="20"/>
          <w:color w:val="auto"/>
        </w:rPr>
      </w:pPr>
      <w:r>
        <w:rPr>
          <w:rFonts w:ascii="Arial" w:cs="Arial" w:eastAsia="Arial" w:hAnsi="Arial"/>
          <w:sz w:val="18"/>
          <w:szCs w:val="18"/>
          <w:color w:val="auto"/>
        </w:rPr>
        <w:t>entitled to acceleration of vesting of all outstanding stock options, RSUs and PRSUs. With respect to PRSUs, executives are entitled to the target number of shares subject to the PRSUs other than for those PRSUs for which the Compensation Committee has already determined performance, but the shares have not yet vested. In such instance, the executive would be entitled to the number of shares based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 of achievement approved by the Compensation and Talent Committee for such PRSUs.</w:t>
      </w:r>
    </w:p>
    <w:p>
      <w:pPr>
        <w:sectPr>
          <w:pgSz w:w="11900" w:h="16838" w:orient="portrait"/>
          <w:cols w:equalWidth="0" w:num="1">
            <w:col w:w="11060"/>
          </w:cols>
          <w:pgMar w:left="320" w:top="1285" w:right="519" w:bottom="1440" w:gutter="0" w:footer="0" w:header="0"/>
        </w:sectPr>
      </w:pPr>
    </w:p>
    <w:bookmarkStart w:id="85" w:name="page86"/>
    <w:bookmarkEnd w:id="85"/>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shd w:val="clear" w:color="auto" w:fill="0067B3"/>
          </w:tcPr>
          <w:p>
            <w:pPr>
              <w:spacing w:after="0"/>
              <w:rPr>
                <w:sz w:val="16"/>
                <w:szCs w:val="16"/>
                <w:color w:val="auto"/>
              </w:rPr>
            </w:pPr>
          </w:p>
        </w:tc>
        <w:tc>
          <w:tcPr>
            <w:tcW w:w="1820" w:type="dxa"/>
            <w:vAlign w:val="bottom"/>
            <w:gridSpan w:val="4"/>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Involuntary not for</w:t>
            </w:r>
          </w:p>
        </w:tc>
        <w:tc>
          <w:tcPr>
            <w:tcW w:w="22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0067B3"/>
          </w:tcPr>
          <w:p>
            <w:pPr>
              <w:spacing w:after="0"/>
              <w:rPr>
                <w:sz w:val="15"/>
                <w:szCs w:val="15"/>
                <w:color w:val="auto"/>
              </w:rPr>
            </w:pPr>
          </w:p>
        </w:tc>
        <w:tc>
          <w:tcPr>
            <w:tcW w:w="1820" w:type="dxa"/>
            <w:vAlign w:val="bottom"/>
            <w:gridSpan w:val="4"/>
            <w:shd w:val="clear" w:color="auto" w:fill="0067B3"/>
          </w:tcPr>
          <w:p>
            <w:pPr>
              <w:jc w:val="right"/>
              <w:ind w:right="20"/>
              <w:spacing w:after="0" w:line="175" w:lineRule="exact"/>
              <w:rPr>
                <w:sz w:val="20"/>
                <w:szCs w:val="20"/>
                <w:color w:val="auto"/>
              </w:rPr>
            </w:pPr>
            <w:r>
              <w:rPr>
                <w:rFonts w:ascii="Arial" w:cs="Arial" w:eastAsia="Arial" w:hAnsi="Arial"/>
                <w:sz w:val="16"/>
                <w:szCs w:val="16"/>
                <w:b w:val="1"/>
                <w:bCs w:val="1"/>
                <w:color w:val="FFFFFF"/>
              </w:rPr>
              <w:t>cause termination or</w:t>
            </w:r>
          </w:p>
        </w:tc>
        <w:tc>
          <w:tcPr>
            <w:tcW w:w="220" w:type="dxa"/>
            <w:vAlign w:val="bottom"/>
            <w:shd w:val="clear" w:color="auto" w:fill="0067B3"/>
          </w:tcPr>
          <w:p>
            <w:pPr>
              <w:spacing w:after="0"/>
              <w:rPr>
                <w:sz w:val="15"/>
                <w:szCs w:val="15"/>
                <w:color w:val="auto"/>
              </w:rPr>
            </w:pPr>
          </w:p>
        </w:tc>
        <w:tc>
          <w:tcPr>
            <w:tcW w:w="140" w:type="dxa"/>
            <w:vAlign w:val="bottom"/>
            <w:shd w:val="clear" w:color="auto" w:fill="0067B3"/>
          </w:tcPr>
          <w:p>
            <w:pPr>
              <w:spacing w:after="0"/>
              <w:rPr>
                <w:sz w:val="15"/>
                <w:szCs w:val="15"/>
                <w:color w:val="auto"/>
              </w:rPr>
            </w:pPr>
          </w:p>
        </w:tc>
        <w:tc>
          <w:tcPr>
            <w:tcW w:w="1100" w:type="dxa"/>
            <w:vAlign w:val="bottom"/>
            <w:shd w:val="clear" w:color="auto" w:fill="0067B3"/>
          </w:tcPr>
          <w:p>
            <w:pPr>
              <w:spacing w:after="0"/>
              <w:rPr>
                <w:sz w:val="15"/>
                <w:szCs w:val="15"/>
                <w:color w:val="auto"/>
              </w:rPr>
            </w:pPr>
          </w:p>
        </w:tc>
        <w:tc>
          <w:tcPr>
            <w:tcW w:w="240" w:type="dxa"/>
            <w:vAlign w:val="bottom"/>
            <w:shd w:val="clear" w:color="auto" w:fill="0067B3"/>
          </w:tcPr>
          <w:p>
            <w:pPr>
              <w:spacing w:after="0"/>
              <w:rPr>
                <w:sz w:val="15"/>
                <w:szCs w:val="15"/>
                <w:color w:val="auto"/>
              </w:rPr>
            </w:pPr>
          </w:p>
        </w:tc>
        <w:tc>
          <w:tcPr>
            <w:tcW w:w="980" w:type="dxa"/>
            <w:vAlign w:val="bottom"/>
            <w:shd w:val="clear" w:color="auto" w:fill="0067B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shd w:val="clear" w:color="auto" w:fill="0067B3"/>
          </w:tcPr>
          <w:p>
            <w:pPr>
              <w:spacing w:after="0"/>
              <w:rPr>
                <w:sz w:val="16"/>
                <w:szCs w:val="16"/>
                <w:color w:val="auto"/>
              </w:rPr>
            </w:pPr>
          </w:p>
        </w:tc>
        <w:tc>
          <w:tcPr>
            <w:tcW w:w="1820" w:type="dxa"/>
            <w:vAlign w:val="bottom"/>
            <w:gridSpan w:val="4"/>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good reason following</w:t>
            </w:r>
          </w:p>
        </w:tc>
        <w:tc>
          <w:tcPr>
            <w:tcW w:w="220" w:type="dxa"/>
            <w:vAlign w:val="bottom"/>
            <w:shd w:val="clear" w:color="auto" w:fill="0067B3"/>
          </w:tcPr>
          <w:p>
            <w:pPr>
              <w:spacing w:after="0"/>
              <w:rPr>
                <w:sz w:val="16"/>
                <w:szCs w:val="16"/>
                <w:color w:val="auto"/>
              </w:rPr>
            </w:pPr>
          </w:p>
        </w:tc>
        <w:tc>
          <w:tcPr>
            <w:tcW w:w="14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240" w:type="dxa"/>
            <w:vAlign w:val="bottom"/>
            <w:shd w:val="clear" w:color="auto" w:fill="0067B3"/>
          </w:tcPr>
          <w:p>
            <w:pPr>
              <w:spacing w:after="0"/>
              <w:rPr>
                <w:sz w:val="16"/>
                <w:szCs w:val="16"/>
                <w:color w:val="auto"/>
              </w:rPr>
            </w:pPr>
          </w:p>
        </w:tc>
        <w:tc>
          <w:tcPr>
            <w:tcW w:w="980" w:type="dxa"/>
            <w:vAlign w:val="bottom"/>
            <w:shd w:val="clear" w:color="auto" w:fill="0067B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0067B3"/>
          </w:tcPr>
          <w:p>
            <w:pPr>
              <w:spacing w:after="0"/>
              <w:rPr>
                <w:sz w:val="15"/>
                <w:szCs w:val="15"/>
                <w:color w:val="auto"/>
              </w:rPr>
            </w:pPr>
          </w:p>
        </w:tc>
        <w:tc>
          <w:tcPr>
            <w:tcW w:w="1820" w:type="dxa"/>
            <w:vAlign w:val="bottom"/>
            <w:gridSpan w:val="4"/>
            <w:shd w:val="clear" w:color="auto" w:fill="0067B3"/>
          </w:tcPr>
          <w:p>
            <w:pPr>
              <w:jc w:val="right"/>
              <w:ind w:right="60"/>
              <w:spacing w:after="0" w:line="175" w:lineRule="exact"/>
              <w:rPr>
                <w:sz w:val="20"/>
                <w:szCs w:val="20"/>
                <w:color w:val="auto"/>
              </w:rPr>
            </w:pPr>
            <w:r>
              <w:rPr>
                <w:rFonts w:ascii="Arial" w:cs="Arial" w:eastAsia="Arial" w:hAnsi="Arial"/>
                <w:sz w:val="16"/>
                <w:szCs w:val="16"/>
                <w:b w:val="1"/>
                <w:bCs w:val="1"/>
                <w:color w:val="FFFFFF"/>
              </w:rPr>
              <w:t>change in control</w:t>
            </w:r>
          </w:p>
        </w:tc>
        <w:tc>
          <w:tcPr>
            <w:tcW w:w="220" w:type="dxa"/>
            <w:vAlign w:val="bottom"/>
            <w:shd w:val="clear" w:color="auto" w:fill="0067B3"/>
          </w:tcPr>
          <w:p>
            <w:pPr>
              <w:spacing w:after="0"/>
              <w:rPr>
                <w:sz w:val="15"/>
                <w:szCs w:val="15"/>
                <w:color w:val="auto"/>
              </w:rPr>
            </w:pPr>
          </w:p>
        </w:tc>
        <w:tc>
          <w:tcPr>
            <w:tcW w:w="140" w:type="dxa"/>
            <w:vAlign w:val="bottom"/>
            <w:shd w:val="clear" w:color="auto" w:fill="0067B3"/>
          </w:tcPr>
          <w:p>
            <w:pPr>
              <w:spacing w:after="0"/>
              <w:rPr>
                <w:sz w:val="15"/>
                <w:szCs w:val="15"/>
                <w:color w:val="auto"/>
              </w:rPr>
            </w:pPr>
          </w:p>
        </w:tc>
        <w:tc>
          <w:tcPr>
            <w:tcW w:w="1100" w:type="dxa"/>
            <w:vAlign w:val="bottom"/>
            <w:shd w:val="clear" w:color="auto" w:fill="0067B3"/>
          </w:tcPr>
          <w:p>
            <w:pPr>
              <w:jc w:val="right"/>
              <w:ind w:right="91"/>
              <w:spacing w:after="0" w:line="175" w:lineRule="exact"/>
              <w:rPr>
                <w:sz w:val="20"/>
                <w:szCs w:val="20"/>
                <w:color w:val="auto"/>
              </w:rPr>
            </w:pPr>
            <w:r>
              <w:rPr>
                <w:rFonts w:ascii="Arial" w:cs="Arial" w:eastAsia="Arial" w:hAnsi="Arial"/>
                <w:sz w:val="16"/>
                <w:szCs w:val="16"/>
                <w:b w:val="1"/>
                <w:bCs w:val="1"/>
                <w:color w:val="FFFFFF"/>
              </w:rPr>
              <w:t>Death</w:t>
            </w:r>
          </w:p>
        </w:tc>
        <w:tc>
          <w:tcPr>
            <w:tcW w:w="240" w:type="dxa"/>
            <w:vAlign w:val="bottom"/>
            <w:shd w:val="clear" w:color="auto" w:fill="0067B3"/>
          </w:tcPr>
          <w:p>
            <w:pPr>
              <w:spacing w:after="0"/>
              <w:rPr>
                <w:sz w:val="15"/>
                <w:szCs w:val="15"/>
                <w:color w:val="auto"/>
              </w:rPr>
            </w:pPr>
          </w:p>
        </w:tc>
        <w:tc>
          <w:tcPr>
            <w:tcW w:w="980" w:type="dxa"/>
            <w:vAlign w:val="bottom"/>
            <w:shd w:val="clear" w:color="auto" w:fill="0067B3"/>
          </w:tcPr>
          <w:p>
            <w:pPr>
              <w:jc w:val="right"/>
              <w:spacing w:after="0" w:line="175" w:lineRule="exact"/>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26"/>
        </w:trPr>
        <w:tc>
          <w:tcPr>
            <w:tcW w:w="6740" w:type="dxa"/>
            <w:vAlign w:val="bottom"/>
            <w:tcBorders>
              <w:bottom w:val="single" w:sz="8" w:color="auto"/>
            </w:tcBorders>
            <w:shd w:val="clear" w:color="auto" w:fill="0067B3"/>
          </w:tcPr>
          <w:p>
            <w:pPr>
              <w:spacing w:after="0"/>
              <w:rPr>
                <w:sz w:val="19"/>
                <w:szCs w:val="19"/>
                <w:color w:val="auto"/>
              </w:rPr>
            </w:pPr>
          </w:p>
        </w:tc>
        <w:tc>
          <w:tcPr>
            <w:tcW w:w="700" w:type="dxa"/>
            <w:vAlign w:val="bottom"/>
            <w:tcBorders>
              <w:bottom w:val="single" w:sz="8" w:color="auto"/>
            </w:tcBorders>
            <w:shd w:val="clear" w:color="auto" w:fill="0067B3"/>
          </w:tcPr>
          <w:p>
            <w:pPr>
              <w:spacing w:after="0"/>
              <w:rPr>
                <w:sz w:val="19"/>
                <w:szCs w:val="19"/>
                <w:color w:val="auto"/>
              </w:rPr>
            </w:pPr>
          </w:p>
        </w:tc>
        <w:tc>
          <w:tcPr>
            <w:tcW w:w="120" w:type="dxa"/>
            <w:vAlign w:val="bottom"/>
            <w:tcBorders>
              <w:bottom w:val="single" w:sz="8" w:color="auto"/>
            </w:tcBorders>
            <w:shd w:val="clear" w:color="auto" w:fill="0067B3"/>
          </w:tcPr>
          <w:p>
            <w:pPr>
              <w:spacing w:after="0"/>
              <w:rPr>
                <w:sz w:val="19"/>
                <w:szCs w:val="19"/>
                <w:color w:val="auto"/>
              </w:rPr>
            </w:pPr>
          </w:p>
        </w:tc>
        <w:tc>
          <w:tcPr>
            <w:tcW w:w="1000" w:type="dxa"/>
            <w:vAlign w:val="bottom"/>
            <w:tcBorders>
              <w:bottom w:val="single" w:sz="8" w:color="auto"/>
            </w:tcBorders>
            <w:gridSpan w:val="2"/>
            <w:shd w:val="clear" w:color="auto" w:fill="0067B3"/>
          </w:tcPr>
          <w:p>
            <w:pPr>
              <w:jc w:val="right"/>
              <w:ind w:right="20"/>
              <w:spacing w:after="0"/>
              <w:rPr>
                <w:sz w:val="20"/>
                <w:szCs w:val="20"/>
                <w:color w:val="auto"/>
              </w:rPr>
            </w:pPr>
            <w:r>
              <w:rPr>
                <w:rFonts w:ascii="Arial" w:cs="Arial" w:eastAsia="Arial" w:hAnsi="Arial"/>
                <w:sz w:val="16"/>
                <w:szCs w:val="16"/>
                <w:b w:val="1"/>
                <w:bCs w:val="1"/>
                <w:color w:val="FFFFFF"/>
              </w:rPr>
              <w:t>($)</w:t>
            </w:r>
          </w:p>
        </w:tc>
        <w:tc>
          <w:tcPr>
            <w:tcW w:w="220" w:type="dxa"/>
            <w:vAlign w:val="bottom"/>
            <w:tcBorders>
              <w:bottom w:val="single" w:sz="8" w:color="auto"/>
            </w:tcBorders>
            <w:shd w:val="clear" w:color="auto" w:fill="0067B3"/>
          </w:tcPr>
          <w:p>
            <w:pPr>
              <w:spacing w:after="0"/>
              <w:rPr>
                <w:sz w:val="19"/>
                <w:szCs w:val="19"/>
                <w:color w:val="auto"/>
              </w:rPr>
            </w:pPr>
          </w:p>
        </w:tc>
        <w:tc>
          <w:tcPr>
            <w:tcW w:w="140" w:type="dxa"/>
            <w:vAlign w:val="bottom"/>
            <w:tcBorders>
              <w:bottom w:val="single" w:sz="8" w:color="auto"/>
            </w:tcBorders>
            <w:shd w:val="clear" w:color="auto" w:fill="0067B3"/>
          </w:tcPr>
          <w:p>
            <w:pPr>
              <w:spacing w:after="0"/>
              <w:rPr>
                <w:sz w:val="19"/>
                <w:szCs w:val="19"/>
                <w:color w:val="auto"/>
              </w:rPr>
            </w:pPr>
          </w:p>
        </w:tc>
        <w:tc>
          <w:tcPr>
            <w:tcW w:w="1100" w:type="dxa"/>
            <w:vAlign w:val="bottom"/>
            <w:tcBorders>
              <w:bottom w:val="single" w:sz="8" w:color="auto"/>
            </w:tcBorders>
            <w:shd w:val="clear" w:color="auto" w:fill="0067B3"/>
          </w:tcPr>
          <w:p>
            <w:pPr>
              <w:jc w:val="right"/>
              <w:ind w:right="51"/>
              <w:spacing w:after="0"/>
              <w:rPr>
                <w:sz w:val="20"/>
                <w:szCs w:val="20"/>
                <w:color w:val="auto"/>
              </w:rPr>
            </w:pPr>
            <w:r>
              <w:rPr>
                <w:rFonts w:ascii="Arial" w:cs="Arial" w:eastAsia="Arial" w:hAnsi="Arial"/>
                <w:sz w:val="16"/>
                <w:szCs w:val="16"/>
                <w:b w:val="1"/>
                <w:bCs w:val="1"/>
                <w:color w:val="FFFFFF"/>
              </w:rPr>
              <w:t>($)</w:t>
            </w:r>
          </w:p>
        </w:tc>
        <w:tc>
          <w:tcPr>
            <w:tcW w:w="240" w:type="dxa"/>
            <w:vAlign w:val="bottom"/>
            <w:tcBorders>
              <w:bottom w:val="single" w:sz="8" w:color="auto"/>
            </w:tcBorders>
            <w:shd w:val="clear" w:color="auto" w:fill="0067B3"/>
          </w:tcPr>
          <w:p>
            <w:pPr>
              <w:spacing w:after="0"/>
              <w:rPr>
                <w:sz w:val="19"/>
                <w:szCs w:val="19"/>
                <w:color w:val="auto"/>
              </w:rPr>
            </w:pPr>
          </w:p>
        </w:tc>
        <w:tc>
          <w:tcPr>
            <w:tcW w:w="9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2"/>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700" w:type="dxa"/>
            <w:vAlign w:val="bottom"/>
            <w:shd w:val="clear" w:color="auto" w:fill="E2E6F4"/>
          </w:tcPr>
          <w:p>
            <w:pPr>
              <w:spacing w:after="0"/>
              <w:rPr>
                <w:sz w:val="21"/>
                <w:szCs w:val="21"/>
                <w:color w:val="auto"/>
              </w:rPr>
            </w:pPr>
          </w:p>
        </w:tc>
        <w:tc>
          <w:tcPr>
            <w:tcW w:w="120" w:type="dxa"/>
            <w:vAlign w:val="bottom"/>
            <w:shd w:val="clear" w:color="auto" w:fill="E2E6F4"/>
          </w:tcPr>
          <w:p>
            <w:pPr>
              <w:spacing w:after="0"/>
              <w:rPr>
                <w:sz w:val="21"/>
                <w:szCs w:val="21"/>
                <w:color w:val="auto"/>
              </w:rPr>
            </w:pPr>
          </w:p>
        </w:tc>
        <w:tc>
          <w:tcPr>
            <w:tcW w:w="960" w:type="dxa"/>
            <w:vAlign w:val="bottom"/>
            <w:shd w:val="clear" w:color="auto" w:fill="E2E6F4"/>
          </w:tcPr>
          <w:p>
            <w:pPr>
              <w:spacing w:after="0"/>
              <w:rPr>
                <w:sz w:val="21"/>
                <w:szCs w:val="21"/>
                <w:color w:val="auto"/>
              </w:rPr>
            </w:pPr>
          </w:p>
        </w:tc>
        <w:tc>
          <w:tcPr>
            <w:tcW w:w="40" w:type="dxa"/>
            <w:vAlign w:val="bottom"/>
            <w:shd w:val="clear" w:color="auto" w:fill="E2E6F4"/>
          </w:tcPr>
          <w:p>
            <w:pPr>
              <w:spacing w:after="0"/>
              <w:rPr>
                <w:sz w:val="21"/>
                <w:szCs w:val="21"/>
                <w:color w:val="auto"/>
              </w:rPr>
            </w:pPr>
          </w:p>
        </w:tc>
        <w:tc>
          <w:tcPr>
            <w:tcW w:w="220" w:type="dxa"/>
            <w:vAlign w:val="bottom"/>
            <w:shd w:val="clear" w:color="auto" w:fill="E2E6F4"/>
          </w:tcPr>
          <w:p>
            <w:pPr>
              <w:spacing w:after="0"/>
              <w:rPr>
                <w:sz w:val="21"/>
                <w:szCs w:val="21"/>
                <w:color w:val="auto"/>
              </w:rPr>
            </w:pPr>
          </w:p>
        </w:tc>
        <w:tc>
          <w:tcPr>
            <w:tcW w:w="140" w:type="dxa"/>
            <w:vAlign w:val="bottom"/>
            <w:shd w:val="clear" w:color="auto" w:fill="E2E6F4"/>
          </w:tcPr>
          <w:p>
            <w:pPr>
              <w:spacing w:after="0"/>
              <w:rPr>
                <w:sz w:val="21"/>
                <w:szCs w:val="21"/>
                <w:color w:val="auto"/>
              </w:rPr>
            </w:pPr>
          </w:p>
        </w:tc>
        <w:tc>
          <w:tcPr>
            <w:tcW w:w="1100" w:type="dxa"/>
            <w:vAlign w:val="bottom"/>
            <w:shd w:val="clear" w:color="auto" w:fill="E2E6F4"/>
          </w:tcPr>
          <w:p>
            <w:pPr>
              <w:spacing w:after="0"/>
              <w:rPr>
                <w:sz w:val="21"/>
                <w:szCs w:val="21"/>
                <w:color w:val="auto"/>
              </w:rPr>
            </w:pPr>
          </w:p>
        </w:tc>
        <w:tc>
          <w:tcPr>
            <w:tcW w:w="240" w:type="dxa"/>
            <w:vAlign w:val="bottom"/>
            <w:shd w:val="clear" w:color="auto" w:fill="E2E6F4"/>
          </w:tcPr>
          <w:p>
            <w:pPr>
              <w:spacing w:after="0"/>
              <w:rPr>
                <w:sz w:val="21"/>
                <w:szCs w:val="21"/>
                <w:color w:val="auto"/>
              </w:rPr>
            </w:pPr>
          </w:p>
        </w:tc>
        <w:tc>
          <w:tcPr>
            <w:tcW w:w="980" w:type="dxa"/>
            <w:vAlign w:val="bottom"/>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3,289,000</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Bonus</w:t>
            </w:r>
            <w:r>
              <w:rPr>
                <w:rFonts w:ascii="Arial" w:cs="Arial" w:eastAsia="Arial" w:hAnsi="Arial"/>
                <w:sz w:val="23"/>
                <w:szCs w:val="23"/>
                <w:color w:val="auto"/>
                <w:vertAlign w:val="superscript"/>
              </w:rPr>
              <w:t>(2)</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14,610,061</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35,950,465</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w w:val="97"/>
              </w:rPr>
              <w:t>42,837,838</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42,837,838</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14,778</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r>
              <w:rPr>
                <w:rFonts w:ascii="Arial" w:cs="Arial" w:eastAsia="Arial" w:hAnsi="Arial"/>
                <w:sz w:val="23"/>
                <w:szCs w:val="23"/>
                <w:color w:val="auto"/>
                <w:vertAlign w:val="superscript"/>
              </w:rPr>
              <w:t>(6)</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18,434,406</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220" w:type="dxa"/>
            <w:vAlign w:val="bottom"/>
            <w:shd w:val="clear" w:color="auto" w:fill="E2E6F4"/>
          </w:tcPr>
          <w:p>
            <w:pPr>
              <w:spacing w:after="0"/>
              <w:rPr>
                <w:sz w:val="5"/>
                <w:szCs w:val="5"/>
                <w:color w:val="auto"/>
              </w:rPr>
            </w:pPr>
          </w:p>
        </w:tc>
        <w:tc>
          <w:tcPr>
            <w:tcW w:w="140" w:type="dxa"/>
            <w:vAlign w:val="bottom"/>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72,298,710</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2E6F4"/>
          </w:tcPr>
          <w:p>
            <w:pPr>
              <w:jc w:val="right"/>
              <w:ind w:right="111"/>
              <w:spacing w:after="0"/>
              <w:rPr>
                <w:sz w:val="20"/>
                <w:szCs w:val="20"/>
                <w:color w:val="auto"/>
              </w:rPr>
            </w:pPr>
            <w:r>
              <w:rPr>
                <w:rFonts w:ascii="Arial" w:cs="Arial" w:eastAsia="Arial" w:hAnsi="Arial"/>
                <w:sz w:val="18"/>
                <w:szCs w:val="18"/>
                <w:color w:val="auto"/>
                <w:w w:val="97"/>
              </w:rPr>
              <w:t>42,837,838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42,837,838</w:t>
            </w:r>
          </w:p>
        </w:tc>
        <w:tc>
          <w:tcPr>
            <w:tcW w:w="0" w:type="dxa"/>
            <w:vAlign w:val="bottom"/>
          </w:tcPr>
          <w:p>
            <w:pPr>
              <w:spacing w:after="0"/>
              <w:rPr>
                <w:sz w:val="1"/>
                <w:szCs w:val="1"/>
                <w:color w:val="auto"/>
              </w:rPr>
            </w:pPr>
          </w:p>
        </w:tc>
      </w:tr>
      <w:tr>
        <w:trPr>
          <w:trHeight w:val="255"/>
        </w:trPr>
        <w:tc>
          <w:tcPr>
            <w:tcW w:w="674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674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2,003,300</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Cash Bonus</w:t>
            </w:r>
            <w:r>
              <w:rPr>
                <w:rFonts w:ascii="Arial" w:cs="Arial" w:eastAsia="Arial" w:hAnsi="Arial"/>
                <w:sz w:val="23"/>
                <w:szCs w:val="23"/>
                <w:color w:val="auto"/>
                <w:vertAlign w:val="superscript"/>
              </w:rPr>
              <w:t>(2)</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5,404,886</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13,535,181</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w w:val="97"/>
              </w:rPr>
              <w:t>15,621,453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15,621,453</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44,004</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20,987,371</w:t>
            </w:r>
          </w:p>
        </w:tc>
        <w:tc>
          <w:tcPr>
            <w:tcW w:w="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w w:val="97"/>
              </w:rPr>
              <w:t>15,621,453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15,621,453</w:t>
            </w:r>
          </w:p>
        </w:tc>
        <w:tc>
          <w:tcPr>
            <w:tcW w:w="0" w:type="dxa"/>
            <w:vAlign w:val="bottom"/>
          </w:tcPr>
          <w:p>
            <w:pPr>
              <w:spacing w:after="0"/>
              <w:rPr>
                <w:sz w:val="1"/>
                <w:szCs w:val="1"/>
                <w:color w:val="auto"/>
              </w:rPr>
            </w:pPr>
          </w:p>
        </w:tc>
      </w:tr>
      <w:tr>
        <w:trPr>
          <w:trHeight w:val="263"/>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Gregory Bryant</w:t>
            </w:r>
          </w:p>
        </w:tc>
        <w:tc>
          <w:tcPr>
            <w:tcW w:w="700" w:type="dxa"/>
            <w:vAlign w:val="bottom"/>
            <w:shd w:val="clear" w:color="auto" w:fill="E2E6F4"/>
          </w:tcPr>
          <w:p>
            <w:pPr>
              <w:spacing w:after="0"/>
              <w:rPr>
                <w:sz w:val="22"/>
                <w:szCs w:val="22"/>
                <w:color w:val="auto"/>
              </w:rPr>
            </w:pPr>
          </w:p>
        </w:tc>
        <w:tc>
          <w:tcPr>
            <w:tcW w:w="120" w:type="dxa"/>
            <w:vAlign w:val="bottom"/>
            <w:shd w:val="clear" w:color="auto" w:fill="E2E6F4"/>
          </w:tcPr>
          <w:p>
            <w:pPr>
              <w:spacing w:after="0"/>
              <w:rPr>
                <w:sz w:val="22"/>
                <w:szCs w:val="22"/>
                <w:color w:val="auto"/>
              </w:rPr>
            </w:pPr>
          </w:p>
        </w:tc>
        <w:tc>
          <w:tcPr>
            <w:tcW w:w="960" w:type="dxa"/>
            <w:vAlign w:val="bottom"/>
            <w:shd w:val="clear" w:color="auto" w:fill="E2E6F4"/>
          </w:tcPr>
          <w:p>
            <w:pPr>
              <w:spacing w:after="0"/>
              <w:rPr>
                <w:sz w:val="22"/>
                <w:szCs w:val="22"/>
                <w:color w:val="auto"/>
              </w:rPr>
            </w:pPr>
          </w:p>
        </w:tc>
        <w:tc>
          <w:tcPr>
            <w:tcW w:w="4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1100" w:type="dxa"/>
            <w:vAlign w:val="bottom"/>
            <w:shd w:val="clear" w:color="auto" w:fill="E2E6F4"/>
          </w:tcPr>
          <w:p>
            <w:pPr>
              <w:spacing w:after="0"/>
              <w:rPr>
                <w:sz w:val="22"/>
                <w:szCs w:val="22"/>
                <w:color w:val="auto"/>
              </w:rPr>
            </w:pPr>
          </w:p>
        </w:tc>
        <w:tc>
          <w:tcPr>
            <w:tcW w:w="24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2,242,500</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Bonus</w:t>
            </w:r>
            <w:r>
              <w:rPr>
                <w:rFonts w:ascii="Arial" w:cs="Arial" w:eastAsia="Arial" w:hAnsi="Arial"/>
                <w:sz w:val="23"/>
                <w:szCs w:val="23"/>
                <w:color w:val="auto"/>
                <w:vertAlign w:val="superscript"/>
              </w:rPr>
              <w:t>(2)</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3,687,187</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39,736,672</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w w:val="97"/>
              </w:rPr>
              <w:t>40,550,608</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7"/>
              </w:rPr>
              <w:t>40,550,608</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27,642</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70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3"/>
                <w:szCs w:val="23"/>
                <w:color w:val="auto"/>
              </w:rPr>
            </w:pPr>
          </w:p>
        </w:tc>
        <w:tc>
          <w:tcPr>
            <w:tcW w:w="2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E2E6F4"/>
          </w:tcPr>
          <w:p>
            <w:pPr>
              <w:spacing w:after="0"/>
              <w:rPr>
                <w:sz w:val="24"/>
                <w:szCs w:val="24"/>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45,694,001</w:t>
            </w:r>
          </w:p>
        </w:tc>
        <w:tc>
          <w:tcPr>
            <w:tcW w:w="40" w:type="dxa"/>
            <w:vAlign w:val="bottom"/>
            <w:shd w:val="clear" w:color="auto" w:fill="E2E6F4"/>
          </w:tcPr>
          <w:p>
            <w:pPr>
              <w:spacing w:after="0"/>
              <w:rPr>
                <w:sz w:val="24"/>
                <w:szCs w:val="24"/>
                <w:color w:val="auto"/>
              </w:rPr>
            </w:pPr>
          </w:p>
        </w:tc>
        <w:tc>
          <w:tcPr>
            <w:tcW w:w="220" w:type="dxa"/>
            <w:vAlign w:val="bottom"/>
            <w:shd w:val="clear" w:color="auto" w:fill="E2E6F4"/>
          </w:tcPr>
          <w:p>
            <w:pPr>
              <w:spacing w:after="0"/>
              <w:rPr>
                <w:sz w:val="24"/>
                <w:szCs w:val="24"/>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2E6F4"/>
          </w:tcPr>
          <w:p>
            <w:pPr>
              <w:jc w:val="right"/>
              <w:ind w:right="111"/>
              <w:spacing w:after="0"/>
              <w:rPr>
                <w:sz w:val="20"/>
                <w:szCs w:val="20"/>
                <w:color w:val="auto"/>
              </w:rPr>
            </w:pPr>
            <w:r>
              <w:rPr>
                <w:rFonts w:ascii="Arial" w:cs="Arial" w:eastAsia="Arial" w:hAnsi="Arial"/>
                <w:sz w:val="18"/>
                <w:szCs w:val="18"/>
                <w:color w:val="auto"/>
                <w:w w:val="97"/>
              </w:rPr>
              <w:t>40,550,608</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7"/>
              </w:rPr>
              <w:t>40,550,608</w:t>
            </w:r>
          </w:p>
        </w:tc>
        <w:tc>
          <w:tcPr>
            <w:tcW w:w="0" w:type="dxa"/>
            <w:vAlign w:val="bottom"/>
          </w:tcPr>
          <w:p>
            <w:pPr>
              <w:spacing w:after="0"/>
              <w:rPr>
                <w:sz w:val="1"/>
                <w:szCs w:val="1"/>
                <w:color w:val="auto"/>
              </w:rPr>
            </w:pPr>
          </w:p>
        </w:tc>
      </w:tr>
      <w:tr>
        <w:trPr>
          <w:trHeight w:val="255"/>
        </w:trPr>
        <w:tc>
          <w:tcPr>
            <w:tcW w:w="6740" w:type="dxa"/>
            <w:vAlign w:val="bottom"/>
          </w:tcPr>
          <w:p>
            <w:pPr>
              <w:ind w:left="20"/>
              <w:spacing w:after="0"/>
              <w:rPr>
                <w:sz w:val="20"/>
                <w:szCs w:val="20"/>
                <w:color w:val="auto"/>
              </w:rPr>
            </w:pPr>
            <w:r>
              <w:rPr>
                <w:rFonts w:ascii="Arial" w:cs="Arial" w:eastAsia="Arial" w:hAnsi="Arial"/>
                <w:sz w:val="18"/>
                <w:szCs w:val="18"/>
                <w:b w:val="1"/>
                <w:bCs w:val="1"/>
                <w:color w:val="0067B3"/>
              </w:rPr>
              <w:t>Vivek Jain</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6740" w:type="dxa"/>
            <w:vAlign w:val="bottom"/>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1,250,000</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Cash Bonus</w:t>
            </w:r>
            <w:r>
              <w:rPr>
                <w:rFonts w:ascii="Arial" w:cs="Arial" w:eastAsia="Arial" w:hAnsi="Arial"/>
                <w:sz w:val="23"/>
                <w:szCs w:val="23"/>
                <w:color w:val="auto"/>
                <w:vertAlign w:val="superscript"/>
              </w:rPr>
              <w:t>(2)</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1,562,500</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8,661,071</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9,203,647</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6,450,347</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24,744</w:t>
            </w:r>
          </w:p>
        </w:tc>
        <w:tc>
          <w:tcPr>
            <w:tcW w:w="4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Excise Tax Gross Up</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11,498,315</w:t>
            </w:r>
          </w:p>
        </w:tc>
        <w:tc>
          <w:tcPr>
            <w:tcW w:w="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9,203,647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6,450,347</w:t>
            </w:r>
          </w:p>
        </w:tc>
        <w:tc>
          <w:tcPr>
            <w:tcW w:w="0" w:type="dxa"/>
            <w:vAlign w:val="bottom"/>
          </w:tcPr>
          <w:p>
            <w:pPr>
              <w:spacing w:after="0"/>
              <w:rPr>
                <w:sz w:val="1"/>
                <w:szCs w:val="1"/>
                <w:color w:val="auto"/>
              </w:rPr>
            </w:pPr>
          </w:p>
        </w:tc>
      </w:tr>
      <w:tr>
        <w:trPr>
          <w:trHeight w:val="263"/>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Anelise Sacks</w:t>
            </w:r>
          </w:p>
        </w:tc>
        <w:tc>
          <w:tcPr>
            <w:tcW w:w="700" w:type="dxa"/>
            <w:vAlign w:val="bottom"/>
            <w:shd w:val="clear" w:color="auto" w:fill="E2E6F4"/>
          </w:tcPr>
          <w:p>
            <w:pPr>
              <w:spacing w:after="0"/>
              <w:rPr>
                <w:sz w:val="22"/>
                <w:szCs w:val="22"/>
                <w:color w:val="auto"/>
              </w:rPr>
            </w:pPr>
          </w:p>
        </w:tc>
        <w:tc>
          <w:tcPr>
            <w:tcW w:w="120" w:type="dxa"/>
            <w:vAlign w:val="bottom"/>
            <w:shd w:val="clear" w:color="auto" w:fill="E2E6F4"/>
          </w:tcPr>
          <w:p>
            <w:pPr>
              <w:spacing w:after="0"/>
              <w:rPr>
                <w:sz w:val="22"/>
                <w:szCs w:val="22"/>
                <w:color w:val="auto"/>
              </w:rPr>
            </w:pPr>
          </w:p>
        </w:tc>
        <w:tc>
          <w:tcPr>
            <w:tcW w:w="960" w:type="dxa"/>
            <w:vAlign w:val="bottom"/>
            <w:shd w:val="clear" w:color="auto" w:fill="E2E6F4"/>
          </w:tcPr>
          <w:p>
            <w:pPr>
              <w:spacing w:after="0"/>
              <w:rPr>
                <w:sz w:val="22"/>
                <w:szCs w:val="22"/>
                <w:color w:val="auto"/>
              </w:rPr>
            </w:pPr>
          </w:p>
        </w:tc>
        <w:tc>
          <w:tcPr>
            <w:tcW w:w="40" w:type="dxa"/>
            <w:vAlign w:val="bottom"/>
            <w:shd w:val="clear" w:color="auto" w:fill="E2E6F4"/>
          </w:tcPr>
          <w:p>
            <w:pPr>
              <w:spacing w:after="0"/>
              <w:rPr>
                <w:sz w:val="22"/>
                <w:szCs w:val="22"/>
                <w:color w:val="auto"/>
              </w:rPr>
            </w:pPr>
          </w:p>
        </w:tc>
        <w:tc>
          <w:tcPr>
            <w:tcW w:w="220" w:type="dxa"/>
            <w:vAlign w:val="bottom"/>
            <w:shd w:val="clear" w:color="auto" w:fill="E2E6F4"/>
          </w:tcPr>
          <w:p>
            <w:pPr>
              <w:spacing w:after="0"/>
              <w:rPr>
                <w:sz w:val="22"/>
                <w:szCs w:val="22"/>
                <w:color w:val="auto"/>
              </w:rPr>
            </w:pPr>
          </w:p>
        </w:tc>
        <w:tc>
          <w:tcPr>
            <w:tcW w:w="140" w:type="dxa"/>
            <w:vAlign w:val="bottom"/>
            <w:shd w:val="clear" w:color="auto" w:fill="E2E6F4"/>
          </w:tcPr>
          <w:p>
            <w:pPr>
              <w:spacing w:after="0"/>
              <w:rPr>
                <w:sz w:val="22"/>
                <w:szCs w:val="22"/>
                <w:color w:val="auto"/>
              </w:rPr>
            </w:pPr>
          </w:p>
        </w:tc>
        <w:tc>
          <w:tcPr>
            <w:tcW w:w="1100" w:type="dxa"/>
            <w:vAlign w:val="bottom"/>
            <w:shd w:val="clear" w:color="auto" w:fill="E2E6F4"/>
          </w:tcPr>
          <w:p>
            <w:pPr>
              <w:spacing w:after="0"/>
              <w:rPr>
                <w:sz w:val="22"/>
                <w:szCs w:val="22"/>
                <w:color w:val="auto"/>
              </w:rPr>
            </w:pPr>
          </w:p>
        </w:tc>
        <w:tc>
          <w:tcPr>
            <w:tcW w:w="240" w:type="dxa"/>
            <w:vAlign w:val="bottom"/>
            <w:shd w:val="clear" w:color="auto" w:fill="E2E6F4"/>
          </w:tcPr>
          <w:p>
            <w:pPr>
              <w:spacing w:after="0"/>
              <w:rPr>
                <w:sz w:val="22"/>
                <w:szCs w:val="22"/>
                <w:color w:val="auto"/>
              </w:rPr>
            </w:pPr>
          </w:p>
        </w:tc>
        <w:tc>
          <w:tcPr>
            <w:tcW w:w="980" w:type="dxa"/>
            <w:vAlign w:val="bottom"/>
            <w:shd w:val="clear" w:color="auto" w:fill="E2E6F4"/>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Severance</w:t>
            </w:r>
            <w:r>
              <w:rPr>
                <w:rFonts w:ascii="Arial" w:cs="Arial" w:eastAsia="Arial" w:hAnsi="Arial"/>
                <w:sz w:val="23"/>
                <w:szCs w:val="23"/>
                <w:color w:val="auto"/>
                <w:vertAlign w:val="superscript"/>
              </w:rPr>
              <w:t>(1)</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1,794,000</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Cash Bonus</w:t>
            </w:r>
            <w:r>
              <w:rPr>
                <w:rFonts w:ascii="Arial" w:cs="Arial" w:eastAsia="Arial" w:hAnsi="Arial"/>
                <w:sz w:val="23"/>
                <w:szCs w:val="23"/>
                <w:color w:val="auto"/>
                <w:vertAlign w:val="superscript"/>
              </w:rPr>
              <w:t>(2)</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4,266,040</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Accelerated Vesting of Equity Awards</w:t>
            </w:r>
            <w:r>
              <w:rPr>
                <w:rFonts w:ascii="Arial" w:cs="Arial" w:eastAsia="Arial" w:hAnsi="Arial"/>
                <w:sz w:val="23"/>
                <w:szCs w:val="23"/>
                <w:color w:val="auto"/>
                <w:vertAlign w:val="superscript"/>
              </w:rPr>
              <w:t>(3)(4)</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6,570,308</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7,301,372</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7,301,372</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Value of Medical and Other Benefits</w:t>
            </w:r>
            <w:r>
              <w:rPr>
                <w:rFonts w:ascii="Arial" w:cs="Arial" w:eastAsia="Arial" w:hAnsi="Arial"/>
                <w:sz w:val="23"/>
                <w:szCs w:val="23"/>
                <w:color w:val="auto"/>
                <w:vertAlign w:val="superscript"/>
              </w:rPr>
              <w:t>(5)</w:t>
            </w:r>
          </w:p>
        </w:tc>
        <w:tc>
          <w:tcPr>
            <w:tcW w:w="700" w:type="dxa"/>
            <w:vAlign w:val="bottom"/>
            <w:shd w:val="clear" w:color="auto" w:fill="E2E6F4"/>
          </w:tcPr>
          <w:p>
            <w:pPr>
              <w:spacing w:after="0"/>
              <w:rPr>
                <w:sz w:val="24"/>
                <w:szCs w:val="24"/>
                <w:color w:val="auto"/>
              </w:rPr>
            </w:pPr>
          </w:p>
        </w:tc>
        <w:tc>
          <w:tcPr>
            <w:tcW w:w="12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44,004</w:t>
            </w:r>
          </w:p>
        </w:tc>
        <w:tc>
          <w:tcPr>
            <w:tcW w:w="40" w:type="dxa"/>
            <w:vAlign w:val="bottom"/>
            <w:shd w:val="clear" w:color="auto" w:fill="E2E6F4"/>
          </w:tcPr>
          <w:p>
            <w:pPr>
              <w:spacing w:after="0"/>
              <w:rPr>
                <w:sz w:val="24"/>
                <w:szCs w:val="24"/>
                <w:color w:val="auto"/>
              </w:rPr>
            </w:pPr>
          </w:p>
        </w:tc>
        <w:tc>
          <w:tcPr>
            <w:tcW w:w="360" w:type="dxa"/>
            <w:vAlign w:val="bottom"/>
            <w:gridSpan w:val="2"/>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6740" w:type="dxa"/>
            <w:vAlign w:val="bottom"/>
            <w:shd w:val="clear" w:color="auto" w:fill="E2E6F4"/>
          </w:tcPr>
          <w:p>
            <w:pPr>
              <w:spacing w:after="0"/>
              <w:rPr>
                <w:sz w:val="5"/>
                <w:szCs w:val="5"/>
                <w:color w:val="auto"/>
              </w:rPr>
            </w:pPr>
          </w:p>
        </w:tc>
        <w:tc>
          <w:tcPr>
            <w:tcW w:w="700" w:type="dxa"/>
            <w:vAlign w:val="bottom"/>
            <w:shd w:val="clear" w:color="auto" w:fill="E2E6F4"/>
          </w:tcPr>
          <w:p>
            <w:pPr>
              <w:spacing w:after="0"/>
              <w:rPr>
                <w:sz w:val="5"/>
                <w:szCs w:val="5"/>
                <w:color w:val="auto"/>
              </w:rPr>
            </w:pPr>
          </w:p>
        </w:tc>
        <w:tc>
          <w:tcPr>
            <w:tcW w:w="120" w:type="dxa"/>
            <w:vAlign w:val="bottom"/>
            <w:vMerge w:val="continue"/>
            <w:shd w:val="clear" w:color="auto" w:fill="E2E6F4"/>
          </w:tcPr>
          <w:p>
            <w:pPr>
              <w:spacing w:after="0"/>
              <w:rPr>
                <w:sz w:val="5"/>
                <w:szCs w:val="5"/>
                <w:color w:val="auto"/>
              </w:rPr>
            </w:pPr>
          </w:p>
        </w:tc>
        <w:tc>
          <w:tcPr>
            <w:tcW w:w="960" w:type="dxa"/>
            <w:vAlign w:val="bottom"/>
            <w:vMerge w:val="continue"/>
            <w:shd w:val="clear" w:color="auto" w:fill="E2E6F4"/>
          </w:tcPr>
          <w:p>
            <w:pPr>
              <w:spacing w:after="0"/>
              <w:rPr>
                <w:sz w:val="5"/>
                <w:szCs w:val="5"/>
                <w:color w:val="auto"/>
              </w:rPr>
            </w:pPr>
          </w:p>
        </w:tc>
        <w:tc>
          <w:tcPr>
            <w:tcW w:w="40" w:type="dxa"/>
            <w:vAlign w:val="bottom"/>
            <w:shd w:val="clear" w:color="auto" w:fill="E2E6F4"/>
          </w:tcPr>
          <w:p>
            <w:pPr>
              <w:spacing w:after="0"/>
              <w:rPr>
                <w:sz w:val="5"/>
                <w:szCs w:val="5"/>
                <w:color w:val="auto"/>
              </w:rPr>
            </w:pPr>
          </w:p>
        </w:tc>
        <w:tc>
          <w:tcPr>
            <w:tcW w:w="360" w:type="dxa"/>
            <w:vAlign w:val="bottom"/>
            <w:gridSpan w:val="2"/>
            <w:vMerge w:val="continue"/>
            <w:shd w:val="clear" w:color="auto" w:fill="E2E6F4"/>
          </w:tcPr>
          <w:p>
            <w:pPr>
              <w:spacing w:after="0"/>
              <w:rPr>
                <w:sz w:val="5"/>
                <w:szCs w:val="5"/>
                <w:color w:val="auto"/>
              </w:rPr>
            </w:pPr>
          </w:p>
        </w:tc>
        <w:tc>
          <w:tcPr>
            <w:tcW w:w="1100" w:type="dxa"/>
            <w:vAlign w:val="bottom"/>
            <w:vMerge w:val="continue"/>
            <w:shd w:val="clear" w:color="auto" w:fill="E2E6F4"/>
          </w:tcPr>
          <w:p>
            <w:pPr>
              <w:spacing w:after="0"/>
              <w:rPr>
                <w:sz w:val="5"/>
                <w:szCs w:val="5"/>
                <w:color w:val="auto"/>
              </w:rPr>
            </w:pPr>
          </w:p>
        </w:tc>
        <w:tc>
          <w:tcPr>
            <w:tcW w:w="240" w:type="dxa"/>
            <w:vAlign w:val="bottom"/>
            <w:vMerge w:val="continue"/>
            <w:shd w:val="clear" w:color="auto" w:fill="E2E6F4"/>
          </w:tcPr>
          <w:p>
            <w:pPr>
              <w:spacing w:after="0"/>
              <w:rPr>
                <w:sz w:val="5"/>
                <w:szCs w:val="5"/>
                <w:color w:val="auto"/>
              </w:rPr>
            </w:pPr>
          </w:p>
        </w:tc>
        <w:tc>
          <w:tcPr>
            <w:tcW w:w="980" w:type="dxa"/>
            <w:vAlign w:val="bottom"/>
            <w:vMerge w:val="continue"/>
            <w:shd w:val="clear" w:color="auto" w:fill="E2E6F4"/>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E2E6F4"/>
          </w:tcPr>
          <w:p>
            <w:pPr>
              <w:ind w:left="20"/>
              <w:spacing w:after="0"/>
              <w:rPr>
                <w:sz w:val="20"/>
                <w:szCs w:val="20"/>
                <w:color w:val="auto"/>
              </w:rPr>
            </w:pPr>
            <w:r>
              <w:rPr>
                <w:rFonts w:ascii="Arial" w:cs="Arial" w:eastAsia="Arial" w:hAnsi="Arial"/>
                <w:sz w:val="18"/>
                <w:szCs w:val="18"/>
                <w:color w:val="auto"/>
              </w:rPr>
              <w:t>Excise Tax Gross Up</w:t>
            </w:r>
          </w:p>
        </w:tc>
        <w:tc>
          <w:tcPr>
            <w:tcW w:w="700" w:type="dxa"/>
            <w:vAlign w:val="bottom"/>
            <w:shd w:val="clear" w:color="auto" w:fill="E2E6F4"/>
          </w:tcPr>
          <w:p>
            <w:pPr>
              <w:spacing w:after="0"/>
              <w:rPr>
                <w:sz w:val="23"/>
                <w:szCs w:val="23"/>
                <w:color w:val="auto"/>
              </w:rPr>
            </w:pPr>
          </w:p>
        </w:tc>
        <w:tc>
          <w:tcPr>
            <w:tcW w:w="12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6F4"/>
          </w:tcPr>
          <w:p>
            <w:pPr>
              <w:spacing w:after="0"/>
              <w:rPr>
                <w:sz w:val="23"/>
                <w:szCs w:val="23"/>
                <w:color w:val="auto"/>
              </w:rPr>
            </w:pPr>
          </w:p>
        </w:tc>
        <w:tc>
          <w:tcPr>
            <w:tcW w:w="220" w:type="dxa"/>
            <w:vAlign w:val="bottom"/>
            <w:shd w:val="clear" w:color="auto" w:fill="E2E6F4"/>
          </w:tcPr>
          <w:p>
            <w:pPr>
              <w:spacing w:after="0"/>
              <w:rPr>
                <w:sz w:val="23"/>
                <w:szCs w:val="23"/>
                <w:color w:val="auto"/>
              </w:rPr>
            </w:pPr>
          </w:p>
        </w:tc>
        <w:tc>
          <w:tcPr>
            <w:tcW w:w="140" w:type="dxa"/>
            <w:vAlign w:val="bottom"/>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2E6F4"/>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6740" w:type="dxa"/>
            <w:vAlign w:val="bottom"/>
            <w:tcBorders>
              <w:bottom w:val="single" w:sz="8" w:color="0067B3"/>
            </w:tcBorders>
            <w:shd w:val="clear" w:color="auto" w:fill="E2E6F4"/>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0067B3"/>
            </w:tcBorders>
            <w:shd w:val="clear" w:color="auto" w:fill="E2E6F4"/>
          </w:tcPr>
          <w:p>
            <w:pPr>
              <w:spacing w:after="0"/>
              <w:rPr>
                <w:sz w:val="24"/>
                <w:szCs w:val="24"/>
                <w:color w:val="auto"/>
              </w:rPr>
            </w:pPr>
          </w:p>
        </w:tc>
        <w:tc>
          <w:tcPr>
            <w:tcW w:w="12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9"/>
              </w:rPr>
              <w:t>12,674,352</w:t>
            </w:r>
          </w:p>
        </w:tc>
        <w:tc>
          <w:tcPr>
            <w:tcW w:w="40" w:type="dxa"/>
            <w:vAlign w:val="bottom"/>
            <w:tcBorders>
              <w:bottom w:val="single" w:sz="8" w:color="0067B3"/>
            </w:tcBorders>
            <w:shd w:val="clear" w:color="auto" w:fill="E2E6F4"/>
          </w:tcPr>
          <w:p>
            <w:pPr>
              <w:spacing w:after="0"/>
              <w:rPr>
                <w:sz w:val="24"/>
                <w:szCs w:val="24"/>
                <w:color w:val="auto"/>
              </w:rPr>
            </w:pPr>
          </w:p>
        </w:tc>
        <w:tc>
          <w:tcPr>
            <w:tcW w:w="220" w:type="dxa"/>
            <w:vAlign w:val="bottom"/>
            <w:tcBorders>
              <w:bottom w:val="single" w:sz="8" w:color="0067B3"/>
            </w:tcBorders>
            <w:shd w:val="clear" w:color="auto" w:fill="E2E6F4"/>
          </w:tcPr>
          <w:p>
            <w:pPr>
              <w:spacing w:after="0"/>
              <w:rPr>
                <w:sz w:val="24"/>
                <w:szCs w:val="24"/>
                <w:color w:val="auto"/>
              </w:rPr>
            </w:pPr>
          </w:p>
        </w:tc>
        <w:tc>
          <w:tcPr>
            <w:tcW w:w="1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0067B3"/>
            </w:tcBorders>
            <w:shd w:val="clear" w:color="auto" w:fill="E2E6F4"/>
          </w:tcPr>
          <w:p>
            <w:pPr>
              <w:jc w:val="right"/>
              <w:ind w:right="111"/>
              <w:spacing w:after="0"/>
              <w:rPr>
                <w:sz w:val="20"/>
                <w:szCs w:val="20"/>
                <w:color w:val="auto"/>
              </w:rPr>
            </w:pPr>
            <w:r>
              <w:rPr>
                <w:rFonts w:ascii="Arial" w:cs="Arial" w:eastAsia="Arial" w:hAnsi="Arial"/>
                <w:sz w:val="18"/>
                <w:szCs w:val="18"/>
                <w:color w:val="auto"/>
              </w:rPr>
              <w:t>7,301,372</w:t>
            </w:r>
          </w:p>
        </w:tc>
        <w:tc>
          <w:tcPr>
            <w:tcW w:w="24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67B3"/>
            </w:tcBorders>
            <w:shd w:val="clear" w:color="auto" w:fill="E2E6F4"/>
          </w:tcPr>
          <w:p>
            <w:pPr>
              <w:jc w:val="right"/>
              <w:spacing w:after="0"/>
              <w:rPr>
                <w:sz w:val="20"/>
                <w:szCs w:val="20"/>
                <w:color w:val="auto"/>
              </w:rPr>
            </w:pPr>
            <w:r>
              <w:rPr>
                <w:rFonts w:ascii="Arial" w:cs="Arial" w:eastAsia="Arial" w:hAnsi="Arial"/>
                <w:sz w:val="18"/>
                <w:szCs w:val="18"/>
                <w:color w:val="auto"/>
              </w:rPr>
              <w:t>7,301,372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0" w:right="200" w:hanging="192"/>
        <w:spacing w:after="0" w:line="212" w:lineRule="auto"/>
        <w:tabs>
          <w:tab w:leader="none" w:pos="215"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Cash severance based upon a multiplier of 299% of the NEO’s base salary in the case of Messrs. Roche, Mahendra-Rajah, and Bryant and Ms. Sacks. Cash severance based upon a multiplier of 200% of the NEO’s base salary in the case of Mr. Jain.</w:t>
      </w:r>
    </w:p>
    <w:p>
      <w:pPr>
        <w:spacing w:after="0" w:line="2" w:lineRule="exact"/>
        <w:rPr>
          <w:rFonts w:ascii="Arial" w:cs="Arial" w:eastAsia="Arial" w:hAnsi="Arial"/>
          <w:sz w:val="21"/>
          <w:szCs w:val="21"/>
          <w:color w:val="auto"/>
          <w:vertAlign w:val="superscript"/>
        </w:rPr>
      </w:pPr>
    </w:p>
    <w:p>
      <w:pPr>
        <w:ind w:left="200" w:right="280" w:hanging="192"/>
        <w:spacing w:after="0" w:line="212" w:lineRule="auto"/>
        <w:tabs>
          <w:tab w:leader="none" w:pos="215"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Cash bonus based upon a multiplier of 299% of the sum of the NEO’s total cash bonuses awarded to him or her in the four fiscal quarters preceding termination in the case of Messrs. Roche, Mahendra-Rajah, and Bryant and Ms. Sacks. Cash bonus based upon 200% of the sum of the target annual cash performance bonus for the year in which the severance date occurs in the case of Mr. Jain.</w:t>
      </w:r>
    </w:p>
    <w:p>
      <w:pPr>
        <w:spacing w:after="0" w:line="262"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77</w:t>
      </w:r>
    </w:p>
    <w:p>
      <w:pPr>
        <w:sectPr>
          <w:pgSz w:w="11900" w:h="16843" w:orient="portrait"/>
          <w:cols w:equalWidth="0" w:num="1">
            <w:col w:w="11240"/>
          </w:cols>
          <w:pgMar w:left="320" w:top="157" w:right="339" w:bottom="0" w:gutter="0" w:footer="0" w:header="0"/>
        </w:sectPr>
      </w:pPr>
    </w:p>
    <w:bookmarkStart w:id="86" w:name="page87"/>
    <w:bookmarkEnd w:id="86"/>
    <w:p>
      <w:pPr>
        <w:spacing w:after="0"/>
        <w:tabs>
          <w:tab w:leader="none" w:pos="10980" w:val="left"/>
        </w:tabs>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200" w:right="20" w:hanging="192"/>
        <w:spacing w:after="0" w:line="242" w:lineRule="auto"/>
        <w:tabs>
          <w:tab w:leader="none" w:pos="215"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The value of accelerated unvested options as of October 29, 2022 is calculated by taking the difference between the closing price of our common stock on Nasdaq on the last trading day of the fiscal year ($144.88 on October 28, 2022) and the option exercise price and multiplying it by the number of accelerated options. For time- and performance-based RSUs the value represents the closing price of our common stock on the last trading day of the fiscal year multiplied by the number of accelerated units. For PRSUs, the number of accelerated units assumes (i) vesting at the target level in the case of involuntary not for cause termination or by the NEO for good reason following a change in control and (ii) vesting at the level of achievement certified by the Compensation and Talent Committee as of the date of death or permanent disability.</w:t>
      </w:r>
    </w:p>
    <w:p>
      <w:pPr>
        <w:spacing w:after="0" w:line="57" w:lineRule="exact"/>
        <w:rPr>
          <w:rFonts w:ascii="Arial" w:cs="Arial" w:eastAsia="Arial" w:hAnsi="Arial"/>
          <w:sz w:val="21"/>
          <w:szCs w:val="21"/>
          <w:color w:val="auto"/>
          <w:vertAlign w:val="superscript"/>
        </w:rPr>
      </w:pPr>
    </w:p>
    <w:p>
      <w:pPr>
        <w:ind w:left="200" w:hanging="192"/>
        <w:spacing w:after="0" w:line="243" w:lineRule="auto"/>
        <w:tabs>
          <w:tab w:leader="none" w:pos="215"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As of October 29, 2022, upon termination by us without cause or by the NEO for good reason after a change in control event, (i) Messrs. Roche, Mahendra-Rajah, Bryant, and Jain and Ms. Sacks would be entitled to acceleration of vesting of all outstanding unvested stock options or time-based RSUs and PRSUs granted under our 2020 Plan and our 2006 Plan and (ii) Mr. Jain would be entitled to acceleration of vesting of all outstanding unvested stock options or time-based RSUs and PRSUs granted under our 1996 Plan. As of October 29, 2022, in the event of the NEO’s death, Messrs. Roche, Mahendra-Rajah, Bryant, and Jain and Ms. Sacks would be entitled to acceleration of vesting of all outstanding unvested stock options or time-based RSUs and PRSUs granted under our 2020 Plan, our 2006 Plan and our 1996 Plan. As of October 29, 2022, in the event of the NEO’s permanent disability, Messrs. Roche, Mahendra-Rajah, Bryant, and Jain and Ms. Sacks would be entitled to acceleration of vesting of all outstanding unvested stock options or time-based RSUs and PRSUs granted under our 2020 Plan and our 2006 Plan.</w:t>
      </w:r>
    </w:p>
    <w:p>
      <w:pPr>
        <w:spacing w:after="0" w:line="44" w:lineRule="exact"/>
        <w:rPr>
          <w:rFonts w:ascii="Arial" w:cs="Arial" w:eastAsia="Arial" w:hAnsi="Arial"/>
          <w:sz w:val="21"/>
          <w:szCs w:val="21"/>
          <w:color w:val="auto"/>
          <w:vertAlign w:val="superscript"/>
        </w:rPr>
      </w:pPr>
    </w:p>
    <w:p>
      <w:pPr>
        <w:ind w:left="200" w:right="380" w:hanging="192"/>
        <w:spacing w:after="0"/>
        <w:tabs>
          <w:tab w:leader="none" w:pos="215"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Amounts include life, disability, dental, accident and group health insurance benefit continuation in the case of Messrs. Roche, Mahendra-Rajah, and Bryant and Ms. Sacks, and dental and group health insurance benefit continuation for Mr. Jain, for 24 months after a termination in connection with a change in control. The annual benefit costs for each executive are: $7,389 for Mr. Roche, $22,002 for Mr. Mahendra-Rajah, $13,820 for Mr. Bryant, $12,372 for Mr. Jain, and $22,002 for Ms. Sacks.</w:t>
      </w:r>
    </w:p>
    <w:p>
      <w:pPr>
        <w:spacing w:after="0" w:line="43" w:lineRule="exact"/>
        <w:rPr>
          <w:rFonts w:ascii="Arial" w:cs="Arial" w:eastAsia="Arial" w:hAnsi="Arial"/>
          <w:sz w:val="21"/>
          <w:szCs w:val="21"/>
          <w:color w:val="auto"/>
          <w:vertAlign w:val="superscript"/>
        </w:rPr>
      </w:pPr>
    </w:p>
    <w:p>
      <w:pPr>
        <w:ind w:left="200" w:right="80" w:hanging="192"/>
        <w:spacing w:after="0" w:line="242" w:lineRule="auto"/>
        <w:tabs>
          <w:tab w:leader="none" w:pos="215"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In calculating the excise tax gross-up amounts, we take into account Mr. Roche’s earnings from ADI for the prior five years. We include the change in control cash severance and bonus, valuations of unvested stock options that become vested upon a change in control (using the fiscal year 2022 year-end closing stock price), valuations of time-based RSUs and PRSUs that become vested upon a change in control (using the fiscal year 2022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262"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CEO Pay Ratio</w:t>
      </w:r>
    </w:p>
    <w:p>
      <w:pPr>
        <w:spacing w:after="0" w:line="169"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our CEO and Chair.</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permitted by SEC rules, we used the same median employee for our fiscal year 2022 pay ratio calculation as we used for our fiscal year 2021 calculation included in our proxy statement for fiscal year 2021. We believe it is reasonable to use the same median employee for purposes of the pay ratio calculation because there was no material change in our employee population or in the median employee’s compensation arrangement or other material change that would significantly affect our pay ratio calculation. To identify the median employee in fiscal year 2021 and to determine such employee’s annual total compensation, we used the following methodology and material assumptions, adjustments and estimates:</w:t>
      </w:r>
    </w:p>
    <w:p>
      <w:pPr>
        <w:spacing w:after="0" w:line="63" w:lineRule="exact"/>
        <w:rPr>
          <w:sz w:val="20"/>
          <w:szCs w:val="20"/>
          <w:color w:val="auto"/>
        </w:rPr>
      </w:pPr>
    </w:p>
    <w:p>
      <w:pPr>
        <w:ind w:left="200" w:right="100" w:hanging="192"/>
        <w:spacing w:after="0" w:line="287" w:lineRule="auto"/>
        <w:tabs>
          <w:tab w:leader="none" w:pos="163" w:val="left"/>
        </w:tabs>
        <w:numPr>
          <w:ilvl w:val="0"/>
          <w:numId w:val="112"/>
        </w:numPr>
        <w:rPr>
          <w:rFonts w:ascii="Arial" w:cs="Arial" w:eastAsia="Arial" w:hAnsi="Arial"/>
          <w:sz w:val="18"/>
          <w:szCs w:val="18"/>
          <w:color w:val="0067B3"/>
        </w:rPr>
      </w:pPr>
      <w:r>
        <w:rPr>
          <w:rFonts w:ascii="Arial" w:cs="Arial" w:eastAsia="Arial" w:hAnsi="Arial"/>
          <w:sz w:val="18"/>
          <w:szCs w:val="18"/>
          <w:color w:val="auto"/>
        </w:rPr>
        <w:t>We selected October 30, 2021, as the date upon which we would identify the “median employee.” As noted above, we are using the same median employee for the fiscal year 2022 pay ratio calculation.</w:t>
      </w:r>
    </w:p>
    <w:p>
      <w:pPr>
        <w:spacing w:after="0" w:line="4" w:lineRule="exact"/>
        <w:rPr>
          <w:rFonts w:ascii="Arial" w:cs="Arial" w:eastAsia="Arial" w:hAnsi="Arial"/>
          <w:sz w:val="18"/>
          <w:szCs w:val="18"/>
          <w:color w:val="0067B3"/>
        </w:rPr>
      </w:pPr>
    </w:p>
    <w:p>
      <w:pPr>
        <w:ind w:left="200" w:right="100" w:hanging="192"/>
        <w:spacing w:after="0" w:line="287" w:lineRule="auto"/>
        <w:tabs>
          <w:tab w:leader="none" w:pos="163" w:val="left"/>
        </w:tabs>
        <w:numPr>
          <w:ilvl w:val="0"/>
          <w:numId w:val="112"/>
        </w:numPr>
        <w:rPr>
          <w:rFonts w:ascii="Arial" w:cs="Arial" w:eastAsia="Arial" w:hAnsi="Arial"/>
          <w:sz w:val="18"/>
          <w:szCs w:val="18"/>
          <w:color w:val="0067B3"/>
        </w:rPr>
      </w:pPr>
      <w:r>
        <w:rPr>
          <w:rFonts w:ascii="Arial" w:cs="Arial" w:eastAsia="Arial" w:hAnsi="Arial"/>
          <w:sz w:val="18"/>
          <w:szCs w:val="18"/>
          <w:color w:val="auto"/>
        </w:rPr>
        <w:t>We used our global employee population as of this date, which includes operators located in our manufacturing facilities around the world, including the Philippines.</w:t>
      </w:r>
    </w:p>
    <w:p>
      <w:pPr>
        <w:spacing w:after="0" w:line="4" w:lineRule="exact"/>
        <w:rPr>
          <w:rFonts w:ascii="Arial" w:cs="Arial" w:eastAsia="Arial" w:hAnsi="Arial"/>
          <w:sz w:val="18"/>
          <w:szCs w:val="18"/>
          <w:color w:val="0067B3"/>
        </w:rPr>
      </w:pPr>
    </w:p>
    <w:p>
      <w:pPr>
        <w:ind w:left="200" w:right="320" w:hanging="192"/>
        <w:spacing w:after="0" w:line="261" w:lineRule="auto"/>
        <w:tabs>
          <w:tab w:leader="none" w:pos="163" w:val="left"/>
        </w:tabs>
        <w:numPr>
          <w:ilvl w:val="0"/>
          <w:numId w:val="112"/>
        </w:numPr>
        <w:rPr>
          <w:rFonts w:ascii="Arial" w:cs="Arial" w:eastAsia="Arial" w:hAnsi="Arial"/>
          <w:sz w:val="18"/>
          <w:szCs w:val="18"/>
          <w:color w:val="0067B3"/>
        </w:rPr>
      </w:pPr>
      <w:r>
        <w:rPr>
          <w:rFonts w:ascii="Arial" w:cs="Arial" w:eastAsia="Arial" w:hAnsi="Arial"/>
          <w:sz w:val="18"/>
          <w:szCs w:val="18"/>
          <w:color w:val="auto"/>
        </w:rPr>
        <w:t>To identify the median employee, we used annual base salary and target bonus (or sales incentive) at a target of 1.0x of annual base salary. Base salaries were annualized for all permanent employees who were employees for less than the full fiscal year and not on an unpaid leave of absence as of the identification date.</w:t>
      </w:r>
    </w:p>
    <w:p>
      <w:pPr>
        <w:spacing w:after="0" w:line="26" w:lineRule="exact"/>
        <w:rPr>
          <w:rFonts w:ascii="Arial" w:cs="Arial" w:eastAsia="Arial" w:hAnsi="Arial"/>
          <w:sz w:val="18"/>
          <w:szCs w:val="18"/>
          <w:color w:val="0067B3"/>
        </w:rPr>
      </w:pPr>
    </w:p>
    <w:p>
      <w:pPr>
        <w:ind w:left="200" w:right="660" w:hanging="192"/>
        <w:spacing w:after="0" w:line="287" w:lineRule="auto"/>
        <w:tabs>
          <w:tab w:leader="none" w:pos="163" w:val="left"/>
        </w:tabs>
        <w:numPr>
          <w:ilvl w:val="0"/>
          <w:numId w:val="112"/>
        </w:numPr>
        <w:rPr>
          <w:rFonts w:ascii="Arial" w:cs="Arial" w:eastAsia="Arial" w:hAnsi="Arial"/>
          <w:sz w:val="18"/>
          <w:szCs w:val="18"/>
          <w:color w:val="0067B3"/>
        </w:rPr>
      </w:pPr>
      <w:r>
        <w:rPr>
          <w:rFonts w:ascii="Arial" w:cs="Arial" w:eastAsia="Arial" w:hAnsi="Arial"/>
          <w:sz w:val="18"/>
          <w:szCs w:val="18"/>
          <w:color w:val="auto"/>
        </w:rPr>
        <w:t>We identified and calculated the elements of the median employee’s total compensation for fiscal year 2022 in accordance with the requirements of Item 402(c)(2)(x) of Regulation S-K.</w:t>
      </w:r>
    </w:p>
    <w:p>
      <w:pPr>
        <w:spacing w:after="0" w:line="4" w:lineRule="exact"/>
        <w:rPr>
          <w:rFonts w:ascii="Arial" w:cs="Arial" w:eastAsia="Arial" w:hAnsi="Arial"/>
          <w:sz w:val="18"/>
          <w:szCs w:val="18"/>
          <w:color w:val="0067B3"/>
        </w:rPr>
      </w:pPr>
    </w:p>
    <w:p>
      <w:pPr>
        <w:ind w:left="200" w:right="420" w:hanging="192"/>
        <w:spacing w:after="0" w:line="287" w:lineRule="auto"/>
        <w:tabs>
          <w:tab w:leader="none" w:pos="163" w:val="left"/>
        </w:tabs>
        <w:numPr>
          <w:ilvl w:val="0"/>
          <w:numId w:val="112"/>
        </w:numPr>
        <w:rPr>
          <w:rFonts w:ascii="Arial" w:cs="Arial" w:eastAsia="Arial" w:hAnsi="Arial"/>
          <w:sz w:val="18"/>
          <w:szCs w:val="18"/>
          <w:color w:val="0067B3"/>
        </w:rPr>
      </w:pPr>
      <w:r>
        <w:rPr>
          <w:rFonts w:ascii="Arial" w:cs="Arial" w:eastAsia="Arial" w:hAnsi="Arial"/>
          <w:sz w:val="18"/>
          <w:szCs w:val="18"/>
          <w:color w:val="auto"/>
        </w:rPr>
        <w:t>We applied the exchange rate that we utilize in our accounting system, as of our fiscal year end (October 29, 2022), to convert foreign currency to U.S. dollars.</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fiscal year 2022, the annual total compensation of the same median employee was $40,596. The annual total compensation of our CEO for fiscal year 2022 was $22,098,295, which is the annual total compensation of our CEO reported in the “Total” column of the Summary Compensation Table. Based on this information, the ratio of the annual total compensation of our CEO to the median of the annual total compensation of all other employees was approximately 544 to 1.</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480" w:hanging="454"/>
        <w:spacing w:after="0"/>
        <w:tabs>
          <w:tab w:leader="none" w:pos="480" w:val="left"/>
        </w:tabs>
        <w:numPr>
          <w:ilvl w:val="0"/>
          <w:numId w:val="113"/>
        </w:numPr>
        <w:rPr>
          <w:rFonts w:ascii="Arial" w:cs="Arial" w:eastAsia="Arial" w:hAnsi="Arial"/>
          <w:sz w:val="20"/>
          <w:szCs w:val="20"/>
          <w:b w:val="1"/>
          <w:bCs w:val="1"/>
          <w:color w:val="auto"/>
        </w:rPr>
      </w:pPr>
      <w:r>
        <w:rPr>
          <w:rFonts w:ascii="Arial" w:cs="Arial" w:eastAsia="Arial" w:hAnsi="Arial"/>
          <w:sz w:val="16"/>
          <w:szCs w:val="16"/>
          <w:color w:val="6D6E71"/>
        </w:rPr>
        <w:t>Executive Compensation</w:t>
      </w:r>
    </w:p>
    <w:p>
      <w:pPr>
        <w:sectPr>
          <w:pgSz w:w="11900" w:h="16838" w:orient="portrait"/>
          <w:cols w:equalWidth="0" w:num="1">
            <w:col w:w="11220"/>
          </w:cols>
          <w:pgMar w:left="320" w:top="1178"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58"/>
          <w:szCs w:val="58"/>
          <w:color w:val="auto"/>
        </w:rPr>
        <w:t>“Say-on-Frequency”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6973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3</w:t>
      </w:r>
    </w:p>
    <w:p>
      <w:pPr>
        <w:spacing w:after="0" w:line="106" w:lineRule="exact"/>
        <w:rPr>
          <w:sz w:val="20"/>
          <w:szCs w:val="20"/>
          <w:color w:val="auto"/>
        </w:rPr>
      </w:pPr>
    </w:p>
    <w:p>
      <w:pPr>
        <w:ind w:left="220" w:right="400"/>
        <w:spacing w:after="0" w:line="281" w:lineRule="auto"/>
        <w:rPr>
          <w:sz w:val="20"/>
          <w:szCs w:val="20"/>
          <w:color w:val="auto"/>
        </w:rPr>
      </w:pPr>
      <w:r>
        <w:rPr>
          <w:rFonts w:ascii="Arial" w:cs="Arial" w:eastAsia="Arial" w:hAnsi="Arial"/>
          <w:sz w:val="32"/>
          <w:szCs w:val="32"/>
          <w:b w:val="1"/>
          <w:bCs w:val="1"/>
          <w:color w:val="auto"/>
        </w:rPr>
        <w:t>Non-binding “Say-on-Frequency” Vote Regarding the Frequency of Future Advisory Votes on the Compensation of our Named Executive Officers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0067B3"/>
        </w:rPr>
        <w:t xml:space="preserve">The Board of Directors recommends a vote for </w:t>
      </w:r>
      <w:r>
        <w:rPr>
          <w:rFonts w:ascii="Arial" w:cs="Arial" w:eastAsia="Arial" w:hAnsi="Arial"/>
          <w:sz w:val="27"/>
          <w:szCs w:val="27"/>
          <w:color w:val="0067B3"/>
        </w:rPr>
        <w:t>every</w:t>
      </w:r>
      <w:r>
        <w:rPr>
          <w:rFonts w:ascii="Arial" w:cs="Arial" w:eastAsia="Arial" w:hAnsi="Arial"/>
          <w:sz w:val="27"/>
          <w:szCs w:val="27"/>
          <w:b w:val="1"/>
          <w:bCs w:val="1"/>
          <w:color w:val="0067B3"/>
        </w:rPr>
        <w:t xml:space="preserve"> 1 YEAR for this proposal.</w:t>
      </w:r>
    </w:p>
    <w:p>
      <w:pPr>
        <w:spacing w:after="0" w:line="200" w:lineRule="exact"/>
        <w:rPr>
          <w:sz w:val="20"/>
          <w:szCs w:val="20"/>
          <w:color w:val="auto"/>
        </w:rPr>
      </w:pPr>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required to submit a non-binding, advisory vote to shareholders at least once every six years to determine whether future advisory votes on the compensation paid to our NEOs should be held every year, every two years or every three years. At the 2017 annual meeting of shareholders, our shareholders approved, on an advisory basis, an annual advisory vote on the compensation of our NEOs. In accordance with the results of that vote, our Board of Directors determined to implement an advisory vote on the compensation of our NEOs every year. We are once again asking shareholders to advise us as to how frequently they wish to cast an advisory vote on the compensation of our NEOs.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and Talent Committee has recommended to our Board of Directors that we should conduct future advisory votes on the compensation of our NEOs every year, and after careful consideration, our Board of Directors believes that an annual advisory vote on the compensation of our NEOs should be held every year. Our Board of Directors believes that an annual advisory vote on the compensation of our NEOs will facilitate more direct shareholder input about executive compensation. An annual advisory vote is consistent with the policy of reviewing our executive compensation program annually. In arriving at our recommendation on the frequency vote, we reviewed the results of our previous shareholder voting in 2017, when an annual vote was approved by a majority of the shareholders.</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Regardless, our Board of Directors values the opinions expressed by shareholders and will take into account the outcome of this advisory vote when considering the frequency of future advisory votes on the compensation of our NEOs.</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Our Board of Directors recommend that you vote in favor of future advisory votes on the compensation of our NEOs to be held every 1 YEAR.</w:t>
      </w:r>
    </w:p>
    <w:p>
      <w:pPr>
        <w:spacing w:after="0" w:line="310"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79</w:t>
      </w:r>
    </w:p>
    <w:p>
      <w:pPr>
        <w:sectPr>
          <w:pgSz w:w="11900" w:h="16838" w:orient="portrait"/>
          <w:cols w:equalWidth="0" w:num="1">
            <w:col w:w="11240"/>
          </w:cols>
          <w:pgMar w:left="320" w:top="1126" w:right="339" w:bottom="1440" w:gutter="0" w:footer="0" w:header="0"/>
        </w:sectPr>
      </w:pPr>
    </w:p>
    <w:bookmarkStart w:id="89" w:name="page90"/>
    <w:bookmarkEnd w:id="89"/>
    <w:p>
      <w:pPr>
        <w:spacing w:after="0"/>
        <w:rPr>
          <w:sz w:val="20"/>
          <w:szCs w:val="20"/>
          <w:color w:val="auto"/>
        </w:rPr>
      </w:pPr>
      <w:r>
        <w:rPr>
          <w:rFonts w:ascii="Arial" w:cs="Arial" w:eastAsia="Arial" w:hAnsi="Arial"/>
          <w:sz w:val="58"/>
          <w:szCs w:val="58"/>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7603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67B3"/>
        </w:rPr>
        <w:t>PROPOSAL 4</w:t>
      </w:r>
    </w:p>
    <w:p>
      <w:pPr>
        <w:spacing w:after="0" w:line="106" w:lineRule="exact"/>
        <w:rPr>
          <w:sz w:val="20"/>
          <w:szCs w:val="20"/>
          <w:color w:val="auto"/>
        </w:rPr>
      </w:pPr>
    </w:p>
    <w:p>
      <w:pPr>
        <w:jc w:val="both"/>
        <w:ind w:left="220" w:right="860"/>
        <w:spacing w:after="0" w:line="281" w:lineRule="auto"/>
        <w:rPr>
          <w:sz w:val="20"/>
          <w:szCs w:val="20"/>
          <w:color w:val="auto"/>
        </w:rPr>
      </w:pPr>
      <w:r>
        <w:rPr>
          <w:rFonts w:ascii="Arial" w:cs="Arial" w:eastAsia="Arial" w:hAnsi="Arial"/>
          <w:sz w:val="32"/>
          <w:szCs w:val="32"/>
          <w:b w:val="1"/>
          <w:bCs w:val="1"/>
          <w:color w:val="auto"/>
        </w:rPr>
        <w:t>Ratification of the Selection of Ernst &amp; Young LLP as Independent Registered Public Accounting Firm for the Company’s Fiscal Year Ending October 28, 2023</w:t>
      </w:r>
    </w:p>
    <w:p>
      <w:pPr>
        <w:spacing w:after="0" w:line="217" w:lineRule="exact"/>
        <w:rPr>
          <w:sz w:val="20"/>
          <w:szCs w:val="20"/>
          <w:color w:val="auto"/>
        </w:rPr>
      </w:pPr>
    </w:p>
    <w:p>
      <w:pPr>
        <w:ind w:left="220" w:right="240"/>
        <w:spacing w:after="0" w:line="262"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ADI’s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1" w:lineRule="exact"/>
        <w:rPr>
          <w:sz w:val="20"/>
          <w:szCs w:val="20"/>
          <w:color w:val="auto"/>
        </w:rPr>
      </w:pPr>
    </w:p>
    <w:p>
      <w:pPr>
        <w:ind w:left="220" w:right="240"/>
        <w:spacing w:after="0" w:line="274" w:lineRule="auto"/>
        <w:rPr>
          <w:sz w:val="20"/>
          <w:szCs w:val="20"/>
          <w:color w:val="auto"/>
        </w:rPr>
      </w:pPr>
      <w:r>
        <w:rPr>
          <w:rFonts w:ascii="Arial" w:cs="Arial" w:eastAsia="Arial" w:hAnsi="Arial"/>
          <w:sz w:val="27"/>
          <w:szCs w:val="27"/>
          <w:b w:val="1"/>
          <w:bCs w:val="1"/>
          <w:color w:val="0067B3"/>
        </w:rPr>
        <w:t>Our Board of Directors unanimously recommends that you vote FOR the ratification of the selection of Ernst &amp; Young LLP as our independent registered public accounting firm for fiscal year 2023.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Overview</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fiscal year ending October 28, 2023 (or fiscal year 2023).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 are directly involved in the selection of Ernst &amp; Young LLP’s lead engagement partner. The Audit Committee also has the sole authority to approve all engagement fees paid to our independent registered public accounting firm.</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and our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year 2023.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Ernst &amp; Young LLP are expected to attend the Annual Meeting. They will have the opportunity to make a statement if they desire to do so and will also be available to respond to appropriate questions from shareholders.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80</w:t>
      </w:r>
    </w:p>
    <w:p>
      <w:pPr>
        <w:ind w:left="480"/>
        <w:spacing w:after="0"/>
        <w:rPr>
          <w:sz w:val="20"/>
          <w:szCs w:val="20"/>
          <w:color w:val="auto"/>
        </w:rPr>
      </w:pPr>
      <w:r>
        <w:rPr>
          <w:rFonts w:ascii="Arial" w:cs="Arial" w:eastAsia="Arial" w:hAnsi="Arial"/>
          <w:sz w:val="16"/>
          <w:szCs w:val="16"/>
          <w:color w:val="6D6E71"/>
        </w:rPr>
        <w:t>Audit Matters</w:t>
      </w:r>
    </w:p>
    <w:p>
      <w:pPr>
        <w:sectPr>
          <w:pgSz w:w="11900" w:h="16838" w:orient="portrait"/>
          <w:cols w:equalWidth="0" w:num="1">
            <w:col w:w="11220"/>
          </w:cols>
          <w:pgMar w:left="320" w:top="1126" w:right="359" w:bottom="1440" w:gutter="0" w:footer="0" w:header="0"/>
        </w:sectPr>
      </w:pPr>
    </w:p>
    <w:bookmarkStart w:id="90" w:name="page91"/>
    <w:bookmarkEnd w:id="90"/>
    <w:p>
      <w:pPr>
        <w:spacing w:after="0"/>
        <w:rPr>
          <w:sz w:val="20"/>
          <w:szCs w:val="20"/>
          <w:color w:val="auto"/>
        </w:rPr>
      </w:pPr>
      <w:r>
        <w:rPr>
          <w:rFonts w:ascii="Arial" w:cs="Arial" w:eastAsia="Arial" w:hAnsi="Arial"/>
          <w:sz w:val="41"/>
          <w:szCs w:val="41"/>
          <w:b w:val="1"/>
          <w:bCs w:val="1"/>
          <w:color w:val="0067B3"/>
        </w:rPr>
        <w:t>Independent Registered Public Accounting Firm Fees</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year 2022 and the fiscal year ended October 30, 2021, or fiscal year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shd w:val="clear" w:color="auto" w:fill="0067B3"/>
          </w:tcPr>
          <w:p>
            <w:pPr>
              <w:spacing w:after="0"/>
              <w:rPr>
                <w:sz w:val="17"/>
                <w:szCs w:val="17"/>
                <w:color w:val="auto"/>
              </w:rPr>
            </w:pPr>
          </w:p>
        </w:tc>
        <w:tc>
          <w:tcPr>
            <w:tcW w:w="3740" w:type="dxa"/>
            <w:vAlign w:val="bottom"/>
            <w:shd w:val="clear" w:color="auto" w:fill="0067B3"/>
          </w:tcPr>
          <w:p>
            <w:pPr>
              <w:spacing w:after="0"/>
              <w:rPr>
                <w:sz w:val="17"/>
                <w:szCs w:val="17"/>
                <w:color w:val="auto"/>
              </w:rPr>
            </w:pPr>
          </w:p>
        </w:tc>
        <w:tc>
          <w:tcPr>
            <w:tcW w:w="1080" w:type="dxa"/>
            <w:vAlign w:val="bottom"/>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Fiscal Year</w:t>
            </w:r>
          </w:p>
        </w:tc>
        <w:tc>
          <w:tcPr>
            <w:tcW w:w="24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Fiscal Year</w:t>
            </w:r>
          </w:p>
        </w:tc>
      </w:tr>
      <w:tr>
        <w:trPr>
          <w:trHeight w:val="240"/>
        </w:trPr>
        <w:tc>
          <w:tcPr>
            <w:tcW w:w="520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w:t>
            </w:r>
          </w:p>
        </w:tc>
        <w:tc>
          <w:tcPr>
            <w:tcW w:w="3740" w:type="dxa"/>
            <w:vAlign w:val="bottom"/>
            <w:tcBorders>
              <w:bottom w:val="single" w:sz="8" w:color="auto"/>
            </w:tcBorders>
            <w:shd w:val="clear" w:color="auto" w:fill="0067B3"/>
          </w:tcPr>
          <w:p>
            <w:pPr>
              <w:spacing w:after="0"/>
              <w:rPr>
                <w:sz w:val="20"/>
                <w:szCs w:val="20"/>
                <w:color w:val="auto"/>
              </w:rPr>
            </w:pPr>
          </w:p>
        </w:tc>
        <w:tc>
          <w:tcPr>
            <w:tcW w:w="1080" w:type="dxa"/>
            <w:vAlign w:val="bottom"/>
            <w:tcBorders>
              <w:bottom w:val="single" w:sz="8" w:color="auto"/>
            </w:tcBorders>
            <w:shd w:val="clear" w:color="auto" w:fill="0067B3"/>
          </w:tcPr>
          <w:p>
            <w:pPr>
              <w:jc w:val="right"/>
              <w:ind w:right="33"/>
              <w:spacing w:after="0"/>
              <w:rPr>
                <w:sz w:val="20"/>
                <w:szCs w:val="20"/>
                <w:color w:val="auto"/>
              </w:rPr>
            </w:pPr>
            <w:r>
              <w:rPr>
                <w:rFonts w:ascii="Arial" w:cs="Arial" w:eastAsia="Arial" w:hAnsi="Arial"/>
                <w:sz w:val="16"/>
                <w:szCs w:val="16"/>
                <w:b w:val="1"/>
                <w:bCs w:val="1"/>
                <w:color w:val="FFFFFF"/>
              </w:rPr>
              <w:t>2022</w:t>
            </w:r>
          </w:p>
        </w:tc>
        <w:tc>
          <w:tcPr>
            <w:tcW w:w="240" w:type="dxa"/>
            <w:vAlign w:val="bottom"/>
            <w:tcBorders>
              <w:bottom w:val="single" w:sz="8" w:color="auto"/>
            </w:tcBorders>
            <w:shd w:val="clear" w:color="auto" w:fill="0067B3"/>
          </w:tcPr>
          <w:p>
            <w:pPr>
              <w:spacing w:after="0"/>
              <w:rPr>
                <w:sz w:val="20"/>
                <w:szCs w:val="20"/>
                <w:color w:val="auto"/>
              </w:rPr>
            </w:pPr>
          </w:p>
        </w:tc>
        <w:tc>
          <w:tcPr>
            <w:tcW w:w="9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2021</w:t>
            </w:r>
          </w:p>
        </w:tc>
      </w:tr>
      <w:tr>
        <w:trPr>
          <w:trHeight w:val="247"/>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Audit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7,213,000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7,934,000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104,000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Tax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rPr>
              <w:t>3,975,000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3,460,000</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135,000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3"/>
        </w:trPr>
        <w:tc>
          <w:tcPr>
            <w:tcW w:w="5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 Fees</w:t>
            </w:r>
          </w:p>
        </w:tc>
        <w:tc>
          <w:tcPr>
            <w:tcW w:w="37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2E6F4"/>
            </w:tcBorders>
            <w:shd w:val="clear" w:color="auto" w:fill="E2E6F4"/>
          </w:tcPr>
          <w:p>
            <w:pPr>
              <w:jc w:val="right"/>
              <w:ind w:right="93"/>
              <w:spacing w:after="0"/>
              <w:rPr>
                <w:sz w:val="20"/>
                <w:szCs w:val="20"/>
                <w:color w:val="auto"/>
              </w:rPr>
            </w:pPr>
            <w:r>
              <w:rPr>
                <w:rFonts w:ascii="Arial" w:cs="Arial" w:eastAsia="Arial" w:hAnsi="Arial"/>
                <w:sz w:val="18"/>
                <w:szCs w:val="18"/>
                <w:color w:val="auto"/>
                <w:w w:val="97"/>
              </w:rPr>
              <w:t>11,427,000</w:t>
            </w:r>
          </w:p>
        </w:tc>
        <w:tc>
          <w:tcPr>
            <w:tcW w:w="24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w w:val="97"/>
              </w:rPr>
              <w:t>11,716,000</w:t>
            </w:r>
          </w:p>
        </w:tc>
      </w:tr>
      <w:tr>
        <w:trPr>
          <w:trHeight w:val="20"/>
        </w:trPr>
        <w:tc>
          <w:tcPr>
            <w:tcW w:w="5200" w:type="dxa"/>
            <w:vAlign w:val="bottom"/>
            <w:shd w:val="clear" w:color="auto" w:fill="0067B3"/>
          </w:tcPr>
          <w:p>
            <w:pPr>
              <w:spacing w:after="0" w:line="20" w:lineRule="exact"/>
              <w:rPr>
                <w:sz w:val="1"/>
                <w:szCs w:val="1"/>
                <w:color w:val="auto"/>
              </w:rPr>
            </w:pPr>
          </w:p>
        </w:tc>
        <w:tc>
          <w:tcPr>
            <w:tcW w:w="3740" w:type="dxa"/>
            <w:vAlign w:val="bottom"/>
            <w:shd w:val="clear" w:color="auto" w:fill="0067B3"/>
          </w:tcPr>
          <w:p>
            <w:pPr>
              <w:spacing w:after="0" w:line="20" w:lineRule="exact"/>
              <w:rPr>
                <w:sz w:val="1"/>
                <w:szCs w:val="1"/>
                <w:color w:val="auto"/>
              </w:rPr>
            </w:pPr>
          </w:p>
        </w:tc>
        <w:tc>
          <w:tcPr>
            <w:tcW w:w="1080" w:type="dxa"/>
            <w:vAlign w:val="bottom"/>
            <w:shd w:val="clear" w:color="auto" w:fill="0067B3"/>
          </w:tcPr>
          <w:p>
            <w:pPr>
              <w:spacing w:after="0" w:line="20" w:lineRule="exact"/>
              <w:rPr>
                <w:sz w:val="1"/>
                <w:szCs w:val="1"/>
                <w:color w:val="auto"/>
              </w:rPr>
            </w:pPr>
          </w:p>
        </w:tc>
        <w:tc>
          <w:tcPr>
            <w:tcW w:w="240" w:type="dxa"/>
            <w:vAlign w:val="bottom"/>
            <w:shd w:val="clear" w:color="auto" w:fill="0067B3"/>
          </w:tcPr>
          <w:p>
            <w:pPr>
              <w:spacing w:after="0" w:line="20" w:lineRule="exact"/>
              <w:rPr>
                <w:sz w:val="1"/>
                <w:szCs w:val="1"/>
                <w:color w:val="auto"/>
              </w:rPr>
            </w:pPr>
          </w:p>
        </w:tc>
        <w:tc>
          <w:tcPr>
            <w:tcW w:w="980" w:type="dxa"/>
            <w:vAlign w:val="bottom"/>
            <w:shd w:val="clear" w:color="auto" w:fill="0067B3"/>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are fees related to professional services rendered in connection with the audit of our consolidated financial statements, the audit 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Audit-Related Fees</w:t>
      </w:r>
    </w:p>
    <w:p>
      <w:pPr>
        <w:spacing w:after="0" w:line="17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accounting matters not related to the annual audit, and attestation services that are not required by statute or regulation.</w:t>
      </w:r>
    </w:p>
    <w:p>
      <w:pPr>
        <w:spacing w:after="0" w:line="1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Tax Fees</w:t>
      </w:r>
    </w:p>
    <w:p>
      <w:pPr>
        <w:spacing w:after="0" w:line="1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These are fees for tax advice and services, including services relating to the integration of Maxim, assistance with preparation of certain income tax returns, tax advice and planning, and assistance with domestic and international tax audits. Included in this amount are fees of $225,000 in fiscal year 2022 and $171,000 in fiscal year 2021, for tax compliance services for our international affiliates and tax return preparation services for our expatriate employees on international assignments. Ernst &amp; Young LLP does not provide tax services to any person in a financial reporting oversight role at ADI.</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All Other Fees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These are fees for services other than the services reported above, and primarily relate to advisory services.</w:t>
      </w:r>
    </w:p>
    <w:p>
      <w:pPr>
        <w:spacing w:after="0" w:line="36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81</w:t>
      </w:r>
    </w:p>
    <w:p>
      <w:pPr>
        <w:sectPr>
          <w:pgSz w:w="11900" w:h="16838" w:orient="portrait"/>
          <w:cols w:equalWidth="0" w:num="1">
            <w:col w:w="11240"/>
          </w:cols>
          <w:pgMar w:left="320" w:top="1356" w:right="339" w:bottom="1440" w:gutter="0" w:footer="0" w:header="0"/>
        </w:sectPr>
      </w:pPr>
    </w:p>
    <w:bookmarkStart w:id="91" w:name="page92"/>
    <w:bookmarkEnd w:id="91"/>
    <w:p>
      <w:pPr>
        <w:spacing w:after="0"/>
        <w:rPr>
          <w:sz w:val="20"/>
          <w:szCs w:val="20"/>
          <w:color w:val="auto"/>
        </w:rPr>
      </w:pPr>
      <w:r>
        <w:rPr>
          <w:rFonts w:ascii="Arial" w:cs="Arial" w:eastAsia="Arial" w:hAnsi="Arial"/>
          <w:sz w:val="41"/>
          <w:szCs w:val="41"/>
          <w:b w:val="1"/>
          <w:bCs w:val="1"/>
          <w:color w:val="0067B3"/>
        </w:rPr>
        <w:t>Audit Committee’s Pre-Approval Policy and Procedures</w:t>
      </w:r>
    </w:p>
    <w:p>
      <w:pPr>
        <w:spacing w:after="0" w:line="15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w:t>
      </w:r>
    </w:p>
    <w:p>
      <w:pPr>
        <w:spacing w:after="0" w:line="235" w:lineRule="auto"/>
        <w:rPr>
          <w:sz w:val="20"/>
          <w:szCs w:val="20"/>
          <w:color w:val="auto"/>
        </w:rPr>
      </w:pPr>
      <w:r>
        <w:rPr>
          <w:rFonts w:ascii="Arial" w:cs="Arial" w:eastAsia="Arial" w:hAnsi="Arial"/>
          <w:sz w:val="18"/>
          <w:szCs w:val="18"/>
          <w:color w:val="auto"/>
        </w:rPr>
        <w:t>registered public accounting firm to render any audit or non-audit service unless either the service is approved in advance by the Audit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Committee or the engagement to render the service is entered into pursuant to the Audit Committee’s pre-approval policies and procedures. On an annual basis, the Audit Committee may pre-approve services that are expected to be provided to ADI by the independent registered</w:t>
      </w:r>
    </w:p>
    <w:p>
      <w:pPr>
        <w:spacing w:after="0" w:line="235" w:lineRule="auto"/>
        <w:rPr>
          <w:sz w:val="20"/>
          <w:szCs w:val="20"/>
          <w:color w:val="auto"/>
        </w:rPr>
      </w:pPr>
      <w:r>
        <w:rPr>
          <w:rFonts w:ascii="Arial" w:cs="Arial" w:eastAsia="Arial" w:hAnsi="Arial"/>
          <w:sz w:val="18"/>
          <w:szCs w:val="18"/>
          <w:color w:val="auto"/>
        </w:rPr>
        <w:t>public accounting firm during the following 12 months. At the time the pre-approval is granted, the Audit Committee must (1) identify the</w:t>
      </w:r>
    </w:p>
    <w:p>
      <w:pPr>
        <w:jc w:val="both"/>
        <w:spacing w:after="0"/>
        <w:rPr>
          <w:sz w:val="20"/>
          <w:szCs w:val="20"/>
          <w:color w:val="auto"/>
        </w:rPr>
      </w:pPr>
      <w:r>
        <w:rPr>
          <w:rFonts w:ascii="Arial" w:cs="Arial" w:eastAsia="Arial" w:hAnsi="Arial"/>
          <w:sz w:val="17"/>
          <w:szCs w:val="17"/>
          <w:color w:val="auto"/>
        </w:rPr>
        <w:t>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w:t>
      </w:r>
    </w:p>
    <w:p>
      <w:pPr>
        <w:spacing w:after="0" w:line="235" w:lineRule="auto"/>
        <w:rPr>
          <w:sz w:val="20"/>
          <w:szCs w:val="20"/>
          <w:color w:val="auto"/>
        </w:rPr>
      </w:pPr>
      <w:r>
        <w:rPr>
          <w:rFonts w:ascii="Arial" w:cs="Arial" w:eastAsia="Arial" w:hAnsi="Arial"/>
          <w:sz w:val="18"/>
          <w:szCs w:val="18"/>
          <w:color w:val="auto"/>
        </w:rPr>
        <w:t>which limit may not be exceeded without obtaining further pre-approval under the policy. At regularly scheduled meetings of the Audit</w:t>
      </w:r>
    </w:p>
    <w:p>
      <w:pPr>
        <w:ind w:right="300"/>
        <w:spacing w:after="0" w:line="237" w:lineRule="auto"/>
        <w:rPr>
          <w:sz w:val="20"/>
          <w:szCs w:val="20"/>
          <w:color w:val="auto"/>
        </w:rPr>
      </w:pPr>
      <w:r>
        <w:rPr>
          <w:rFonts w:ascii="Arial" w:cs="Arial" w:eastAsia="Arial" w:hAnsi="Arial"/>
          <w:sz w:val="18"/>
          <w:szCs w:val="18"/>
          <w:color w:val="auto"/>
        </w:rPr>
        <w:t>Committee, management or the independent registered public accounting firm must report to the Audit Committee regarding each service actually provided to ADI.</w:t>
      </w:r>
    </w:p>
    <w:p>
      <w:pPr>
        <w:spacing w:after="0" w:line="3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Audit Committee is empowered to pre-approve all audit services to be provided to ADI and all other services to be provided to ADI by our independent registered public accounting firm. The Audit Committee has delegated authority to the Chair of the Audit Committee to pre-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approve any audit or non-audit services to be provided to ADI by the independent registered public accounting firm for which the cost is less than $100,000. During fiscal year 2022 and fiscal year 2021, all services provided to ADI by Ernst &amp; Young LLP were pre-approved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pre-approval policies and procedures described above.</w:t>
      </w:r>
    </w:p>
    <w:p>
      <w:pPr>
        <w:spacing w:after="0" w:line="79"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Audit Committee Report</w:t>
      </w:r>
    </w:p>
    <w:p>
      <w:pPr>
        <w:spacing w:after="0" w:line="1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ADI’s systems of internal control over financial reporting and disclosure controls and procedures, (ii) the qualifications and independence of</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our independent registered public accounting firm, and (iii) the performance of our internal audit function and independent registered public accounting firm. The Audit Committee also met privately with our independent registered public accounting firm and our Director of Internal</w:t>
      </w:r>
    </w:p>
    <w:p>
      <w:pPr>
        <w:spacing w:after="0" w:line="236" w:lineRule="auto"/>
        <w:rPr>
          <w:sz w:val="20"/>
          <w:szCs w:val="20"/>
          <w:color w:val="auto"/>
        </w:rPr>
      </w:pPr>
      <w:r>
        <w:rPr>
          <w:rFonts w:ascii="Arial" w:cs="Arial" w:eastAsia="Arial" w:hAnsi="Arial"/>
          <w:sz w:val="18"/>
          <w:szCs w:val="18"/>
          <w:color w:val="auto"/>
        </w:rPr>
        <w:t>Audit to discuss our financial statements and disclosures, accounting policies and their application, internal control over financial reporting,</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and other matters of importance to the Audit Committee, the independent registered public accounting firm and the internal auditors. Management has the primary responsibility for the financial statements and the reporting process, including the system of internal control</w:t>
      </w:r>
    </w:p>
    <w:p>
      <w:pPr>
        <w:spacing w:after="0" w:line="235" w:lineRule="auto"/>
        <w:rPr>
          <w:sz w:val="20"/>
          <w:szCs w:val="20"/>
          <w:color w:val="auto"/>
        </w:rPr>
      </w:pPr>
      <w:r>
        <w:rPr>
          <w:rFonts w:ascii="Arial" w:cs="Arial" w:eastAsia="Arial" w:hAnsi="Arial"/>
          <w:sz w:val="18"/>
          <w:szCs w:val="18"/>
          <w:color w:val="auto"/>
        </w:rPr>
        <w:t>over financial reporting. In fulfilling its oversight responsibilities, the Audit Committee reviewed and discussed with management the audited</w:t>
      </w:r>
    </w:p>
    <w:p>
      <w:pPr>
        <w:ind w:right="220"/>
        <w:spacing w:after="0" w:line="226" w:lineRule="auto"/>
        <w:rPr>
          <w:sz w:val="20"/>
          <w:szCs w:val="20"/>
          <w:color w:val="auto"/>
        </w:rPr>
      </w:pPr>
      <w:r>
        <w:rPr>
          <w:rFonts w:ascii="Arial" w:cs="Arial" w:eastAsia="Arial" w:hAnsi="Arial"/>
          <w:sz w:val="18"/>
          <w:szCs w:val="18"/>
          <w:color w:val="auto"/>
        </w:rPr>
        <w:t>financial statements contained in our Annual Report on Form 10-K and the quarterly financial statements during fiscal year 2022, including the specific disclosures in the section titled ”Management’s Discussion and Analysis of Financial Condition and Results of Operations.”</w:t>
      </w:r>
    </w:p>
    <w:p>
      <w:pPr>
        <w:spacing w:after="0" w:line="236" w:lineRule="auto"/>
        <w:rPr>
          <w:sz w:val="20"/>
          <w:szCs w:val="20"/>
          <w:color w:val="auto"/>
        </w:rPr>
      </w:pPr>
      <w:r>
        <w:rPr>
          <w:rFonts w:ascii="Arial" w:cs="Arial" w:eastAsia="Arial" w:hAnsi="Arial"/>
          <w:sz w:val="18"/>
          <w:szCs w:val="18"/>
          <w:color w:val="auto"/>
        </w:rPr>
        <w:t>These discussions also addressed the quality, not just the acceptability, of the accounting principles, the reasonableness of significant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judgments, and the clarity of disclosures in the financial statements. The Audit Committee reported on these meetings to our Board of Directors. The Audit Committee also selected and appointed our independent registered public accounting firm, reviewed the performance of</w:t>
      </w:r>
    </w:p>
    <w:p>
      <w:pPr>
        <w:spacing w:after="0" w:line="236" w:lineRule="auto"/>
        <w:rPr>
          <w:sz w:val="20"/>
          <w:szCs w:val="20"/>
          <w:color w:val="auto"/>
        </w:rPr>
      </w:pPr>
      <w:r>
        <w:rPr>
          <w:rFonts w:ascii="Arial" w:cs="Arial" w:eastAsia="Arial" w:hAnsi="Arial"/>
          <w:sz w:val="18"/>
          <w:szCs w:val="18"/>
          <w:color w:val="auto"/>
        </w:rPr>
        <w:t>the independent registered public accounting firm during the annual audit and on assignments unrelated to the audit, assessed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independence of the independent registered public accounting firm and reviewed and approved the independent registered public accounting firm’s fees. The Audit Committee also has adopted policies and procedures for the pre-approval of audit and non-audit services for the</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purpose of maintaining the independence of our independent registered public accounting firm. The Audit Committee operates under a written charter adopted by our Board of Directors.</w:t>
      </w:r>
    </w:p>
    <w:p>
      <w:pPr>
        <w:spacing w:after="0" w:line="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w:t>
      </w:r>
    </w:p>
    <w:p>
      <w:pPr>
        <w:spacing w:after="0" w:line="235" w:lineRule="auto"/>
        <w:rPr>
          <w:sz w:val="20"/>
          <w:szCs w:val="20"/>
          <w:color w:val="auto"/>
        </w:rPr>
      </w:pPr>
      <w:r>
        <w:rPr>
          <w:rFonts w:ascii="Arial" w:cs="Arial" w:eastAsia="Arial" w:hAnsi="Arial"/>
          <w:sz w:val="18"/>
          <w:szCs w:val="18"/>
          <w:color w:val="auto"/>
        </w:rPr>
        <w:t>acceptability, of our accounting principles and such other matters as are required to be discussed with the Audit Committee under generally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accepted auditing standards. In addition, the Audit Committee has discussed with the independent registered public accounting firm (i) the matters required to be discussed by the applicable requirements of the Public Company Accounting Oversight Board (PCAOB) and the SEC</w:t>
      </w:r>
    </w:p>
    <w:p>
      <w:pPr>
        <w:spacing w:after="0" w:line="236" w:lineRule="auto"/>
        <w:rPr>
          <w:sz w:val="20"/>
          <w:szCs w:val="20"/>
          <w:color w:val="auto"/>
        </w:rPr>
      </w:pPr>
      <w:r>
        <w:rPr>
          <w:rFonts w:ascii="Arial" w:cs="Arial" w:eastAsia="Arial" w:hAnsi="Arial"/>
          <w:sz w:val="18"/>
          <w:szCs w:val="18"/>
          <w:color w:val="auto"/>
        </w:rPr>
        <w:t>and (ii) the independent registered public accounting firm’s independence from ADI and its management, including the matters in the written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disclosures and the letter we received from the independent registered public accounting firm required by applicable requirements of the PCAOB regarding the independent registered public accounting firm’s communications with the Audit Committee concerning independence.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Audit Committee considered the appropriateness of the provision of non-audit services by the independent registered public accounting firm relative to their independence.</w:t>
      </w:r>
    </w:p>
    <w:p>
      <w:pPr>
        <w:spacing w:after="0" w:line="23"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29, 2022. The Audit Committee also selected Ernst &amp; Young LLP as our independent registered public accounting firm for the fiscal year ending October 28,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Karen M. Golz, Chair</w:t>
      </w:r>
    </w:p>
    <w:p>
      <w:pPr>
        <w:spacing w:after="0" w:line="220" w:lineRule="auto"/>
        <w:rPr>
          <w:sz w:val="20"/>
          <w:szCs w:val="20"/>
          <w:color w:val="auto"/>
        </w:rPr>
      </w:pPr>
      <w:r>
        <w:rPr>
          <w:rFonts w:ascii="Arial" w:cs="Arial" w:eastAsia="Arial" w:hAnsi="Arial"/>
          <w:sz w:val="18"/>
          <w:szCs w:val="18"/>
          <w:color w:val="auto"/>
        </w:rPr>
        <w:t>Bruce R. Evans</w:t>
      </w:r>
      <w:r>
        <w:rPr>
          <w:rFonts w:ascii="Arial" w:cs="Arial" w:eastAsia="Arial" w:hAnsi="Arial"/>
          <w:sz w:val="23"/>
          <w:szCs w:val="23"/>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185"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Mr. Evans is not standing for re-election and his term on the Board of Directors will end at the Annual Meeting on March 8, 2023.</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82</w:t>
      </w:r>
    </w:p>
    <w:p>
      <w:pPr>
        <w:ind w:left="480"/>
        <w:spacing w:after="0"/>
        <w:rPr>
          <w:sz w:val="20"/>
          <w:szCs w:val="20"/>
          <w:color w:val="auto"/>
        </w:rPr>
      </w:pPr>
      <w:r>
        <w:rPr>
          <w:rFonts w:ascii="Arial" w:cs="Arial" w:eastAsia="Arial" w:hAnsi="Arial"/>
          <w:sz w:val="16"/>
          <w:szCs w:val="16"/>
          <w:color w:val="6D6E71"/>
        </w:rPr>
        <w:t>Audit Matters</w:t>
      </w:r>
    </w:p>
    <w:p>
      <w:pPr>
        <w:sectPr>
          <w:pgSz w:w="11900" w:h="16838" w:orient="portrait"/>
          <w:cols w:equalWidth="0" w:num="1">
            <w:col w:w="11220"/>
          </w:cols>
          <w:pgMar w:left="320" w:top="1140" w:right="359" w:bottom="1440" w:gutter="0" w:footer="0" w:header="0"/>
        </w:sectPr>
      </w:pPr>
    </w:p>
    <w:bookmarkStart w:id="92" w:name="page93"/>
    <w:bookmarkEnd w:id="92"/>
    <w:p>
      <w:pPr>
        <w:spacing w:after="0"/>
        <w:rPr>
          <w:sz w:val="20"/>
          <w:szCs w:val="20"/>
          <w:color w:val="auto"/>
        </w:rPr>
      </w:pPr>
      <w:r>
        <w:rPr>
          <w:rFonts w:ascii="Arial" w:cs="Arial" w:eastAsia="Arial" w:hAnsi="Arial"/>
          <w:sz w:val="58"/>
          <w:szCs w:val="58"/>
          <w:color w:val="auto"/>
        </w:rPr>
        <w:t>Beneficial Ownership of Common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Security Ownership of Certain Beneficial Owners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lists information about those holders known to ADI to be the beneficial owners of 5% or more of our outstanding shares of common stock as of January 11,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spacing w:after="0"/>
              <w:rPr>
                <w:sz w:val="17"/>
                <w:szCs w:val="17"/>
                <w:color w:val="auto"/>
              </w:rPr>
            </w:pP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189"/>
        </w:trPr>
        <w:tc>
          <w:tcPr>
            <w:tcW w:w="7940" w:type="dxa"/>
            <w:vAlign w:val="bottom"/>
            <w:shd w:val="clear" w:color="auto" w:fill="0067B3"/>
          </w:tcPr>
          <w:p>
            <w:pPr>
              <w:spacing w:after="0"/>
              <w:rPr>
                <w:sz w:val="16"/>
                <w:szCs w:val="16"/>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Shares</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r>
      <w:tr>
        <w:trPr>
          <w:trHeight w:val="203"/>
        </w:trPr>
        <w:tc>
          <w:tcPr>
            <w:tcW w:w="7940" w:type="dxa"/>
            <w:vAlign w:val="bottom"/>
            <w:shd w:val="clear" w:color="auto" w:fill="0067B3"/>
          </w:tcPr>
          <w:p>
            <w:pPr>
              <w:spacing w:after="0"/>
              <w:rPr>
                <w:sz w:val="17"/>
                <w:szCs w:val="17"/>
                <w:color w:val="auto"/>
              </w:rPr>
            </w:pPr>
          </w:p>
        </w:tc>
        <w:tc>
          <w:tcPr>
            <w:tcW w:w="1820" w:type="dxa"/>
            <w:vAlign w:val="bottom"/>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Beneficially</w:t>
            </w:r>
          </w:p>
        </w:tc>
        <w:tc>
          <w:tcPr>
            <w:tcW w:w="14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r>
      <w:tr>
        <w:trPr>
          <w:trHeight w:val="244"/>
        </w:trPr>
        <w:tc>
          <w:tcPr>
            <w:tcW w:w="794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1820" w:type="dxa"/>
            <w:vAlign w:val="bottom"/>
            <w:tcBorders>
              <w:bottom w:val="single" w:sz="8" w:color="auto"/>
            </w:tcBorders>
            <w:shd w:val="clear" w:color="auto" w:fill="0067B3"/>
          </w:tcPr>
          <w:p>
            <w:pPr>
              <w:jc w:val="right"/>
              <w:ind w:right="175"/>
              <w:spacing w:after="0"/>
              <w:rPr>
                <w:sz w:val="20"/>
                <w:szCs w:val="20"/>
                <w:color w:val="auto"/>
              </w:rPr>
            </w:pPr>
            <w:r>
              <w:rPr>
                <w:rFonts w:ascii="Arial" w:cs="Arial" w:eastAsia="Arial" w:hAnsi="Arial"/>
                <w:sz w:val="16"/>
                <w:szCs w:val="16"/>
                <w:b w:val="1"/>
                <w:bCs w:val="1"/>
                <w:color w:val="FFFFFF"/>
              </w:rPr>
              <w:t>Owned</w:t>
            </w:r>
          </w:p>
        </w:tc>
        <w:tc>
          <w:tcPr>
            <w:tcW w:w="14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(1)</w:t>
            </w:r>
          </w:p>
        </w:tc>
      </w:tr>
      <w:tr>
        <w:trPr>
          <w:trHeight w:val="243"/>
        </w:trPr>
        <w:tc>
          <w:tcPr>
            <w:tcW w:w="794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5% Shareholders:</w:t>
            </w:r>
          </w:p>
        </w:tc>
        <w:tc>
          <w:tcPr>
            <w:tcW w:w="1820" w:type="dxa"/>
            <w:vAlign w:val="bottom"/>
            <w:tcBorders>
              <w:bottom w:val="single" w:sz="8" w:color="E2E6F4"/>
            </w:tcBorders>
            <w:shd w:val="clear" w:color="auto" w:fill="E2E6F4"/>
          </w:tcPr>
          <w:p>
            <w:pPr>
              <w:spacing w:after="0"/>
              <w:rPr>
                <w:sz w:val="21"/>
                <w:szCs w:val="21"/>
                <w:color w:val="auto"/>
              </w:rPr>
            </w:pPr>
          </w:p>
        </w:tc>
        <w:tc>
          <w:tcPr>
            <w:tcW w:w="1480" w:type="dxa"/>
            <w:vAlign w:val="bottom"/>
            <w:tcBorders>
              <w:bottom w:val="single" w:sz="8" w:color="E2E6F4"/>
            </w:tcBorders>
            <w:shd w:val="clear" w:color="auto" w:fill="E2E6F4"/>
          </w:tcPr>
          <w:p>
            <w:pPr>
              <w:spacing w:after="0"/>
              <w:rPr>
                <w:sz w:val="21"/>
                <w:szCs w:val="21"/>
                <w:color w:val="auto"/>
              </w:rPr>
            </w:pPr>
          </w:p>
        </w:tc>
      </w:tr>
      <w:tr>
        <w:trPr>
          <w:trHeight w:val="278"/>
        </w:trPr>
        <w:tc>
          <w:tcPr>
            <w:tcW w:w="7940" w:type="dxa"/>
            <w:vAlign w:val="bottom"/>
          </w:tcPr>
          <w:p>
            <w:pPr>
              <w:ind w:left="220"/>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(2)</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9"/>
        </w:trPr>
        <w:tc>
          <w:tcPr>
            <w:tcW w:w="794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940" w:type="dxa"/>
            <w:vAlign w:val="bottom"/>
          </w:tcPr>
          <w:p>
            <w:pPr>
              <w:ind w:left="220"/>
              <w:spacing w:after="0"/>
              <w:rPr>
                <w:sz w:val="20"/>
                <w:szCs w:val="20"/>
                <w:color w:val="auto"/>
              </w:rPr>
            </w:pPr>
            <w:r>
              <w:rPr>
                <w:rFonts w:ascii="Arial" w:cs="Arial" w:eastAsia="Arial" w:hAnsi="Arial"/>
                <w:sz w:val="18"/>
                <w:szCs w:val="18"/>
                <w:color w:val="auto"/>
              </w:rPr>
              <w:t>Malvern, Pennsylvania 19355</w:t>
            </w:r>
          </w:p>
        </w:tc>
        <w:tc>
          <w:tcPr>
            <w:tcW w:w="1820" w:type="dxa"/>
            <w:vAlign w:val="bottom"/>
          </w:tcPr>
          <w:p>
            <w:pPr>
              <w:jc w:val="right"/>
              <w:ind w:right="235"/>
              <w:spacing w:after="0"/>
              <w:rPr>
                <w:sz w:val="20"/>
                <w:szCs w:val="20"/>
                <w:color w:val="auto"/>
              </w:rPr>
            </w:pPr>
            <w:r>
              <w:rPr>
                <w:rFonts w:ascii="Arial" w:cs="Arial" w:eastAsia="Arial" w:hAnsi="Arial"/>
                <w:sz w:val="18"/>
                <w:szCs w:val="18"/>
                <w:color w:val="auto"/>
              </w:rPr>
              <w:t>46,027,491</w:t>
            </w:r>
          </w:p>
        </w:tc>
        <w:tc>
          <w:tcPr>
            <w:tcW w:w="148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3"/>
        </w:trPr>
        <w:tc>
          <w:tcPr>
            <w:tcW w:w="7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40" w:type="dxa"/>
            <w:vAlign w:val="bottom"/>
            <w:shd w:val="clear" w:color="auto" w:fill="E2E6F4"/>
          </w:tcPr>
          <w:p>
            <w:pPr>
              <w:ind w:left="24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(3)</w:t>
            </w:r>
          </w:p>
        </w:tc>
        <w:tc>
          <w:tcPr>
            <w:tcW w:w="1820" w:type="dxa"/>
            <w:vAlign w:val="bottom"/>
            <w:shd w:val="clear" w:color="auto" w:fill="E2E6F4"/>
          </w:tcPr>
          <w:p>
            <w:pPr>
              <w:spacing w:after="0"/>
              <w:rPr>
                <w:sz w:val="23"/>
                <w:szCs w:val="23"/>
                <w:color w:val="auto"/>
              </w:rPr>
            </w:pPr>
          </w:p>
        </w:tc>
        <w:tc>
          <w:tcPr>
            <w:tcW w:w="1480" w:type="dxa"/>
            <w:vAlign w:val="bottom"/>
            <w:shd w:val="clear" w:color="auto" w:fill="E2E6F4"/>
          </w:tcPr>
          <w:p>
            <w:pPr>
              <w:spacing w:after="0"/>
              <w:rPr>
                <w:sz w:val="23"/>
                <w:szCs w:val="23"/>
                <w:color w:val="auto"/>
              </w:rPr>
            </w:pPr>
          </w:p>
        </w:tc>
      </w:tr>
      <w:tr>
        <w:trPr>
          <w:trHeight w:val="247"/>
        </w:trPr>
        <w:tc>
          <w:tcPr>
            <w:tcW w:w="7940" w:type="dxa"/>
            <w:vAlign w:val="bottom"/>
            <w:shd w:val="clear" w:color="auto" w:fill="E2E6F4"/>
          </w:tcPr>
          <w:p>
            <w:pPr>
              <w:ind w:left="220"/>
              <w:spacing w:after="0"/>
              <w:rPr>
                <w:sz w:val="20"/>
                <w:szCs w:val="20"/>
                <w:color w:val="auto"/>
              </w:rPr>
            </w:pPr>
            <w:r>
              <w:rPr>
                <w:rFonts w:ascii="Arial" w:cs="Arial" w:eastAsia="Arial" w:hAnsi="Arial"/>
                <w:sz w:val="18"/>
                <w:szCs w:val="18"/>
                <w:color w:val="auto"/>
              </w:rPr>
              <w:t>55 East 52nd Street</w:t>
            </w:r>
          </w:p>
        </w:tc>
        <w:tc>
          <w:tcPr>
            <w:tcW w:w="1820" w:type="dxa"/>
            <w:vAlign w:val="bottom"/>
            <w:shd w:val="clear" w:color="auto" w:fill="E2E6F4"/>
          </w:tcPr>
          <w:p>
            <w:pPr>
              <w:spacing w:after="0"/>
              <w:rPr>
                <w:sz w:val="21"/>
                <w:szCs w:val="21"/>
                <w:color w:val="auto"/>
              </w:rPr>
            </w:pPr>
          </w:p>
        </w:tc>
        <w:tc>
          <w:tcPr>
            <w:tcW w:w="1480" w:type="dxa"/>
            <w:vAlign w:val="bottom"/>
            <w:shd w:val="clear" w:color="auto" w:fill="E2E6F4"/>
          </w:tcPr>
          <w:p>
            <w:pPr>
              <w:spacing w:after="0"/>
              <w:rPr>
                <w:sz w:val="21"/>
                <w:szCs w:val="21"/>
                <w:color w:val="auto"/>
              </w:rPr>
            </w:pPr>
          </w:p>
        </w:tc>
      </w:tr>
      <w:tr>
        <w:trPr>
          <w:trHeight w:val="273"/>
        </w:trPr>
        <w:tc>
          <w:tcPr>
            <w:tcW w:w="7940" w:type="dxa"/>
            <w:vAlign w:val="bottom"/>
            <w:tcBorders>
              <w:bottom w:val="single" w:sz="8" w:color="E2E6F4"/>
            </w:tcBorders>
            <w:shd w:val="clear" w:color="auto" w:fill="E2E6F4"/>
          </w:tcPr>
          <w:p>
            <w:pPr>
              <w:ind w:left="220"/>
              <w:spacing w:after="0"/>
              <w:rPr>
                <w:sz w:val="20"/>
                <w:szCs w:val="20"/>
                <w:color w:val="auto"/>
              </w:rPr>
            </w:pPr>
            <w:r>
              <w:rPr>
                <w:rFonts w:ascii="Arial" w:cs="Arial" w:eastAsia="Arial" w:hAnsi="Arial"/>
                <w:sz w:val="18"/>
                <w:szCs w:val="18"/>
                <w:color w:val="auto"/>
              </w:rPr>
              <w:t>New York, New York 10055</w:t>
            </w:r>
          </w:p>
        </w:tc>
        <w:tc>
          <w:tcPr>
            <w:tcW w:w="1820" w:type="dxa"/>
            <w:vAlign w:val="bottom"/>
            <w:tcBorders>
              <w:bottom w:val="single" w:sz="8" w:color="E2E6F4"/>
            </w:tcBorders>
            <w:shd w:val="clear" w:color="auto" w:fill="E2E6F4"/>
          </w:tcPr>
          <w:p>
            <w:pPr>
              <w:jc w:val="right"/>
              <w:ind w:right="235"/>
              <w:spacing w:after="0"/>
              <w:rPr>
                <w:sz w:val="20"/>
                <w:szCs w:val="20"/>
                <w:color w:val="auto"/>
              </w:rPr>
            </w:pPr>
            <w:r>
              <w:rPr>
                <w:rFonts w:ascii="Arial" w:cs="Arial" w:eastAsia="Arial" w:hAnsi="Arial"/>
                <w:sz w:val="18"/>
                <w:szCs w:val="18"/>
                <w:color w:val="auto"/>
              </w:rPr>
              <w:t>43,050,848</w:t>
            </w:r>
          </w:p>
        </w:tc>
        <w:tc>
          <w:tcPr>
            <w:tcW w:w="14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7940" w:type="dxa"/>
            <w:vAlign w:val="bottom"/>
            <w:shd w:val="clear" w:color="auto" w:fill="0067B3"/>
          </w:tcPr>
          <w:p>
            <w:pPr>
              <w:spacing w:after="0" w:line="20" w:lineRule="exact"/>
              <w:rPr>
                <w:sz w:val="1"/>
                <w:szCs w:val="1"/>
                <w:color w:val="auto"/>
              </w:rPr>
            </w:pPr>
          </w:p>
        </w:tc>
        <w:tc>
          <w:tcPr>
            <w:tcW w:w="1820" w:type="dxa"/>
            <w:vAlign w:val="bottom"/>
            <w:shd w:val="clear" w:color="auto" w:fill="0067B3"/>
          </w:tcPr>
          <w:p>
            <w:pPr>
              <w:spacing w:after="0" w:line="20" w:lineRule="exact"/>
              <w:rPr>
                <w:sz w:val="1"/>
                <w:szCs w:val="1"/>
                <w:color w:val="auto"/>
              </w:rPr>
            </w:pPr>
          </w:p>
        </w:tc>
        <w:tc>
          <w:tcPr>
            <w:tcW w:w="1480" w:type="dxa"/>
            <w:vAlign w:val="bottom"/>
            <w:shd w:val="clear" w:color="auto" w:fill="0067B3"/>
          </w:tcPr>
          <w:p>
            <w:pPr>
              <w:spacing w:after="0" w:line="20" w:lineRule="exact"/>
              <w:rPr>
                <w:sz w:val="1"/>
                <w:szCs w:val="1"/>
                <w:color w:val="auto"/>
              </w:rPr>
            </w:pPr>
          </w:p>
        </w:tc>
      </w:tr>
    </w:tbl>
    <w:p>
      <w:pPr>
        <w:spacing w:after="0" w:line="175" w:lineRule="exact"/>
        <w:rPr>
          <w:sz w:val="20"/>
          <w:szCs w:val="20"/>
          <w:color w:val="auto"/>
        </w:rPr>
      </w:pPr>
    </w:p>
    <w:p>
      <w:pPr>
        <w:ind w:left="200" w:right="560" w:hanging="192"/>
        <w:spacing w:after="0" w:line="235" w:lineRule="auto"/>
        <w:tabs>
          <w:tab w:leader="none" w:pos="215"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11, 2023 is calculated by dividing (1) the total number of shares beneficially owned by the shareholder by (2) the number of shares of our common stock outstanding on January 11, 2023 (506,369,818 shares).</w:t>
      </w:r>
    </w:p>
    <w:p>
      <w:pPr>
        <w:spacing w:after="0" w:line="42" w:lineRule="exact"/>
        <w:rPr>
          <w:rFonts w:ascii="Arial" w:cs="Arial" w:eastAsia="Arial" w:hAnsi="Arial"/>
          <w:sz w:val="21"/>
          <w:szCs w:val="21"/>
          <w:color w:val="auto"/>
          <w:vertAlign w:val="superscript"/>
        </w:rPr>
      </w:pPr>
    </w:p>
    <w:p>
      <w:pPr>
        <w:ind w:left="200" w:right="120" w:hanging="192"/>
        <w:spacing w:after="0" w:line="238" w:lineRule="auto"/>
        <w:tabs>
          <w:tab w:leader="none" w:pos="215"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8 to Schedule 13G filed by The Vanguard Group, Inc. on February 9, 2022 reporting stock ownership as of December 31, 2021. The Vanguard Group, Inc. also reported that, as of December 31, 2021, it had sole dispositive power for 43,837,443 shares, shared voting power for 871,953 shares and shared dispositive power with respect to 2,190,048 shares.</w:t>
      </w:r>
    </w:p>
    <w:p>
      <w:pPr>
        <w:spacing w:after="0" w:line="57" w:lineRule="exact"/>
        <w:rPr>
          <w:rFonts w:ascii="Arial" w:cs="Arial" w:eastAsia="Arial" w:hAnsi="Arial"/>
          <w:sz w:val="21"/>
          <w:szCs w:val="21"/>
          <w:color w:val="auto"/>
          <w:vertAlign w:val="superscript"/>
        </w:rPr>
      </w:pPr>
    </w:p>
    <w:p>
      <w:pPr>
        <w:ind w:left="200" w:right="20" w:hanging="192"/>
        <w:spacing w:after="0" w:line="238" w:lineRule="auto"/>
        <w:tabs>
          <w:tab w:leader="none" w:pos="215"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Based solely on an Amendment No. 9 to Schedule 13G filed by BlackRock, Inc. on February 7, 2022 reporting stock ownership as of December 31, 2021. BlackRock, Inc. also reported that, as of December 31, 2021, it had sole voting power with respect to 37,646,898 shares and sole dispositive power for 43,050,848 shares.</w:t>
      </w:r>
    </w:p>
    <w:p>
      <w:pPr>
        <w:spacing w:after="0" w:line="304"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83</w:t>
      </w:r>
    </w:p>
    <w:p>
      <w:pPr>
        <w:sectPr>
          <w:pgSz w:w="11900" w:h="16838" w:orient="portrait"/>
          <w:cols w:equalWidth="0" w:num="1">
            <w:col w:w="11240"/>
          </w:cols>
          <w:pgMar w:left="320" w:top="1126" w:right="339" w:bottom="1440" w:gutter="0" w:footer="0" w:header="0"/>
        </w:sectPr>
      </w:pPr>
    </w:p>
    <w:bookmarkStart w:id="93" w:name="page94"/>
    <w:bookmarkEnd w:id="93"/>
    <w:p>
      <w:pPr>
        <w:spacing w:after="0"/>
        <w:rPr>
          <w:sz w:val="20"/>
          <w:szCs w:val="20"/>
          <w:color w:val="auto"/>
        </w:rPr>
      </w:pPr>
      <w:r>
        <w:rPr>
          <w:rFonts w:ascii="Arial" w:cs="Arial" w:eastAsia="Arial" w:hAnsi="Arial"/>
          <w:sz w:val="41"/>
          <w:szCs w:val="41"/>
          <w:b w:val="1"/>
          <w:bCs w:val="1"/>
          <w:color w:val="0067B3"/>
        </w:rPr>
        <w:t>Security Ownership of Directors and Executive Officers</w:t>
      </w:r>
    </w:p>
    <w:p>
      <w:pPr>
        <w:spacing w:after="0" w:line="15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following table lists information as of January 11, 2023, about the beneficial ownership of common stock by each director or director nominee, by each executive officer named in the Summary Compensation Table included in this Proxy Statement, and by all of the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executive officers of ADI as a group.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shd w:val="clear" w:color="auto" w:fill="0067B3"/>
          </w:tcPr>
          <w:p>
            <w:pPr>
              <w:spacing w:after="0"/>
              <w:rPr>
                <w:sz w:val="17"/>
                <w:szCs w:val="17"/>
                <w:color w:val="auto"/>
              </w:rPr>
            </w:pPr>
          </w:p>
        </w:tc>
        <w:tc>
          <w:tcPr>
            <w:tcW w:w="1540" w:type="dxa"/>
            <w:vAlign w:val="bottom"/>
            <w:shd w:val="clear" w:color="auto" w:fill="0067B3"/>
          </w:tcPr>
          <w:p>
            <w:pPr>
              <w:spacing w:after="0"/>
              <w:rPr>
                <w:sz w:val="17"/>
                <w:szCs w:val="17"/>
                <w:color w:val="auto"/>
              </w:rPr>
            </w:pP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1060" w:type="dxa"/>
            <w:vAlign w:val="bottom"/>
            <w:shd w:val="clear" w:color="auto" w:fill="0067B3"/>
          </w:tcPr>
          <w:p>
            <w:pPr>
              <w:spacing w:after="0"/>
              <w:rPr>
                <w:sz w:val="17"/>
                <w:szCs w:val="17"/>
                <w:color w:val="auto"/>
              </w:rPr>
            </w:pP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Percent of</w:t>
            </w:r>
          </w:p>
        </w:tc>
        <w:tc>
          <w:tcPr>
            <w:tcW w:w="0" w:type="dxa"/>
            <w:vAlign w:val="bottom"/>
          </w:tcPr>
          <w:p>
            <w:pPr>
              <w:spacing w:after="0"/>
              <w:rPr>
                <w:sz w:val="1"/>
                <w:szCs w:val="1"/>
                <w:color w:val="auto"/>
              </w:rPr>
            </w:pPr>
          </w:p>
        </w:tc>
      </w:tr>
      <w:tr>
        <w:trPr>
          <w:trHeight w:val="203"/>
        </w:trPr>
        <w:tc>
          <w:tcPr>
            <w:tcW w:w="6320" w:type="dxa"/>
            <w:vAlign w:val="bottom"/>
            <w:shd w:val="clear" w:color="auto" w:fill="0067B3"/>
          </w:tcPr>
          <w:p>
            <w:pPr>
              <w:spacing w:after="0"/>
              <w:rPr>
                <w:sz w:val="17"/>
                <w:szCs w:val="17"/>
                <w:color w:val="auto"/>
              </w:rPr>
            </w:pPr>
          </w:p>
        </w:tc>
        <w:tc>
          <w:tcPr>
            <w:tcW w:w="15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Shares</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Acquirable</w:t>
            </w:r>
          </w:p>
        </w:tc>
        <w:tc>
          <w:tcPr>
            <w:tcW w:w="10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Total</w:t>
            </w: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Common Stock</w:t>
            </w:r>
          </w:p>
        </w:tc>
        <w:tc>
          <w:tcPr>
            <w:tcW w:w="0" w:type="dxa"/>
            <w:vAlign w:val="bottom"/>
          </w:tcPr>
          <w:p>
            <w:pPr>
              <w:spacing w:after="0"/>
              <w:rPr>
                <w:sz w:val="1"/>
                <w:szCs w:val="1"/>
                <w:color w:val="auto"/>
              </w:rPr>
            </w:pPr>
          </w:p>
        </w:tc>
      </w:tr>
      <w:tr>
        <w:trPr>
          <w:trHeight w:val="189"/>
        </w:trPr>
        <w:tc>
          <w:tcPr>
            <w:tcW w:w="6320" w:type="dxa"/>
            <w:vAlign w:val="bottom"/>
            <w:shd w:val="clear" w:color="auto" w:fill="0067B3"/>
          </w:tcPr>
          <w:p>
            <w:pPr>
              <w:spacing w:after="0"/>
              <w:rPr>
                <w:sz w:val="16"/>
                <w:szCs w:val="16"/>
                <w:color w:val="auto"/>
              </w:rPr>
            </w:pPr>
          </w:p>
        </w:tc>
        <w:tc>
          <w:tcPr>
            <w:tcW w:w="15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98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Within</w:t>
            </w:r>
          </w:p>
        </w:tc>
        <w:tc>
          <w:tcPr>
            <w:tcW w:w="1060" w:type="dxa"/>
            <w:vAlign w:val="bottom"/>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Beneficial</w:t>
            </w:r>
          </w:p>
        </w:tc>
        <w:tc>
          <w:tcPr>
            <w:tcW w:w="134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Beneficially</w:t>
            </w:r>
          </w:p>
        </w:tc>
        <w:tc>
          <w:tcPr>
            <w:tcW w:w="0" w:type="dxa"/>
            <w:vAlign w:val="bottom"/>
          </w:tcPr>
          <w:p>
            <w:pPr>
              <w:spacing w:after="0"/>
              <w:rPr>
                <w:sz w:val="1"/>
                <w:szCs w:val="1"/>
                <w:color w:val="auto"/>
              </w:rPr>
            </w:pPr>
          </w:p>
        </w:tc>
      </w:tr>
      <w:tr>
        <w:trPr>
          <w:trHeight w:val="244"/>
        </w:trPr>
        <w:tc>
          <w:tcPr>
            <w:tcW w:w="632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1"/>
                <w:szCs w:val="21"/>
                <w:b w:val="1"/>
                <w:bCs w:val="1"/>
                <w:color w:val="FFFFFF"/>
                <w:vertAlign w:val="superscript"/>
              </w:rPr>
              <w:t>(1)</w:t>
            </w:r>
          </w:p>
        </w:tc>
        <w:tc>
          <w:tcPr>
            <w:tcW w:w="15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(2)</w:t>
            </w:r>
          </w:p>
        </w:tc>
        <w:tc>
          <w:tcPr>
            <w:tcW w:w="98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60 Days</w:t>
            </w:r>
            <w:r>
              <w:rPr>
                <w:rFonts w:ascii="Arial" w:cs="Arial" w:eastAsia="Arial" w:hAnsi="Arial"/>
                <w:sz w:val="21"/>
                <w:szCs w:val="21"/>
                <w:b w:val="1"/>
                <w:bCs w:val="1"/>
                <w:color w:val="FFFFFF"/>
                <w:vertAlign w:val="superscript"/>
              </w:rPr>
              <w:t>(3)</w:t>
            </w:r>
          </w:p>
        </w:tc>
        <w:tc>
          <w:tcPr>
            <w:tcW w:w="1060" w:type="dxa"/>
            <w:vAlign w:val="bottom"/>
            <w:tcBorders>
              <w:bottom w:val="single" w:sz="8" w:color="auto"/>
            </w:tcBorders>
            <w:shd w:val="clear" w:color="auto" w:fill="0067B3"/>
          </w:tcPr>
          <w:p>
            <w:pPr>
              <w:jc w:val="right"/>
              <w:ind w:right="31"/>
              <w:spacing w:after="0"/>
              <w:rPr>
                <w:sz w:val="20"/>
                <w:szCs w:val="20"/>
                <w:color w:val="auto"/>
              </w:rPr>
            </w:pPr>
            <w:r>
              <w:rPr>
                <w:rFonts w:ascii="Arial" w:cs="Arial" w:eastAsia="Arial" w:hAnsi="Arial"/>
                <w:sz w:val="16"/>
                <w:szCs w:val="16"/>
                <w:b w:val="1"/>
                <w:bCs w:val="1"/>
                <w:color w:val="FFFFFF"/>
              </w:rPr>
              <w:t>Ownership</w:t>
            </w:r>
          </w:p>
        </w:tc>
        <w:tc>
          <w:tcPr>
            <w:tcW w:w="1340" w:type="dxa"/>
            <w:vAlign w:val="bottom"/>
            <w:tcBorders>
              <w:bottom w:val="single" w:sz="8" w:color="auto"/>
            </w:tcBorders>
            <w:shd w:val="clear" w:color="auto" w:fill="0067B3"/>
          </w:tcPr>
          <w:p>
            <w:pPr>
              <w:jc w:val="right"/>
              <w:spacing w:after="0"/>
              <w:rPr>
                <w:sz w:val="20"/>
                <w:szCs w:val="20"/>
                <w:color w:val="auto"/>
              </w:rPr>
            </w:pPr>
            <w:r>
              <w:rPr>
                <w:rFonts w:ascii="Arial" w:cs="Arial" w:eastAsia="Arial" w:hAnsi="Arial"/>
                <w:sz w:val="16"/>
                <w:szCs w:val="16"/>
                <w:b w:val="1"/>
                <w:bCs w:val="1"/>
                <w:color w:val="FFFFFF"/>
              </w:rPr>
              <w:t>Owned</w:t>
            </w:r>
            <w:r>
              <w:rPr>
                <w:rFonts w:ascii="Arial" w:cs="Arial" w:eastAsia="Arial" w:hAnsi="Arial"/>
                <w:sz w:val="21"/>
                <w:szCs w:val="21"/>
                <w:b w:val="1"/>
                <w:bCs w:val="1"/>
                <w:color w:val="FFFFFF"/>
                <w:vertAlign w:val="superscript"/>
              </w:rPr>
              <w:t>(4)</w:t>
            </w:r>
          </w:p>
        </w:tc>
        <w:tc>
          <w:tcPr>
            <w:tcW w:w="0" w:type="dxa"/>
            <w:vAlign w:val="bottom"/>
          </w:tcPr>
          <w:p>
            <w:pPr>
              <w:spacing w:after="0"/>
              <w:rPr>
                <w:sz w:val="1"/>
                <w:szCs w:val="1"/>
                <w:color w:val="auto"/>
              </w:rPr>
            </w:pPr>
          </w:p>
        </w:tc>
      </w:tr>
      <w:tr>
        <w:trPr>
          <w:trHeight w:val="263"/>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André Andonian</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1,015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1,015</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Gregory Bryant</w:t>
            </w:r>
            <w:r>
              <w:rPr>
                <w:rFonts w:ascii="Arial" w:cs="Arial" w:eastAsia="Arial" w:hAnsi="Arial"/>
                <w:sz w:val="23"/>
                <w:szCs w:val="23"/>
                <w:b w:val="1"/>
                <w:bCs w:val="1"/>
                <w:color w:val="0067B3"/>
                <w:vertAlign w:val="superscript"/>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James A. Champy</w:t>
            </w:r>
            <w:r>
              <w:rPr>
                <w:rFonts w:ascii="Arial" w:cs="Arial" w:eastAsia="Arial" w:hAnsi="Arial"/>
                <w:sz w:val="23"/>
                <w:szCs w:val="23"/>
                <w:b w:val="1"/>
                <w:bCs w:val="1"/>
                <w:color w:val="0067B3"/>
                <w:vertAlign w:val="superscript"/>
              </w:rPr>
              <w:t>(5)</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44,687</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17,595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62,282</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Anantha P. Chandrakasan</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6,130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7,625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Tunç Doluca</w:t>
            </w:r>
            <w:r>
              <w:rPr>
                <w:rFonts w:ascii="Arial" w:cs="Arial" w:eastAsia="Arial" w:hAnsi="Arial"/>
                <w:sz w:val="23"/>
                <w:szCs w:val="23"/>
                <w:b w:val="1"/>
                <w:bCs w:val="1"/>
                <w:color w:val="0067B3"/>
                <w:vertAlign w:val="superscript"/>
              </w:rPr>
              <w:t>(6)</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696,684</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698,179</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Bruce R. Evans</w:t>
            </w:r>
            <w:r>
              <w:rPr>
                <w:rFonts w:ascii="Arial" w:cs="Arial" w:eastAsia="Arial" w:hAnsi="Arial"/>
                <w:sz w:val="23"/>
                <w:szCs w:val="23"/>
                <w:b w:val="1"/>
                <w:bCs w:val="1"/>
                <w:color w:val="0067B3"/>
                <w:vertAlign w:val="superscript"/>
              </w:rPr>
              <w:t>(7)</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105,549</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107,044</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Edward H. Frank</w:t>
            </w:r>
            <w:r>
              <w:rPr>
                <w:rFonts w:ascii="Arial" w:cs="Arial" w:eastAsia="Arial" w:hAnsi="Arial"/>
                <w:sz w:val="23"/>
                <w:szCs w:val="23"/>
                <w:b w:val="1"/>
                <w:bCs w:val="1"/>
                <w:color w:val="0067B3"/>
                <w:vertAlign w:val="superscript"/>
              </w:rPr>
              <w:t>(8)</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13,525</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15,020</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Laurie H. Glimcher</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2,035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3,530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Karen M. Golz</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7,184</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8,679</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Vivek Jain</w:t>
            </w:r>
            <w:r>
              <w:rPr>
                <w:rFonts w:ascii="Arial" w:cs="Arial" w:eastAsia="Arial" w:hAnsi="Arial"/>
                <w:sz w:val="23"/>
                <w:szCs w:val="23"/>
                <w:b w:val="1"/>
                <w:bCs w:val="1"/>
                <w:color w:val="0067B3"/>
                <w:vertAlign w:val="superscript"/>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7,516</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7,516</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Mercedes Johnson</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5,113</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6,608</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Prashanth Mahendra-Rajah</w:t>
            </w:r>
            <w:r>
              <w:rPr>
                <w:rFonts w:ascii="Arial" w:cs="Arial" w:eastAsia="Arial" w:hAnsi="Arial"/>
                <w:sz w:val="23"/>
                <w:szCs w:val="23"/>
                <w:b w:val="1"/>
                <w:bCs w:val="1"/>
                <w:color w:val="0067B3"/>
                <w:vertAlign w:val="superscript"/>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13,943</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61,186</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75,129</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Vincent Roche</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15,011</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408,162</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423,173</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Anelise Sacks</w:t>
            </w:r>
            <w:r>
              <w:rPr>
                <w:rFonts w:ascii="Arial" w:cs="Arial" w:eastAsia="Arial" w:hAnsi="Arial"/>
                <w:sz w:val="23"/>
                <w:szCs w:val="23"/>
                <w:b w:val="1"/>
                <w:bCs w:val="1"/>
                <w:color w:val="0067B3"/>
                <w:vertAlign w:val="superscript"/>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2,091</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2,532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Kenton J. Sicchitano</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26,833</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17,595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44,428</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b w:val="1"/>
                <w:bCs w:val="1"/>
                <w:color w:val="0067B3"/>
              </w:rPr>
              <w:t>Ray Stata</w:t>
            </w:r>
            <w:r>
              <w:rPr>
                <w:rFonts w:ascii="Arial" w:cs="Arial" w:eastAsia="Arial" w:hAnsi="Arial"/>
                <w:sz w:val="23"/>
                <w:szCs w:val="23"/>
                <w:b w:val="1"/>
                <w:bCs w:val="1"/>
                <w:color w:val="0067B3"/>
                <w:vertAlign w:val="superscript"/>
              </w:rPr>
              <w:t>(9)</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825,865</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27,255</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853,120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shd w:val="clear" w:color="auto" w:fill="E2E6F4"/>
          </w:tcPr>
          <w:p>
            <w:pPr>
              <w:ind w:left="20"/>
              <w:spacing w:after="0"/>
              <w:rPr>
                <w:sz w:val="20"/>
                <w:szCs w:val="20"/>
                <w:color w:val="auto"/>
              </w:rPr>
            </w:pPr>
            <w:r>
              <w:rPr>
                <w:rFonts w:ascii="Arial" w:cs="Arial" w:eastAsia="Arial" w:hAnsi="Arial"/>
                <w:sz w:val="18"/>
                <w:szCs w:val="18"/>
                <w:b w:val="1"/>
                <w:bCs w:val="1"/>
                <w:color w:val="0067B3"/>
              </w:rPr>
              <w:t>Susie Wee</w:t>
            </w:r>
            <w:r>
              <w:rPr>
                <w:rFonts w:ascii="Arial" w:cs="Arial" w:eastAsia="Arial" w:hAnsi="Arial"/>
                <w:sz w:val="23"/>
                <w:szCs w:val="23"/>
                <w:b w:val="1"/>
                <w:bCs w:val="1"/>
                <w:color w:val="0067B3"/>
                <w:vertAlign w:val="superscript"/>
              </w:rPr>
              <w:t>†</w:t>
            </w:r>
          </w:p>
        </w:tc>
        <w:tc>
          <w:tcPr>
            <w:tcW w:w="1540" w:type="dxa"/>
            <w:vAlign w:val="bottom"/>
            <w:shd w:val="clear" w:color="auto" w:fill="E2E6F4"/>
          </w:tcPr>
          <w:p>
            <w:pPr>
              <w:jc w:val="right"/>
              <w:ind w:right="31"/>
              <w:spacing w:after="0"/>
              <w:rPr>
                <w:sz w:val="20"/>
                <w:szCs w:val="20"/>
                <w:color w:val="auto"/>
              </w:rPr>
            </w:pPr>
            <w:r>
              <w:rPr>
                <w:rFonts w:ascii="Arial" w:cs="Arial" w:eastAsia="Arial" w:hAnsi="Arial"/>
                <w:sz w:val="18"/>
                <w:szCs w:val="18"/>
                <w:color w:val="auto"/>
              </w:rPr>
              <w:t>4,256</w:t>
            </w:r>
          </w:p>
        </w:tc>
        <w:tc>
          <w:tcPr>
            <w:tcW w:w="980" w:type="dxa"/>
            <w:vAlign w:val="bottom"/>
            <w:shd w:val="clear" w:color="auto" w:fill="E2E6F4"/>
          </w:tcPr>
          <w:p>
            <w:pPr>
              <w:jc w:val="right"/>
              <w:ind w:right="32"/>
              <w:spacing w:after="0"/>
              <w:rPr>
                <w:sz w:val="20"/>
                <w:szCs w:val="20"/>
                <w:color w:val="auto"/>
              </w:rPr>
            </w:pPr>
            <w:r>
              <w:rPr>
                <w:rFonts w:ascii="Arial" w:cs="Arial" w:eastAsia="Arial" w:hAnsi="Arial"/>
                <w:sz w:val="18"/>
                <w:szCs w:val="18"/>
                <w:color w:val="auto"/>
              </w:rPr>
              <w:t>1,495</w:t>
            </w:r>
          </w:p>
        </w:tc>
        <w:tc>
          <w:tcPr>
            <w:tcW w:w="1060" w:type="dxa"/>
            <w:vAlign w:val="bottom"/>
            <w:shd w:val="clear" w:color="auto" w:fill="E2E6F4"/>
          </w:tcPr>
          <w:p>
            <w:pPr>
              <w:jc w:val="right"/>
              <w:ind w:right="91"/>
              <w:spacing w:after="0"/>
              <w:rPr>
                <w:sz w:val="20"/>
                <w:szCs w:val="20"/>
                <w:color w:val="auto"/>
              </w:rPr>
            </w:pPr>
            <w:r>
              <w:rPr>
                <w:rFonts w:ascii="Arial" w:cs="Arial" w:eastAsia="Arial" w:hAnsi="Arial"/>
                <w:sz w:val="18"/>
                <w:szCs w:val="18"/>
                <w:color w:val="auto"/>
              </w:rPr>
              <w:t>5,751</w:t>
            </w:r>
          </w:p>
        </w:tc>
        <w:tc>
          <w:tcPr>
            <w:tcW w:w="1340" w:type="dxa"/>
            <w:vAlign w:val="bottom"/>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6320" w:type="dxa"/>
            <w:vAlign w:val="bottom"/>
          </w:tcPr>
          <w:p>
            <w:pPr>
              <w:ind w:left="20"/>
              <w:spacing w:after="0" w:line="182" w:lineRule="exact"/>
              <w:rPr>
                <w:sz w:val="20"/>
                <w:szCs w:val="20"/>
                <w:color w:val="auto"/>
              </w:rPr>
            </w:pPr>
            <w:r>
              <w:rPr>
                <w:rFonts w:ascii="Arial" w:cs="Arial" w:eastAsia="Arial" w:hAnsi="Arial"/>
                <w:sz w:val="18"/>
                <w:szCs w:val="18"/>
                <w:color w:val="auto"/>
              </w:rPr>
              <w:t>All directors and executive officers as a group (17 persons, consisting of</w:t>
            </w:r>
          </w:p>
        </w:tc>
        <w:tc>
          <w:tcPr>
            <w:tcW w:w="1540" w:type="dxa"/>
            <w:vAlign w:val="bottom"/>
            <w:vMerge w:val="restart"/>
          </w:tcPr>
          <w:p>
            <w:pPr>
              <w:jc w:val="right"/>
              <w:ind w:right="31"/>
              <w:spacing w:after="0"/>
              <w:rPr>
                <w:sz w:val="20"/>
                <w:szCs w:val="20"/>
                <w:color w:val="auto"/>
              </w:rPr>
            </w:pPr>
            <w:r>
              <w:rPr>
                <w:rFonts w:ascii="Arial" w:cs="Arial" w:eastAsia="Arial" w:hAnsi="Arial"/>
                <w:sz w:val="18"/>
                <w:szCs w:val="18"/>
                <w:color w:val="auto"/>
              </w:rPr>
              <w:t>1,774,808</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546,859</w:t>
            </w:r>
          </w:p>
        </w:tc>
        <w:tc>
          <w:tcPr>
            <w:tcW w:w="1060" w:type="dxa"/>
            <w:vAlign w:val="bottom"/>
            <w:vMerge w:val="restart"/>
          </w:tcPr>
          <w:p>
            <w:pPr>
              <w:jc w:val="right"/>
              <w:ind w:right="91"/>
              <w:spacing w:after="0"/>
              <w:rPr>
                <w:sz w:val="20"/>
                <w:szCs w:val="20"/>
                <w:color w:val="auto"/>
              </w:rPr>
            </w:pPr>
            <w:r>
              <w:rPr>
                <w:rFonts w:ascii="Arial" w:cs="Arial" w:eastAsia="Arial" w:hAnsi="Arial"/>
                <w:sz w:val="18"/>
                <w:szCs w:val="18"/>
                <w:color w:val="auto"/>
              </w:rPr>
              <w:t>2,321,667</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6320" w:type="dxa"/>
            <w:vAlign w:val="bottom"/>
            <w:tcBorders>
              <w:bottom w:val="single" w:sz="8" w:color="0067B3"/>
            </w:tcBorders>
          </w:tcPr>
          <w:p>
            <w:pPr>
              <w:ind w:left="20"/>
              <w:spacing w:after="0" w:line="251" w:lineRule="exact"/>
              <w:rPr>
                <w:sz w:val="20"/>
                <w:szCs w:val="20"/>
                <w:color w:val="auto"/>
              </w:rPr>
            </w:pPr>
            <w:r>
              <w:rPr>
                <w:rFonts w:ascii="Arial" w:cs="Arial" w:eastAsia="Arial" w:hAnsi="Arial"/>
                <w:sz w:val="18"/>
                <w:szCs w:val="18"/>
                <w:color w:val="auto"/>
              </w:rPr>
              <w:t>5 executive officers and 12 non-employee directors)</w:t>
            </w:r>
            <w:r>
              <w:rPr>
                <w:rFonts w:ascii="Arial" w:cs="Arial" w:eastAsia="Arial" w:hAnsi="Arial"/>
                <w:sz w:val="23"/>
                <w:szCs w:val="23"/>
                <w:color w:val="auto"/>
                <w:vertAlign w:val="superscript"/>
              </w:rPr>
              <w:t>(10)</w:t>
            </w:r>
          </w:p>
        </w:tc>
        <w:tc>
          <w:tcPr>
            <w:tcW w:w="1540" w:type="dxa"/>
            <w:vAlign w:val="bottom"/>
            <w:tcBorders>
              <w:bottom w:val="single" w:sz="8" w:color="0067B3"/>
            </w:tcBorders>
            <w:vMerge w:val="continue"/>
          </w:tcPr>
          <w:p>
            <w:pPr>
              <w:spacing w:after="0"/>
              <w:rPr>
                <w:sz w:val="21"/>
                <w:szCs w:val="21"/>
                <w:color w:val="auto"/>
              </w:rPr>
            </w:pPr>
          </w:p>
        </w:tc>
        <w:tc>
          <w:tcPr>
            <w:tcW w:w="980" w:type="dxa"/>
            <w:vAlign w:val="bottom"/>
            <w:tcBorders>
              <w:bottom w:val="single" w:sz="8" w:color="0067B3"/>
            </w:tcBorders>
            <w:vMerge w:val="continue"/>
          </w:tcPr>
          <w:p>
            <w:pPr>
              <w:spacing w:after="0"/>
              <w:rPr>
                <w:sz w:val="21"/>
                <w:szCs w:val="21"/>
                <w:color w:val="auto"/>
              </w:rPr>
            </w:pPr>
          </w:p>
        </w:tc>
        <w:tc>
          <w:tcPr>
            <w:tcW w:w="1060" w:type="dxa"/>
            <w:vAlign w:val="bottom"/>
            <w:tcBorders>
              <w:bottom w:val="single" w:sz="8" w:color="0067B3"/>
            </w:tcBorders>
            <w:vMerge w:val="continue"/>
          </w:tcPr>
          <w:p>
            <w:pPr>
              <w:spacing w:after="0"/>
              <w:rPr>
                <w:sz w:val="21"/>
                <w:szCs w:val="21"/>
                <w:color w:val="auto"/>
              </w:rPr>
            </w:pPr>
          </w:p>
        </w:tc>
        <w:tc>
          <w:tcPr>
            <w:tcW w:w="1340" w:type="dxa"/>
            <w:vAlign w:val="bottom"/>
            <w:tcBorders>
              <w:bottom w:val="single" w:sz="8" w:color="0067B3"/>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our common stock.</w:t>
      </w:r>
    </w:p>
    <w:p>
      <w:pPr>
        <w:spacing w:after="0" w:line="23" w:lineRule="exact"/>
        <w:rPr>
          <w:sz w:val="20"/>
          <w:szCs w:val="20"/>
          <w:color w:val="auto"/>
        </w:rPr>
      </w:pPr>
    </w:p>
    <w:p>
      <w:pPr>
        <w:ind w:left="240" w:hanging="232"/>
        <w:spacing w:after="0"/>
        <w:tabs>
          <w:tab w:leader="none" w:pos="240" w:val="left"/>
        </w:tabs>
        <w:numPr>
          <w:ilvl w:val="0"/>
          <w:numId w:val="117"/>
        </w:numPr>
        <w:rPr>
          <w:rFonts w:ascii="Times New Roman" w:cs="Times New Roman" w:eastAsia="Times New Roman" w:hAnsi="Times New Roman"/>
          <w:sz w:val="23"/>
          <w:szCs w:val="23"/>
          <w:color w:val="auto"/>
          <w:vertAlign w:val="superscript"/>
        </w:rPr>
      </w:pPr>
      <w:r>
        <w:rPr>
          <w:rFonts w:ascii="Arial" w:cs="Arial" w:eastAsia="Arial" w:hAnsi="Arial"/>
          <w:sz w:val="16"/>
          <w:szCs w:val="16"/>
          <w:color w:val="auto"/>
        </w:rPr>
        <w:t>Fractional shares have been rounded up to the nearest whole share.</w:t>
      </w:r>
    </w:p>
    <w:p>
      <w:pPr>
        <w:spacing w:after="0" w:line="2"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Unless otherwise indicated, the address of each beneficial owner listed is c/o Analog Devices, Inc., One Analog Way, Wilmington, Massachusetts 01887.</w:t>
      </w:r>
    </w:p>
    <w:p>
      <w:pPr>
        <w:spacing w:after="0" w:line="57" w:lineRule="exact"/>
        <w:rPr>
          <w:rFonts w:ascii="Arial" w:cs="Arial" w:eastAsia="Arial" w:hAnsi="Arial"/>
          <w:sz w:val="21"/>
          <w:szCs w:val="21"/>
          <w:color w:val="auto"/>
          <w:vertAlign w:val="superscript"/>
        </w:rPr>
      </w:pPr>
    </w:p>
    <w:p>
      <w:pPr>
        <w:ind w:left="200" w:right="40" w:hanging="192"/>
        <w:spacing w:after="0" w:line="216"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42" w:lineRule="exact"/>
        <w:rPr>
          <w:rFonts w:ascii="Arial" w:cs="Arial" w:eastAsia="Arial" w:hAnsi="Arial"/>
          <w:sz w:val="21"/>
          <w:szCs w:val="21"/>
          <w:color w:val="auto"/>
          <w:vertAlign w:val="superscript"/>
        </w:rPr>
      </w:pPr>
    </w:p>
    <w:p>
      <w:pPr>
        <w:ind w:left="200" w:right="220" w:hanging="192"/>
        <w:spacing w:after="0" w:line="228"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11, 2023.</w:t>
      </w:r>
    </w:p>
    <w:p>
      <w:pPr>
        <w:spacing w:after="0" w:line="29" w:lineRule="exact"/>
        <w:rPr>
          <w:rFonts w:ascii="Arial" w:cs="Arial" w:eastAsia="Arial" w:hAnsi="Arial"/>
          <w:sz w:val="21"/>
          <w:szCs w:val="21"/>
          <w:color w:val="auto"/>
          <w:vertAlign w:val="superscript"/>
        </w:rPr>
      </w:pPr>
    </w:p>
    <w:p>
      <w:pPr>
        <w:ind w:left="200" w:right="560" w:hanging="192"/>
        <w:spacing w:after="0" w:line="222"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The percent ownership for each shareholder on January 11, 2023 is calculated by dividing (1) the total number of shares beneficially owned by the shareholder by (2) the number of shares of our common stock outstanding on January 11, 2023 (506,369,818 shares) plus any shares acquirable (including exercisable stock options) by the shareholder in question within 60 days after January 11, 2023.</w:t>
      </w:r>
    </w:p>
    <w:p>
      <w:pPr>
        <w:spacing w:after="0" w:line="16"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Includes 38,316 shares held in trust for the benefit of Mr. Champy’s spouse and son, as to which Mr. Champy disclaims beneficial ownership.</w:t>
      </w:r>
    </w:p>
    <w:p>
      <w:pPr>
        <w:spacing w:after="0" w:line="57" w:lineRule="exact"/>
        <w:rPr>
          <w:rFonts w:ascii="Arial" w:cs="Arial" w:eastAsia="Arial" w:hAnsi="Arial"/>
          <w:sz w:val="21"/>
          <w:szCs w:val="21"/>
          <w:color w:val="auto"/>
          <w:vertAlign w:val="superscript"/>
        </w:rPr>
      </w:pPr>
    </w:p>
    <w:p>
      <w:pPr>
        <w:ind w:left="220" w:hanging="212"/>
        <w:spacing w:after="0" w:line="197" w:lineRule="auto"/>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Includes 630,527 shares held by a living trust and 66,157 shares held by an irrevocable trust.</w:t>
      </w:r>
    </w:p>
    <w:p>
      <w:pPr>
        <w:spacing w:after="0" w:line="44" w:lineRule="exact"/>
        <w:rPr>
          <w:rFonts w:ascii="Arial" w:cs="Arial" w:eastAsia="Arial" w:hAnsi="Arial"/>
          <w:sz w:val="21"/>
          <w:szCs w:val="21"/>
          <w:color w:val="auto"/>
          <w:vertAlign w:val="superscript"/>
        </w:rPr>
      </w:pPr>
    </w:p>
    <w:p>
      <w:pPr>
        <w:ind w:left="200" w:right="140" w:hanging="192"/>
        <w:spacing w:after="0" w:line="211"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Includes 104,008 shares held by Evans Capital Management LLC and 106 shares held by Evans Investment Management, LLC. Mr. Evans is managing member of both entities.</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Includes 11,000 shares held by irrevocable trusts for the benefit of Mr. Frank’s daughters, of which Mr. Frank is a trustee.</w:t>
      </w:r>
    </w:p>
    <w:p>
      <w:pPr>
        <w:spacing w:after="0" w:line="44" w:lineRule="exact"/>
        <w:rPr>
          <w:rFonts w:ascii="Arial" w:cs="Arial" w:eastAsia="Arial" w:hAnsi="Arial"/>
          <w:sz w:val="21"/>
          <w:szCs w:val="21"/>
          <w:color w:val="auto"/>
          <w:vertAlign w:val="superscript"/>
        </w:rPr>
      </w:pPr>
    </w:p>
    <w:p>
      <w:pPr>
        <w:ind w:left="200" w:right="260" w:hanging="192"/>
        <w:spacing w:after="0" w:line="221" w:lineRule="auto"/>
        <w:tabs>
          <w:tab w:leader="none" w:pos="215"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Includes 657,534 shares held by Mr. Stata’s spouse, as to which Mr. Stata disclaims beneficial ownership. Includes 648,709 shares held by Mr. Stata’s spouse and 133,138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26"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118"/>
        </w:numPr>
        <w:rPr>
          <w:rFonts w:ascii="Arial" w:cs="Arial" w:eastAsia="Arial" w:hAnsi="Arial"/>
          <w:sz w:val="19"/>
          <w:szCs w:val="19"/>
          <w:color w:val="auto"/>
          <w:vertAlign w:val="superscript"/>
        </w:rPr>
      </w:pPr>
      <w:r>
        <w:rPr>
          <w:rFonts w:ascii="Arial" w:cs="Arial" w:eastAsia="Arial" w:hAnsi="Arial"/>
          <w:sz w:val="15"/>
          <w:szCs w:val="15"/>
          <w:color w:val="auto"/>
        </w:rPr>
        <w:t>All directors and executive officers as a group disclaim beneficial ownership of a total of 695,850 shares.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84</w:t>
      </w:r>
    </w:p>
    <w:p>
      <w:pPr>
        <w:ind w:left="480"/>
        <w:spacing w:after="0"/>
        <w:rPr>
          <w:sz w:val="20"/>
          <w:szCs w:val="20"/>
          <w:color w:val="auto"/>
        </w:rPr>
      </w:pPr>
      <w:r>
        <w:rPr>
          <w:rFonts w:ascii="Arial" w:cs="Arial" w:eastAsia="Arial" w:hAnsi="Arial"/>
          <w:sz w:val="16"/>
          <w:szCs w:val="16"/>
          <w:color w:val="6D6E71"/>
        </w:rPr>
        <w:t>Beneficial Ownership of Common Stock</w:t>
      </w:r>
    </w:p>
    <w:p>
      <w:pPr>
        <w:sectPr>
          <w:pgSz w:w="11900" w:h="16838" w:orient="portrait"/>
          <w:cols w:equalWidth="0" w:num="1">
            <w:col w:w="11240"/>
          </w:cols>
          <w:pgMar w:left="320" w:top="1356" w:right="339" w:bottom="1440" w:gutter="0" w:footer="0" w:header="0"/>
        </w:sectPr>
      </w:pPr>
    </w:p>
    <w:bookmarkStart w:id="94" w:name="page95"/>
    <w:bookmarkEnd w:id="94"/>
    <w:p>
      <w:pPr>
        <w:spacing w:after="0"/>
        <w:rPr>
          <w:sz w:val="20"/>
          <w:szCs w:val="20"/>
          <w:color w:val="auto"/>
        </w:rPr>
      </w:pPr>
      <w:r>
        <w:rPr>
          <w:rFonts w:ascii="Arial" w:cs="Arial" w:eastAsia="Arial" w:hAnsi="Arial"/>
          <w:sz w:val="41"/>
          <w:szCs w:val="41"/>
          <w:b w:val="1"/>
          <w:bCs w:val="1"/>
          <w:color w:val="0067B3"/>
        </w:rPr>
        <w:t>Delinquent Section 16(a) Reports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fiscal year 2022, with the exception of the following: (1) the late filing, due to administrative error, of one Form 4 by Mr. Andonian, reporting his initial RSU grant as compensation for his service on the Board of Directors and (2) the late filing, due to administrative error, of the Form 3 for Mr. Jain, reporting his initial beneficial ownership.</w:t>
      </w:r>
    </w:p>
    <w:p>
      <w:pPr>
        <w:spacing w:after="0" w:line="259"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No Hedging or Pledging Policy</w:t>
      </w:r>
    </w:p>
    <w:p>
      <w:pPr>
        <w:spacing w:after="0" w:line="1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transactions in ADI securities such as (i) short sales, including short sales “against the box”, (ii) buying or selling puts, calls or other derivative ADI securities, (iii) purchasing financial instruments (including prepaid variable forward contracts, equity swaps, collars and exchange funds) or other transactions that hedge or offset, or are designed to hedge or offset, any decrease in the market value of ADI’s securities, or (iv) purchasing securities on margin, borrowing against ADI securities held in a margin account, or pledging ADI securities as collateral for a loan, create a heightened compliance risk or could create the appearance of misalignment between ADI’s directors and employees and ADI’s shareholders. As a result, our insider trading policy prohibits such transactions without the approval of the Board of Directors.</w:t>
      </w:r>
    </w:p>
    <w:p>
      <w:pPr>
        <w:spacing w:after="0" w:line="257"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Equity Award Program Description</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executive officers and directors and to align their interests with those of our shareholders. Our shareholders approved our 2020 Plan at our 2020 annual meeting of shareholders held on March 11, 2020. Under our 2020 Plan, we may grant options to purchase shares of our common stock, stock appreciation rights, restricted stock, restricted stock units and other stock-based awards to all employees, executive officers, directors, consultants and advisors of ADI. All stock options have a maximum term of ten years, and for employees, 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a three-year performance period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three-year cumulative performance periods. RSUs and PRSUs granted under the 2020 Plan are subject to full or partial acceleration upon death, disability or a change in control.</w:t>
      </w:r>
    </w:p>
    <w:p>
      <w:pPr>
        <w:spacing w:after="0" w:line="2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2006 Plan, we granted options to purchase shares of our common stock, stock appreciation rights, restricted stock, restricted stock units and other stock-based awards to all employees, executive officers, directors, consultants and advisors of ADI. The 2006 Plan expired by its terms on March 12, 2021, but awards outstanding under the 2006 Plan will remain in effect. We have not granted any new awards under the 2006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three-year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and Talent Committee for one-year, two-year cumulative and three-year cumulative performance periods. RSUs granted under the 2006 Plan are subject to full or partial acceleration upon death, disability or a change in control.</w:t>
      </w:r>
    </w:p>
    <w:p>
      <w:pPr>
        <w:sectPr>
          <w:pgSz w:w="11900" w:h="16838" w:orient="portrait"/>
          <w:cols w:equalWidth="0" w:num="1">
            <w:col w:w="11240"/>
          </w:cols>
          <w:pgMar w:left="320" w:top="1356" w:right="339" w:bottom="1440" w:gutter="0" w:footer="0" w:header="0"/>
        </w:sectPr>
      </w:pPr>
    </w:p>
    <w:p>
      <w:pPr>
        <w:spacing w:after="0" w:line="32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85</w:t>
      </w:r>
    </w:p>
    <w:p>
      <w:pPr>
        <w:sectPr>
          <w:pgSz w:w="11900" w:h="16838" w:orient="portrait"/>
          <w:cols w:equalWidth="0" w:num="1">
            <w:col w:w="11240"/>
          </w:cols>
          <w:pgMar w:left="320" w:top="1356" w:right="339" w:bottom="1440" w:gutter="0" w:footer="0" w:header="0"/>
          <w:type w:val="continuous"/>
        </w:sectPr>
      </w:pPr>
    </w:p>
    <w:bookmarkStart w:id="95" w:name="page96"/>
    <w:bookmarkEnd w:id="95"/>
    <w:p>
      <w:pPr>
        <w:ind w:right="20"/>
        <w:spacing w:after="0" w:line="254" w:lineRule="auto"/>
        <w:rPr>
          <w:sz w:val="20"/>
          <w:szCs w:val="20"/>
          <w:color w:val="auto"/>
        </w:rPr>
      </w:pPr>
      <w:r>
        <w:rPr>
          <w:rFonts w:ascii="Arial" w:cs="Arial" w:eastAsia="Arial" w:hAnsi="Arial"/>
          <w:sz w:val="18"/>
          <w:szCs w:val="18"/>
          <w:color w:val="auto"/>
        </w:rPr>
        <w:t>Under our 2010 Plan, which we assumed as part of the Linear Technology acquisition, we granted options to purchase shares of our common stock, stock appreciation rights, restricted stock, restricted stock units and other stock-based awards to legacy Linear Technology employees. The 2010 Plan expired by its terms on September 15, 2020, but awards outstanding under the 2010 Plan will remain in effect. We have not granted any new awards under the 2010 Plan since our shareholders approved our 2020 Plan on March 10, 2020. All stock options have a term of ten years, and for employees, generally vest in four equal installments on each of the first, second, third and fourth anniversaries of the date of grant, subject to full or partial acceleration upon death or disability. The 2010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and Talent Committee has discretion to determine the treatment of outstanding awards under the 2010 Plan in the event of a change in control.</w:t>
      </w:r>
    </w:p>
    <w:p>
      <w:pPr>
        <w:spacing w:after="0" w:line="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Maxim acquisition, we assumed and amended and restated the Maxim Amended and Restated 1996 Stock Incentive Plan, or 1996 Plan. We also assumed Maxim’s existing share reserve under the 1996 Plan and may use the reserve both to settle outstanding Maxim awards previously granted by Maxim under the plan, as well as to settle future grants made by ADI to legacy Maxim employees and any new employees of the combined company. Under the 1996 Plan we may grant options to purchase shares of our common stock, restricted stock, restricted stock units and other stock-based awards. The 1996 Plan will expire by its terms on August 11, 2024, but awards outstanding under the 1996 Plan will remain in effect. There are no stock options outstanding under the 1996 Plan. If we were to issue stock options, they would have a term of ten years, and for employees, generally vest in four equal installments on each of the first, second, third and fourth anniversaries of the date of grant, subject to full or partial acceleration upon death or disability. The 1996 Plan does not permit us to grant options at exercise prices that are below the fair market value of our common stock on the date of grant. Employee time-based RSUs and RSAs previously granted by Maxim under the 1996 Plan continue to vest on the same schedule provided under the original Maxim awards. New RSUs typically will vest in four equal installments on each of the first, second, third and fourth anniversaries of the date of grant. Generally, stock options, RSUs, and RSAs under the 1996 Plan are subject to full acceleration upon death.</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shareholders approved our ESPP at our 2022 annual meeting of shareholders, which provides for 5,000,000 shares of our common stock to be available for purchase by eligible employees in accordance with the terms of the plan. The ESPP permits eligible employees to purchase shares of our common stock at a discount during consecutive six-month plan periods. Our Board of Directors, the Compensation and Talent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under the Internal Revenue Code and (ii) at least 80% of the applicable closing price in the case of a nonqualified offering under the Internal Revenue Code. Employee contributions are made through payroll deductions or other contributions at a specified whole percentage of the participating employee’s compensation, subject to a minimum permitted percentage of 1% and a maximum permitted percentage of 20%. Our Board of Directors, the Compensation and Talent Committee or its delegate may, in its discretion, designate a higher minimum, and/or a lower maximum, contribution rate.</w:t>
      </w:r>
    </w:p>
    <w:p>
      <w:pPr>
        <w:spacing w:after="0" w:line="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and Talent Committee reviews and approves the grants. All members of the Compensation and Talent Committee are independent directors, as defined by the Nasdaq Rules.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86</w:t>
      </w:r>
    </w:p>
    <w:p>
      <w:pPr>
        <w:ind w:left="480"/>
        <w:spacing w:after="0"/>
        <w:rPr>
          <w:sz w:val="20"/>
          <w:szCs w:val="20"/>
          <w:color w:val="auto"/>
        </w:rPr>
      </w:pPr>
      <w:r>
        <w:rPr>
          <w:rFonts w:ascii="Arial" w:cs="Arial" w:eastAsia="Arial" w:hAnsi="Arial"/>
          <w:sz w:val="16"/>
          <w:szCs w:val="16"/>
          <w:color w:val="6D6E71"/>
        </w:rPr>
        <w:t>Beneficial Ownership of Common Stock</w:t>
      </w:r>
    </w:p>
    <w:p>
      <w:pPr>
        <w:sectPr>
          <w:pgSz w:w="11900" w:h="16838" w:orient="portrait"/>
          <w:cols w:equalWidth="0" w:num="1">
            <w:col w:w="11240"/>
          </w:cols>
          <w:pgMar w:left="320" w:top="1174" w:right="339" w:bottom="1440" w:gutter="0" w:footer="0" w:header="0"/>
        </w:sectPr>
      </w:pPr>
    </w:p>
    <w:bookmarkStart w:id="96" w:name="page97"/>
    <w:bookmarkEnd w:id="96"/>
    <w:p>
      <w:pPr>
        <w:ind w:right="1780"/>
        <w:spacing w:after="0" w:line="276" w:lineRule="auto"/>
        <w:rPr>
          <w:sz w:val="20"/>
          <w:szCs w:val="20"/>
          <w:color w:val="auto"/>
        </w:rPr>
      </w:pPr>
      <w:r>
        <w:rPr>
          <w:rFonts w:ascii="Arial" w:cs="Arial" w:eastAsia="Arial" w:hAnsi="Arial"/>
          <w:sz w:val="41"/>
          <w:szCs w:val="41"/>
          <w:b w:val="1"/>
          <w:bCs w:val="1"/>
          <w:color w:val="0067B3"/>
        </w:rPr>
        <w:t>Securities Authorized for Issuance under Equity Compensation Plans</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provides information as of October 29, 2022 about the securities that may be issued under outstanding equity awards, or authorized for future issuance, under our 2020 Plan, the ESPP, and the 1996 Plan, which we assumed in connection with the Maxim acquisition, and the securities that may be issued under outstanding equity awards under our 2006 Plan, as well as our 2010 Plan, which was assumed in connection with the Linear Technology acquisition.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shd w:val="clear" w:color="auto" w:fill="0067B3"/>
          </w:tcPr>
          <w:p>
            <w:pPr>
              <w:spacing w:after="0"/>
              <w:rPr>
                <w:sz w:val="21"/>
                <w:szCs w:val="21"/>
                <w:color w:val="auto"/>
              </w:rPr>
            </w:pPr>
          </w:p>
        </w:tc>
        <w:tc>
          <w:tcPr>
            <w:tcW w:w="1940" w:type="dxa"/>
            <w:vAlign w:val="bottom"/>
            <w:shd w:val="clear" w:color="auto" w:fill="0067B3"/>
          </w:tcPr>
          <w:p>
            <w:pPr>
              <w:jc w:val="right"/>
              <w:ind w:right="656"/>
              <w:spacing w:after="0"/>
              <w:rPr>
                <w:sz w:val="20"/>
                <w:szCs w:val="20"/>
                <w:color w:val="auto"/>
              </w:rPr>
            </w:pPr>
            <w:r>
              <w:rPr>
                <w:rFonts w:ascii="Arial" w:cs="Arial" w:eastAsia="Arial" w:hAnsi="Arial"/>
                <w:sz w:val="16"/>
                <w:szCs w:val="16"/>
                <w:b w:val="1"/>
                <w:bCs w:val="1"/>
                <w:color w:val="FFFFFF"/>
              </w:rPr>
              <w:t>(a)</w:t>
            </w:r>
          </w:p>
        </w:tc>
        <w:tc>
          <w:tcPr>
            <w:tcW w:w="500" w:type="dxa"/>
            <w:vAlign w:val="bottom"/>
            <w:shd w:val="clear" w:color="auto" w:fill="0067B3"/>
          </w:tcPr>
          <w:p>
            <w:pPr>
              <w:spacing w:after="0"/>
              <w:rPr>
                <w:sz w:val="21"/>
                <w:szCs w:val="21"/>
                <w:color w:val="auto"/>
              </w:rPr>
            </w:pPr>
          </w:p>
        </w:tc>
        <w:tc>
          <w:tcPr>
            <w:tcW w:w="1100" w:type="dxa"/>
            <w:vAlign w:val="bottom"/>
            <w:shd w:val="clear" w:color="auto" w:fill="0067B3"/>
          </w:tcPr>
          <w:p>
            <w:pPr>
              <w:jc w:val="right"/>
              <w:spacing w:after="0"/>
              <w:rPr>
                <w:sz w:val="20"/>
                <w:szCs w:val="20"/>
                <w:color w:val="auto"/>
              </w:rPr>
            </w:pPr>
            <w:r>
              <w:rPr>
                <w:rFonts w:ascii="Arial" w:cs="Arial" w:eastAsia="Arial" w:hAnsi="Arial"/>
                <w:sz w:val="16"/>
                <w:szCs w:val="16"/>
                <w:b w:val="1"/>
                <w:bCs w:val="1"/>
                <w:color w:val="FFFFFF"/>
              </w:rPr>
              <w:t>(b)</w:t>
            </w:r>
          </w:p>
        </w:tc>
        <w:tc>
          <w:tcPr>
            <w:tcW w:w="580" w:type="dxa"/>
            <w:vAlign w:val="bottom"/>
            <w:shd w:val="clear" w:color="auto" w:fill="0067B3"/>
          </w:tcPr>
          <w:p>
            <w:pPr>
              <w:spacing w:after="0"/>
              <w:rPr>
                <w:sz w:val="21"/>
                <w:szCs w:val="21"/>
                <w:color w:val="auto"/>
              </w:rPr>
            </w:pPr>
          </w:p>
        </w:tc>
        <w:tc>
          <w:tcPr>
            <w:tcW w:w="420" w:type="dxa"/>
            <w:vAlign w:val="bottom"/>
            <w:shd w:val="clear" w:color="auto" w:fill="0067B3"/>
          </w:tcPr>
          <w:p>
            <w:pPr>
              <w:spacing w:after="0"/>
              <w:rPr>
                <w:sz w:val="21"/>
                <w:szCs w:val="21"/>
                <w:color w:val="auto"/>
              </w:rPr>
            </w:pPr>
          </w:p>
        </w:tc>
        <w:tc>
          <w:tcPr>
            <w:tcW w:w="1780" w:type="dxa"/>
            <w:vAlign w:val="bottom"/>
            <w:shd w:val="clear" w:color="auto" w:fill="0067B3"/>
          </w:tcPr>
          <w:p>
            <w:pPr>
              <w:jc w:val="right"/>
              <w:ind w:right="517"/>
              <w:spacing w:after="0"/>
              <w:rPr>
                <w:sz w:val="20"/>
                <w:szCs w:val="20"/>
                <w:color w:val="auto"/>
              </w:rPr>
            </w:pPr>
            <w:r>
              <w:rPr>
                <w:rFonts w:ascii="Arial" w:cs="Arial" w:eastAsia="Arial" w:hAnsi="Arial"/>
                <w:sz w:val="16"/>
                <w:szCs w:val="16"/>
                <w:b w:val="1"/>
                <w:bCs w:val="1"/>
                <w:color w:val="FFFFFF"/>
              </w:rPr>
              <w:t>(c)</w:t>
            </w:r>
          </w:p>
        </w:tc>
        <w:tc>
          <w:tcPr>
            <w:tcW w:w="260" w:type="dxa"/>
            <w:vAlign w:val="bottom"/>
            <w:shd w:val="clear" w:color="auto" w:fill="0067B3"/>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0067B3"/>
          </w:tcPr>
          <w:p>
            <w:pPr>
              <w:spacing w:after="0"/>
              <w:rPr>
                <w:sz w:val="19"/>
                <w:szCs w:val="19"/>
                <w:color w:val="auto"/>
              </w:rPr>
            </w:pPr>
          </w:p>
        </w:tc>
        <w:tc>
          <w:tcPr>
            <w:tcW w:w="1940" w:type="dxa"/>
            <w:vAlign w:val="bottom"/>
            <w:shd w:val="clear" w:color="auto" w:fill="0067B3"/>
          </w:tcPr>
          <w:p>
            <w:pPr>
              <w:spacing w:after="0"/>
              <w:rPr>
                <w:sz w:val="19"/>
                <w:szCs w:val="19"/>
                <w:color w:val="auto"/>
              </w:rPr>
            </w:pPr>
          </w:p>
        </w:tc>
        <w:tc>
          <w:tcPr>
            <w:tcW w:w="500" w:type="dxa"/>
            <w:vAlign w:val="bottom"/>
            <w:shd w:val="clear" w:color="auto" w:fill="0067B3"/>
          </w:tcPr>
          <w:p>
            <w:pPr>
              <w:spacing w:after="0"/>
              <w:rPr>
                <w:sz w:val="19"/>
                <w:szCs w:val="19"/>
                <w:color w:val="auto"/>
              </w:rPr>
            </w:pPr>
          </w:p>
        </w:tc>
        <w:tc>
          <w:tcPr>
            <w:tcW w:w="1100" w:type="dxa"/>
            <w:vAlign w:val="bottom"/>
            <w:shd w:val="clear" w:color="auto" w:fill="0067B3"/>
          </w:tcPr>
          <w:p>
            <w:pPr>
              <w:spacing w:after="0"/>
              <w:rPr>
                <w:sz w:val="19"/>
                <w:szCs w:val="19"/>
                <w:color w:val="auto"/>
              </w:rPr>
            </w:pPr>
          </w:p>
        </w:tc>
        <w:tc>
          <w:tcPr>
            <w:tcW w:w="580" w:type="dxa"/>
            <w:vAlign w:val="bottom"/>
            <w:shd w:val="clear" w:color="auto" w:fill="0067B3"/>
          </w:tcPr>
          <w:p>
            <w:pPr>
              <w:spacing w:after="0"/>
              <w:rPr>
                <w:sz w:val="19"/>
                <w:szCs w:val="19"/>
                <w:color w:val="auto"/>
              </w:rPr>
            </w:pPr>
          </w:p>
        </w:tc>
        <w:tc>
          <w:tcPr>
            <w:tcW w:w="420" w:type="dxa"/>
            <w:vAlign w:val="bottom"/>
            <w:shd w:val="clear" w:color="auto" w:fill="0067B3"/>
          </w:tcPr>
          <w:p>
            <w:pPr>
              <w:spacing w:after="0"/>
              <w:rPr>
                <w:sz w:val="19"/>
                <w:szCs w:val="19"/>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Number of Securities</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1940" w:type="dxa"/>
            <w:vAlign w:val="bottom"/>
            <w:shd w:val="clear" w:color="auto" w:fill="0067B3"/>
          </w:tcPr>
          <w:p>
            <w:pPr>
              <w:spacing w:after="0"/>
              <w:rPr>
                <w:sz w:val="16"/>
                <w:szCs w:val="16"/>
                <w:color w:val="auto"/>
              </w:rPr>
            </w:pPr>
          </w:p>
        </w:tc>
        <w:tc>
          <w:tcPr>
            <w:tcW w:w="500" w:type="dxa"/>
            <w:vAlign w:val="bottom"/>
            <w:shd w:val="clear" w:color="auto" w:fill="0067B3"/>
          </w:tcPr>
          <w:p>
            <w:pPr>
              <w:spacing w:after="0"/>
              <w:rPr>
                <w:sz w:val="16"/>
                <w:szCs w:val="16"/>
                <w:color w:val="auto"/>
              </w:rPr>
            </w:pPr>
          </w:p>
        </w:tc>
        <w:tc>
          <w:tcPr>
            <w:tcW w:w="1100" w:type="dxa"/>
            <w:vAlign w:val="bottom"/>
            <w:shd w:val="clear" w:color="auto" w:fill="0067B3"/>
          </w:tcPr>
          <w:p>
            <w:pPr>
              <w:spacing w:after="0"/>
              <w:rPr>
                <w:sz w:val="16"/>
                <w:szCs w:val="16"/>
                <w:color w:val="auto"/>
              </w:rPr>
            </w:pPr>
          </w:p>
        </w:tc>
        <w:tc>
          <w:tcPr>
            <w:tcW w:w="580" w:type="dxa"/>
            <w:vAlign w:val="bottom"/>
            <w:shd w:val="clear" w:color="auto" w:fill="0067B3"/>
          </w:tcPr>
          <w:p>
            <w:pPr>
              <w:spacing w:after="0"/>
              <w:rPr>
                <w:sz w:val="16"/>
                <w:szCs w:val="16"/>
                <w:color w:val="auto"/>
              </w:rPr>
            </w:pPr>
          </w:p>
        </w:tc>
        <w:tc>
          <w:tcPr>
            <w:tcW w:w="420" w:type="dxa"/>
            <w:vAlign w:val="bottom"/>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Remaining Available for</w:t>
            </w:r>
          </w:p>
        </w:tc>
        <w:tc>
          <w:tcPr>
            <w:tcW w:w="0" w:type="dxa"/>
            <w:vAlign w:val="bottom"/>
          </w:tcPr>
          <w:p>
            <w:pPr>
              <w:spacing w:after="0"/>
              <w:rPr>
                <w:sz w:val="1"/>
                <w:szCs w:val="1"/>
                <w:color w:val="auto"/>
              </w:rPr>
            </w:pPr>
          </w:p>
        </w:tc>
      </w:tr>
      <w:tr>
        <w:trPr>
          <w:trHeight w:val="203"/>
        </w:trPr>
        <w:tc>
          <w:tcPr>
            <w:tcW w:w="4660" w:type="dxa"/>
            <w:vAlign w:val="bottom"/>
            <w:shd w:val="clear" w:color="auto" w:fill="0067B3"/>
          </w:tcPr>
          <w:p>
            <w:pPr>
              <w:spacing w:after="0"/>
              <w:rPr>
                <w:sz w:val="17"/>
                <w:szCs w:val="17"/>
                <w:color w:val="auto"/>
              </w:rPr>
            </w:pPr>
          </w:p>
        </w:tc>
        <w:tc>
          <w:tcPr>
            <w:tcW w:w="2440" w:type="dxa"/>
            <w:vAlign w:val="bottom"/>
            <w:gridSpan w:val="2"/>
            <w:vMerge w:val="restart"/>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Number of Securities to</w:t>
            </w:r>
          </w:p>
        </w:tc>
        <w:tc>
          <w:tcPr>
            <w:tcW w:w="2100" w:type="dxa"/>
            <w:vAlign w:val="bottom"/>
            <w:gridSpan w:val="3"/>
            <w:vMerge w:val="restart"/>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Weighted-Average</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Future Issuance Under</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2440" w:type="dxa"/>
            <w:vAlign w:val="bottom"/>
            <w:gridSpan w:val="2"/>
            <w:vMerge w:val="continue"/>
            <w:shd w:val="clear" w:color="auto" w:fill="0067B3"/>
          </w:tcPr>
          <w:p>
            <w:pPr>
              <w:spacing w:after="0"/>
              <w:rPr>
                <w:sz w:val="16"/>
                <w:szCs w:val="16"/>
                <w:color w:val="auto"/>
              </w:rPr>
            </w:pPr>
          </w:p>
        </w:tc>
        <w:tc>
          <w:tcPr>
            <w:tcW w:w="2100" w:type="dxa"/>
            <w:vAlign w:val="bottom"/>
            <w:gridSpan w:val="3"/>
            <w:vMerge w:val="continue"/>
            <w:shd w:val="clear" w:color="auto" w:fill="0067B3"/>
          </w:tcPr>
          <w:p>
            <w:pPr>
              <w:spacing w:after="0"/>
              <w:rPr>
                <w:sz w:val="16"/>
                <w:szCs w:val="16"/>
                <w:color w:val="auto"/>
              </w:rPr>
            </w:pP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189"/>
        </w:trPr>
        <w:tc>
          <w:tcPr>
            <w:tcW w:w="4660" w:type="dxa"/>
            <w:vAlign w:val="bottom"/>
            <w:shd w:val="clear" w:color="auto" w:fill="0067B3"/>
          </w:tcPr>
          <w:p>
            <w:pPr>
              <w:spacing w:after="0"/>
              <w:rPr>
                <w:sz w:val="16"/>
                <w:szCs w:val="16"/>
                <w:color w:val="auto"/>
              </w:rPr>
            </w:pPr>
          </w:p>
        </w:tc>
        <w:tc>
          <w:tcPr>
            <w:tcW w:w="24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be Issued Upon Exercise</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Exercise Price of</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203"/>
        </w:trPr>
        <w:tc>
          <w:tcPr>
            <w:tcW w:w="4660" w:type="dxa"/>
            <w:vAlign w:val="bottom"/>
            <w:shd w:val="clear" w:color="auto" w:fill="0067B3"/>
          </w:tcPr>
          <w:p>
            <w:pPr>
              <w:spacing w:after="0"/>
              <w:rPr>
                <w:sz w:val="17"/>
                <w:szCs w:val="17"/>
                <w:color w:val="auto"/>
              </w:rPr>
            </w:pPr>
          </w:p>
        </w:tc>
        <w:tc>
          <w:tcPr>
            <w:tcW w:w="2440" w:type="dxa"/>
            <w:vAlign w:val="bottom"/>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of Outstanding Options,</w:t>
            </w:r>
          </w:p>
        </w:tc>
        <w:tc>
          <w:tcPr>
            <w:tcW w:w="2100" w:type="dxa"/>
            <w:vAlign w:val="bottom"/>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Outstanding Options,</w:t>
            </w:r>
          </w:p>
        </w:tc>
        <w:tc>
          <w:tcPr>
            <w:tcW w:w="2040" w:type="dxa"/>
            <w:vAlign w:val="bottom"/>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Securities Reflected</w:t>
            </w:r>
          </w:p>
        </w:tc>
        <w:tc>
          <w:tcPr>
            <w:tcW w:w="0" w:type="dxa"/>
            <w:vAlign w:val="bottom"/>
          </w:tcPr>
          <w:p>
            <w:pPr>
              <w:spacing w:after="0"/>
              <w:rPr>
                <w:sz w:val="1"/>
                <w:szCs w:val="1"/>
                <w:color w:val="auto"/>
              </w:rPr>
            </w:pPr>
          </w:p>
        </w:tc>
      </w:tr>
      <w:tr>
        <w:trPr>
          <w:trHeight w:val="226"/>
        </w:trPr>
        <w:tc>
          <w:tcPr>
            <w:tcW w:w="4660" w:type="dxa"/>
            <w:vAlign w:val="bottom"/>
            <w:tcBorders>
              <w:bottom w:val="single" w:sz="8" w:color="auto"/>
            </w:tcBorders>
            <w:shd w:val="clear" w:color="auto" w:fill="0067B3"/>
          </w:tcPr>
          <w:p>
            <w:pPr>
              <w:ind w:left="20"/>
              <w:spacing w:after="0"/>
              <w:rPr>
                <w:sz w:val="20"/>
                <w:szCs w:val="20"/>
                <w:color w:val="auto"/>
              </w:rPr>
            </w:pPr>
            <w:r>
              <w:rPr>
                <w:rFonts w:ascii="Arial" w:cs="Arial" w:eastAsia="Arial" w:hAnsi="Arial"/>
                <w:sz w:val="16"/>
                <w:szCs w:val="16"/>
                <w:b w:val="1"/>
                <w:bCs w:val="1"/>
                <w:color w:val="FFFFFF"/>
              </w:rPr>
              <w:t>Plan Category</w:t>
            </w:r>
          </w:p>
        </w:tc>
        <w:tc>
          <w:tcPr>
            <w:tcW w:w="2440" w:type="dxa"/>
            <w:vAlign w:val="bottom"/>
            <w:tcBorders>
              <w:bottom w:val="single" w:sz="8" w:color="auto"/>
            </w:tcBorders>
            <w:gridSpan w:val="2"/>
            <w:shd w:val="clear" w:color="auto" w:fill="0067B3"/>
          </w:tcPr>
          <w:p>
            <w:pPr>
              <w:jc w:val="right"/>
              <w:ind w:right="202"/>
              <w:spacing w:after="0"/>
              <w:rPr>
                <w:sz w:val="20"/>
                <w:szCs w:val="20"/>
                <w:color w:val="auto"/>
              </w:rPr>
            </w:pPr>
            <w:r>
              <w:rPr>
                <w:rFonts w:ascii="Arial" w:cs="Arial" w:eastAsia="Arial" w:hAnsi="Arial"/>
                <w:sz w:val="16"/>
                <w:szCs w:val="16"/>
                <w:b w:val="1"/>
                <w:bCs w:val="1"/>
                <w:color w:val="FFFFFF"/>
              </w:rPr>
              <w:t>Warrants and Rights</w:t>
            </w:r>
          </w:p>
        </w:tc>
        <w:tc>
          <w:tcPr>
            <w:tcW w:w="2100" w:type="dxa"/>
            <w:vAlign w:val="bottom"/>
            <w:tcBorders>
              <w:bottom w:val="single" w:sz="8" w:color="auto"/>
            </w:tcBorders>
            <w:gridSpan w:val="3"/>
            <w:shd w:val="clear" w:color="auto" w:fill="0067B3"/>
          </w:tcPr>
          <w:p>
            <w:pPr>
              <w:jc w:val="right"/>
              <w:ind w:right="142"/>
              <w:spacing w:after="0"/>
              <w:rPr>
                <w:sz w:val="20"/>
                <w:szCs w:val="20"/>
                <w:color w:val="auto"/>
              </w:rPr>
            </w:pPr>
            <w:r>
              <w:rPr>
                <w:rFonts w:ascii="Arial" w:cs="Arial" w:eastAsia="Arial" w:hAnsi="Arial"/>
                <w:sz w:val="16"/>
                <w:szCs w:val="16"/>
                <w:b w:val="1"/>
                <w:bCs w:val="1"/>
                <w:color w:val="FFFFFF"/>
              </w:rPr>
              <w:t>Warrants and Rights</w:t>
            </w:r>
          </w:p>
        </w:tc>
        <w:tc>
          <w:tcPr>
            <w:tcW w:w="2040" w:type="dxa"/>
            <w:vAlign w:val="bottom"/>
            <w:tcBorders>
              <w:bottom w:val="single" w:sz="8" w:color="auto"/>
            </w:tcBorders>
            <w:gridSpan w:val="2"/>
            <w:shd w:val="clear" w:color="auto" w:fill="0067B3"/>
          </w:tcPr>
          <w:p>
            <w:pPr>
              <w:jc w:val="right"/>
              <w:spacing w:after="0"/>
              <w:rPr>
                <w:sz w:val="20"/>
                <w:szCs w:val="20"/>
                <w:color w:val="auto"/>
              </w:rPr>
            </w:pPr>
            <w:r>
              <w:rPr>
                <w:rFonts w:ascii="Arial" w:cs="Arial" w:eastAsia="Arial" w:hAnsi="Arial"/>
                <w:sz w:val="16"/>
                <w:szCs w:val="16"/>
                <w:b w:val="1"/>
                <w:bCs w:val="1"/>
                <w:color w:val="FFFFFF"/>
              </w:rPr>
              <w:t>in Column (a))</w:t>
            </w:r>
          </w:p>
        </w:tc>
        <w:tc>
          <w:tcPr>
            <w:tcW w:w="0" w:type="dxa"/>
            <w:vAlign w:val="bottom"/>
          </w:tcPr>
          <w:p>
            <w:pPr>
              <w:spacing w:after="0"/>
              <w:rPr>
                <w:sz w:val="1"/>
                <w:szCs w:val="1"/>
                <w:color w:val="auto"/>
              </w:rPr>
            </w:pPr>
          </w:p>
        </w:tc>
      </w:tr>
      <w:tr>
        <w:trPr>
          <w:trHeight w:val="272"/>
        </w:trPr>
        <w:tc>
          <w:tcPr>
            <w:tcW w:w="46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Equity compensation plans approved by shareholders</w:t>
            </w:r>
          </w:p>
        </w:tc>
        <w:tc>
          <w:tcPr>
            <w:tcW w:w="19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6,611,330</w:t>
            </w:r>
          </w:p>
        </w:tc>
        <w:tc>
          <w:tcPr>
            <w:tcW w:w="500" w:type="dxa"/>
            <w:vAlign w:val="bottom"/>
            <w:tcBorders>
              <w:bottom w:val="single" w:sz="8" w:color="E2E6F4"/>
            </w:tcBorders>
            <w:shd w:val="clear" w:color="auto" w:fill="E2E6F4"/>
          </w:tcPr>
          <w:p>
            <w:pPr>
              <w:jc w:val="right"/>
              <w:ind w:right="202"/>
              <w:spacing w:after="0"/>
              <w:rPr>
                <w:sz w:val="20"/>
                <w:szCs w:val="20"/>
                <w:color w:val="auto"/>
              </w:rPr>
            </w:pPr>
            <w:r>
              <w:rPr>
                <w:rFonts w:ascii="Arial" w:cs="Arial" w:eastAsia="Arial" w:hAnsi="Arial"/>
                <w:sz w:val="12"/>
                <w:szCs w:val="12"/>
                <w:color w:val="auto"/>
              </w:rPr>
              <w:t>(1)</w:t>
            </w: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89.13</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21,800,241</w:t>
            </w:r>
          </w:p>
        </w:tc>
        <w:tc>
          <w:tcPr>
            <w:tcW w:w="26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8"/>
        </w:trPr>
        <w:tc>
          <w:tcPr>
            <w:tcW w:w="4660" w:type="dxa"/>
            <w:vAlign w:val="bottom"/>
            <w:tcBorders>
              <w:top w:val="single" w:sz="8" w:color="939598"/>
            </w:tcBorders>
          </w:tcPr>
          <w:p>
            <w:pPr>
              <w:ind w:left="20"/>
              <w:spacing w:after="0"/>
              <w:rPr>
                <w:sz w:val="20"/>
                <w:szCs w:val="20"/>
                <w:color w:val="auto"/>
              </w:rPr>
            </w:pPr>
            <w:r>
              <w:rPr>
                <w:rFonts w:ascii="Arial" w:cs="Arial" w:eastAsia="Arial" w:hAnsi="Arial"/>
                <w:sz w:val="18"/>
                <w:szCs w:val="18"/>
                <w:color w:val="auto"/>
              </w:rPr>
              <w:t>Equity compensation plans not approved by</w:t>
            </w:r>
          </w:p>
        </w:tc>
        <w:tc>
          <w:tcPr>
            <w:tcW w:w="1940" w:type="dxa"/>
            <w:vAlign w:val="bottom"/>
            <w:tcBorders>
              <w:top w:val="single" w:sz="8" w:color="939598"/>
            </w:tcBorders>
          </w:tcPr>
          <w:p>
            <w:pPr>
              <w:spacing w:after="0"/>
              <w:rPr>
                <w:sz w:val="18"/>
                <w:szCs w:val="18"/>
                <w:color w:val="auto"/>
              </w:rPr>
            </w:pPr>
          </w:p>
        </w:tc>
        <w:tc>
          <w:tcPr>
            <w:tcW w:w="500" w:type="dxa"/>
            <w:vAlign w:val="bottom"/>
            <w:tcBorders>
              <w:top w:val="single" w:sz="8" w:color="939598"/>
            </w:tcBorders>
          </w:tcPr>
          <w:p>
            <w:pPr>
              <w:spacing w:after="0"/>
              <w:rPr>
                <w:sz w:val="18"/>
                <w:szCs w:val="18"/>
                <w:color w:val="auto"/>
              </w:rPr>
            </w:pPr>
          </w:p>
        </w:tc>
        <w:tc>
          <w:tcPr>
            <w:tcW w:w="1100" w:type="dxa"/>
            <w:vAlign w:val="bottom"/>
            <w:tcBorders>
              <w:top w:val="single" w:sz="8" w:color="939598"/>
            </w:tcBorders>
          </w:tcPr>
          <w:p>
            <w:pPr>
              <w:spacing w:after="0"/>
              <w:rPr>
                <w:sz w:val="18"/>
                <w:szCs w:val="18"/>
                <w:color w:val="auto"/>
              </w:rPr>
            </w:pPr>
          </w:p>
        </w:tc>
        <w:tc>
          <w:tcPr>
            <w:tcW w:w="580" w:type="dxa"/>
            <w:vAlign w:val="bottom"/>
            <w:tcBorders>
              <w:top w:val="single" w:sz="8" w:color="939598"/>
            </w:tcBorders>
          </w:tcPr>
          <w:p>
            <w:pPr>
              <w:spacing w:after="0"/>
              <w:rPr>
                <w:sz w:val="18"/>
                <w:szCs w:val="18"/>
                <w:color w:val="auto"/>
              </w:rPr>
            </w:pPr>
          </w:p>
        </w:tc>
        <w:tc>
          <w:tcPr>
            <w:tcW w:w="420" w:type="dxa"/>
            <w:vAlign w:val="bottom"/>
            <w:tcBorders>
              <w:top w:val="single" w:sz="8" w:color="939598"/>
            </w:tcBorders>
          </w:tcPr>
          <w:p>
            <w:pPr>
              <w:spacing w:after="0"/>
              <w:rPr>
                <w:sz w:val="18"/>
                <w:szCs w:val="18"/>
                <w:color w:val="auto"/>
              </w:rPr>
            </w:pPr>
          </w:p>
        </w:tc>
        <w:tc>
          <w:tcPr>
            <w:tcW w:w="1780" w:type="dxa"/>
            <w:vAlign w:val="bottom"/>
            <w:tcBorders>
              <w:top w:val="single" w:sz="8" w:color="939598"/>
            </w:tcBorders>
          </w:tcPr>
          <w:p>
            <w:pPr>
              <w:spacing w:after="0"/>
              <w:rPr>
                <w:sz w:val="18"/>
                <w:szCs w:val="18"/>
                <w:color w:val="auto"/>
              </w:rPr>
            </w:pPr>
          </w:p>
        </w:tc>
        <w:tc>
          <w:tcPr>
            <w:tcW w:w="260" w:type="dxa"/>
            <w:vAlign w:val="bottom"/>
            <w:tcBorders>
              <w:top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660" w:type="dxa"/>
            <w:vAlign w:val="bottom"/>
            <w:tcBorders>
              <w:bottom w:val="single" w:sz="8" w:color="939598"/>
            </w:tcBorders>
          </w:tcPr>
          <w:p>
            <w:pPr>
              <w:ind w:left="20"/>
              <w:spacing w:after="0" w:line="262" w:lineRule="exact"/>
              <w:rPr>
                <w:sz w:val="20"/>
                <w:szCs w:val="20"/>
                <w:color w:val="auto"/>
              </w:rPr>
            </w:pPr>
            <w:r>
              <w:rPr>
                <w:rFonts w:ascii="Arial" w:cs="Arial" w:eastAsia="Arial" w:hAnsi="Arial"/>
                <w:sz w:val="18"/>
                <w:szCs w:val="18"/>
                <w:color w:val="auto"/>
              </w:rPr>
              <w:t>shareholders</w:t>
            </w:r>
            <w:r>
              <w:rPr>
                <w:rFonts w:ascii="Arial" w:cs="Arial" w:eastAsia="Arial" w:hAnsi="Arial"/>
                <w:sz w:val="23"/>
                <w:szCs w:val="23"/>
                <w:color w:val="auto"/>
                <w:vertAlign w:val="superscript"/>
              </w:rPr>
              <w:t>(4)</w:t>
            </w:r>
          </w:p>
        </w:tc>
        <w:tc>
          <w:tcPr>
            <w:tcW w:w="194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1,890,389</w:t>
            </w:r>
          </w:p>
        </w:tc>
        <w:tc>
          <w:tcPr>
            <w:tcW w:w="500" w:type="dxa"/>
            <w:vAlign w:val="bottom"/>
            <w:tcBorders>
              <w:bottom w:val="single" w:sz="8" w:color="939598"/>
            </w:tcBorders>
          </w:tcPr>
          <w:p>
            <w:pPr>
              <w:jc w:val="right"/>
              <w:ind w:right="202"/>
              <w:spacing w:after="0"/>
              <w:rPr>
                <w:sz w:val="20"/>
                <w:szCs w:val="20"/>
                <w:color w:val="auto"/>
              </w:rPr>
            </w:pPr>
            <w:r>
              <w:rPr>
                <w:rFonts w:ascii="Arial" w:cs="Arial" w:eastAsia="Arial" w:hAnsi="Arial"/>
                <w:sz w:val="12"/>
                <w:szCs w:val="12"/>
                <w:color w:val="auto"/>
              </w:rPr>
              <w:t>(4)</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939598"/>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tcPr>
          <w:p>
            <w:pPr>
              <w:spacing w:after="0"/>
              <w:rPr>
                <w:sz w:val="22"/>
                <w:szCs w:val="22"/>
                <w:color w:val="auto"/>
              </w:rPr>
            </w:pPr>
          </w:p>
        </w:tc>
        <w:tc>
          <w:tcPr>
            <w:tcW w:w="17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8,711,232</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E2E6F4"/>
            </w:tcBorders>
            <w:shd w:val="clear" w:color="auto" w:fill="E2E6F4"/>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E2E6F4"/>
            </w:tcBorders>
            <w:shd w:val="clear" w:color="auto" w:fill="E2E6F4"/>
          </w:tcPr>
          <w:p>
            <w:pPr>
              <w:jc w:val="right"/>
              <w:ind w:right="16"/>
              <w:spacing w:after="0"/>
              <w:rPr>
                <w:sz w:val="20"/>
                <w:szCs w:val="20"/>
                <w:color w:val="auto"/>
              </w:rPr>
            </w:pPr>
            <w:r>
              <w:rPr>
                <w:rFonts w:ascii="Arial" w:cs="Arial" w:eastAsia="Arial" w:hAnsi="Arial"/>
                <w:sz w:val="18"/>
                <w:szCs w:val="18"/>
                <w:color w:val="auto"/>
              </w:rPr>
              <w:t>8,501,719</w:t>
            </w:r>
          </w:p>
        </w:tc>
        <w:tc>
          <w:tcPr>
            <w:tcW w:w="500" w:type="dxa"/>
            <w:vAlign w:val="bottom"/>
            <w:tcBorders>
              <w:bottom w:val="single" w:sz="8" w:color="E2E6F4"/>
            </w:tcBorders>
            <w:shd w:val="clear" w:color="auto" w:fill="E2E6F4"/>
          </w:tcPr>
          <w:p>
            <w:pPr>
              <w:spacing w:after="0"/>
              <w:rPr>
                <w:sz w:val="21"/>
                <w:szCs w:val="21"/>
                <w:color w:val="auto"/>
              </w:rPr>
            </w:pPr>
          </w:p>
        </w:tc>
        <w:tc>
          <w:tcPr>
            <w:tcW w:w="110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2E6F4"/>
            </w:tcBorders>
            <w:shd w:val="clear" w:color="auto" w:fill="E2E6F4"/>
          </w:tcPr>
          <w:p>
            <w:pPr>
              <w:jc w:val="right"/>
              <w:ind w:right="10"/>
              <w:spacing w:after="0"/>
              <w:rPr>
                <w:sz w:val="20"/>
                <w:szCs w:val="20"/>
                <w:color w:val="auto"/>
              </w:rPr>
            </w:pPr>
            <w:r>
              <w:rPr>
                <w:rFonts w:ascii="Arial" w:cs="Arial" w:eastAsia="Arial" w:hAnsi="Arial"/>
                <w:sz w:val="18"/>
                <w:szCs w:val="18"/>
                <w:color w:val="auto"/>
              </w:rPr>
              <w:t>89.13</w:t>
            </w:r>
          </w:p>
        </w:tc>
        <w:tc>
          <w:tcPr>
            <w:tcW w:w="420" w:type="dxa"/>
            <w:vAlign w:val="bottom"/>
            <w:tcBorders>
              <w:bottom w:val="single" w:sz="8" w:color="E2E6F4"/>
            </w:tcBorders>
            <w:shd w:val="clear" w:color="auto" w:fill="E2E6F4"/>
          </w:tcPr>
          <w:p>
            <w:pPr>
              <w:jc w:val="right"/>
              <w:ind w:right="142"/>
              <w:spacing w:after="0"/>
              <w:rPr>
                <w:sz w:val="20"/>
                <w:szCs w:val="20"/>
                <w:color w:val="auto"/>
              </w:rPr>
            </w:pPr>
            <w:r>
              <w:rPr>
                <w:rFonts w:ascii="Arial" w:cs="Arial" w:eastAsia="Arial" w:hAnsi="Arial"/>
                <w:sz w:val="12"/>
                <w:szCs w:val="12"/>
                <w:color w:val="auto"/>
              </w:rPr>
              <w:t>(2)</w:t>
            </w:r>
          </w:p>
        </w:tc>
        <w:tc>
          <w:tcPr>
            <w:tcW w:w="1780" w:type="dxa"/>
            <w:vAlign w:val="bottom"/>
            <w:tcBorders>
              <w:bottom w:val="single" w:sz="8" w:color="E2E6F4"/>
            </w:tcBorders>
            <w:shd w:val="clear" w:color="auto" w:fill="E2E6F4"/>
          </w:tcPr>
          <w:p>
            <w:pPr>
              <w:jc w:val="right"/>
              <w:spacing w:after="0"/>
              <w:rPr>
                <w:sz w:val="20"/>
                <w:szCs w:val="20"/>
                <w:color w:val="auto"/>
              </w:rPr>
            </w:pPr>
            <w:r>
              <w:rPr>
                <w:rFonts w:ascii="Arial" w:cs="Arial" w:eastAsia="Arial" w:hAnsi="Arial"/>
                <w:sz w:val="18"/>
                <w:szCs w:val="18"/>
                <w:color w:val="auto"/>
              </w:rPr>
              <w:t>30,511,473</w:t>
            </w:r>
          </w:p>
        </w:tc>
        <w:tc>
          <w:tcPr>
            <w:tcW w:w="260" w:type="dxa"/>
            <w:vAlign w:val="bottom"/>
            <w:tcBorders>
              <w:bottom w:val="single" w:sz="8" w:color="E2E6F4"/>
            </w:tcBorders>
            <w:shd w:val="clear" w:color="auto" w:fill="E2E6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67B3"/>
          </w:tcPr>
          <w:p>
            <w:pPr>
              <w:spacing w:after="0" w:line="20" w:lineRule="exact"/>
              <w:rPr>
                <w:sz w:val="1"/>
                <w:szCs w:val="1"/>
                <w:color w:val="auto"/>
              </w:rPr>
            </w:pPr>
          </w:p>
        </w:tc>
        <w:tc>
          <w:tcPr>
            <w:tcW w:w="1940" w:type="dxa"/>
            <w:vAlign w:val="bottom"/>
            <w:shd w:val="clear" w:color="auto" w:fill="0067B3"/>
          </w:tcPr>
          <w:p>
            <w:pPr>
              <w:spacing w:after="0" w:line="20" w:lineRule="exact"/>
              <w:rPr>
                <w:sz w:val="1"/>
                <w:szCs w:val="1"/>
                <w:color w:val="auto"/>
              </w:rPr>
            </w:pPr>
          </w:p>
        </w:tc>
        <w:tc>
          <w:tcPr>
            <w:tcW w:w="500" w:type="dxa"/>
            <w:vAlign w:val="bottom"/>
            <w:shd w:val="clear" w:color="auto" w:fill="0067B3"/>
          </w:tcPr>
          <w:p>
            <w:pPr>
              <w:spacing w:after="0" w:line="20" w:lineRule="exact"/>
              <w:rPr>
                <w:sz w:val="1"/>
                <w:szCs w:val="1"/>
                <w:color w:val="auto"/>
              </w:rPr>
            </w:pPr>
          </w:p>
        </w:tc>
        <w:tc>
          <w:tcPr>
            <w:tcW w:w="1100" w:type="dxa"/>
            <w:vAlign w:val="bottom"/>
            <w:shd w:val="clear" w:color="auto" w:fill="0067B3"/>
          </w:tcPr>
          <w:p>
            <w:pPr>
              <w:spacing w:after="0" w:line="20" w:lineRule="exact"/>
              <w:rPr>
                <w:sz w:val="1"/>
                <w:szCs w:val="1"/>
                <w:color w:val="auto"/>
              </w:rPr>
            </w:pPr>
          </w:p>
        </w:tc>
        <w:tc>
          <w:tcPr>
            <w:tcW w:w="580" w:type="dxa"/>
            <w:vAlign w:val="bottom"/>
            <w:shd w:val="clear" w:color="auto" w:fill="0067B3"/>
          </w:tcPr>
          <w:p>
            <w:pPr>
              <w:spacing w:after="0" w:line="20" w:lineRule="exact"/>
              <w:rPr>
                <w:sz w:val="1"/>
                <w:szCs w:val="1"/>
                <w:color w:val="auto"/>
              </w:rPr>
            </w:pPr>
          </w:p>
        </w:tc>
        <w:tc>
          <w:tcPr>
            <w:tcW w:w="420" w:type="dxa"/>
            <w:vAlign w:val="bottom"/>
            <w:shd w:val="clear" w:color="auto" w:fill="0067B3"/>
          </w:tcPr>
          <w:p>
            <w:pPr>
              <w:spacing w:after="0" w:line="20" w:lineRule="exact"/>
              <w:rPr>
                <w:sz w:val="1"/>
                <w:szCs w:val="1"/>
                <w:color w:val="auto"/>
              </w:rPr>
            </w:pPr>
          </w:p>
        </w:tc>
        <w:tc>
          <w:tcPr>
            <w:tcW w:w="1780" w:type="dxa"/>
            <w:vAlign w:val="bottom"/>
            <w:shd w:val="clear" w:color="auto" w:fill="0067B3"/>
          </w:tcPr>
          <w:p>
            <w:pPr>
              <w:spacing w:after="0" w:line="20" w:lineRule="exact"/>
              <w:rPr>
                <w:sz w:val="1"/>
                <w:szCs w:val="1"/>
                <w:color w:val="auto"/>
              </w:rPr>
            </w:pPr>
          </w:p>
        </w:tc>
        <w:tc>
          <w:tcPr>
            <w:tcW w:w="260" w:type="dxa"/>
            <w:vAlign w:val="bottom"/>
            <w:shd w:val="clear" w:color="auto" w:fill="0067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-1593850</wp:posOffset>
            </wp:positionV>
            <wp:extent cx="41833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68" w:lineRule="exact"/>
        <w:rPr>
          <w:sz w:val="20"/>
          <w:szCs w:val="20"/>
          <w:color w:val="auto"/>
        </w:rPr>
      </w:pPr>
    </w:p>
    <w:p>
      <w:pPr>
        <w:ind w:left="200" w:right="40" w:hanging="192"/>
        <w:spacing w:after="0" w:line="235" w:lineRule="auto"/>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Includes 178,130 RSUs under our 2006 Plan that were outstanding on October 29, 2022 and 3,239,674 RSUs under our 2020 Plan that were outstanding on October 29, 2022.</w:t>
      </w:r>
    </w:p>
    <w:p>
      <w:pPr>
        <w:spacing w:after="0" w:line="15" w:lineRule="exact"/>
        <w:rPr>
          <w:rFonts w:ascii="Arial" w:cs="Arial" w:eastAsia="Arial" w:hAnsi="Arial"/>
          <w:sz w:val="21"/>
          <w:szCs w:val="21"/>
          <w:color w:val="auto"/>
          <w:vertAlign w:val="superscript"/>
        </w:rPr>
      </w:pPr>
    </w:p>
    <w:p>
      <w:pPr>
        <w:ind w:left="220" w:hanging="212"/>
        <w:spacing w:after="0"/>
        <w:tabs>
          <w:tab w:leader="none" w:pos="220"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70" w:lineRule="exact"/>
        <w:rPr>
          <w:rFonts w:ascii="Arial" w:cs="Arial" w:eastAsia="Arial" w:hAnsi="Arial"/>
          <w:sz w:val="21"/>
          <w:szCs w:val="21"/>
          <w:color w:val="auto"/>
          <w:vertAlign w:val="superscript"/>
        </w:rPr>
      </w:pPr>
    </w:p>
    <w:p>
      <w:pPr>
        <w:ind w:left="200" w:right="40" w:hanging="192"/>
        <w:spacing w:after="0" w:line="245" w:lineRule="auto"/>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Plan and the 2010 Plan that remained available for grant under such plan immediately prior to the date that the 2020 Plan was approved by our shareholders and (y) the number of shares of common stock subject to awards granted under the 2006 Plan and the 2010 Plan, which awards expire, terminate or are otherwise surrendered, cancelled, forfeited or repurchased by us at their original issuance price pursuant to a contractual repurchase right. Includes 5,000,000 shares remaining available for future issuance under the ESPP. Does not include purchase rights accruing under the ESPP as of October 29, 2022, since the purchase rights (and therefore the number shares to be purchased) were not determinable until the end of the purchase period.</w:t>
      </w:r>
    </w:p>
    <w:p>
      <w:pPr>
        <w:spacing w:after="0" w:line="43" w:lineRule="exact"/>
        <w:rPr>
          <w:rFonts w:ascii="Arial" w:cs="Arial" w:eastAsia="Arial" w:hAnsi="Arial"/>
          <w:sz w:val="21"/>
          <w:szCs w:val="21"/>
          <w:color w:val="auto"/>
          <w:vertAlign w:val="superscript"/>
        </w:rPr>
      </w:pPr>
    </w:p>
    <w:p>
      <w:pPr>
        <w:ind w:left="200" w:right="80" w:hanging="192"/>
        <w:spacing w:after="0" w:line="246" w:lineRule="auto"/>
        <w:tabs>
          <w:tab w:leader="none" w:pos="215" w:val="left"/>
        </w:tabs>
        <w:numPr>
          <w:ilvl w:val="0"/>
          <w:numId w:val="119"/>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Linear Technology in March 2017, we assumed the 2010 Plan and issued approximately 2.1 million RSU and RSA awards under the 2010 Plan in replacement of outstanding and unvested Linear Technology equity awards under such plan. The 2010 Plan expired by its terms on September 15, 2020, but awards outstanding under the 2010 Plan will remain in effect. In connection with the acquisition of Maxim in August 2021, we assumed the 1996 Plan. Awards granted by Maxim under the 1996 Plan based on shares of Maxim common stock converted to awards based on shares of ADI common stock upon consummation of the acquisition based on an exchange ratio set forth in the merger agreement.</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our 1996 Plan, which we assumed as part of our acquisition of Maxim, we may grant options to purchase shares of our common stock, restricted stock awards, and restricted stock units to legacy Maxim employees or new employees hired after the completion of the Maxim acquisition. All stock options granted under the 1996 Plan will have a maximum term of ten years, and for employees, will generally vest in four equal installments on each of the first, second, third and fourth anniversaries of the date of grant, subject to accelerated vesting upon death or disability. The 1996 Plan does not permit us to grant options at exercise prices that are below the fair market value of our common stock on the date of grant. Generally, RSUs granted to employees under the 1996 Plan vest in four equal installments on each of the first, second, third and fourth anniversaries of the date of grant, subject to accelerated vesting upon death. The 1996 Plan also contains provisions addressing the consequences of a reorganization event or change in control, which may result in full or partial accelerated vesting of awards on or after the reorganization event or change in control. The 1996 Plan will terminate on August 11, 2024 unless it is terminated sooner by our Board of Directors.</w:t>
      </w:r>
    </w:p>
    <w:p>
      <w:pPr>
        <w:spacing w:after="0" w:line="343"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87</w:t>
      </w:r>
    </w:p>
    <w:p>
      <w:pPr>
        <w:sectPr>
          <w:pgSz w:w="11900" w:h="16838" w:orient="portrait"/>
          <w:cols w:equalWidth="0" w:num="1">
            <w:col w:w="11240"/>
          </w:cols>
          <w:pgMar w:left="320" w:top="1356" w:right="339" w:bottom="1440" w:gutter="0" w:footer="0" w:header="0"/>
        </w:sectPr>
      </w:pPr>
    </w:p>
    <w:bookmarkStart w:id="97" w:name="page98"/>
    <w:bookmarkEnd w:id="97"/>
    <w:p>
      <w:pPr>
        <w:spacing w:after="0"/>
        <w:rPr>
          <w:sz w:val="20"/>
          <w:szCs w:val="20"/>
          <w:color w:val="auto"/>
        </w:rPr>
      </w:pPr>
      <w:r>
        <w:rPr>
          <w:rFonts w:ascii="Arial" w:cs="Arial" w:eastAsia="Arial" w:hAnsi="Arial"/>
          <w:sz w:val="58"/>
          <w:szCs w:val="58"/>
          <w:color w:val="auto"/>
        </w:rPr>
        <w:t>Q&amp;A About Annual Meeting and Voting</w:t>
      </w:r>
    </w:p>
    <w:p>
      <w:pPr>
        <w:spacing w:after="0" w:line="200" w:lineRule="exact"/>
        <w:rPr>
          <w:sz w:val="20"/>
          <w:szCs w:val="20"/>
          <w:color w:val="auto"/>
        </w:rPr>
      </w:pPr>
    </w:p>
    <w:p>
      <w:pPr>
        <w:spacing w:after="0" w:line="301" w:lineRule="exact"/>
        <w:rPr>
          <w:sz w:val="20"/>
          <w:szCs w:val="20"/>
          <w:color w:val="auto"/>
        </w:rPr>
      </w:pPr>
    </w:p>
    <w:p>
      <w:pPr>
        <w:ind w:left="400" w:hanging="392"/>
        <w:spacing w:after="0"/>
        <w:tabs>
          <w:tab w:leader="none" w:pos="400" w:val="left"/>
        </w:tabs>
        <w:numPr>
          <w:ilvl w:val="0"/>
          <w:numId w:val="120"/>
        </w:numPr>
        <w:rPr>
          <w:rFonts w:ascii="Arial" w:cs="Arial" w:eastAsia="Arial" w:hAnsi="Arial"/>
          <w:sz w:val="18"/>
          <w:szCs w:val="18"/>
          <w:b w:val="1"/>
          <w:bCs w:val="1"/>
          <w:color w:val="0067B3"/>
        </w:rPr>
      </w:pPr>
      <w:r>
        <w:rPr>
          <w:rFonts w:ascii="Arial" w:cs="Arial" w:eastAsia="Arial" w:hAnsi="Arial"/>
          <w:sz w:val="18"/>
          <w:szCs w:val="18"/>
          <w:b w:val="1"/>
          <w:bCs w:val="1"/>
          <w:color w:val="0067B3"/>
        </w:rPr>
        <w:t>What is the purpose of the Annual Meeting?</w:t>
      </w:r>
    </w:p>
    <w:p>
      <w:pPr>
        <w:spacing w:after="0" w:line="117" w:lineRule="exact"/>
        <w:rPr>
          <w:sz w:val="20"/>
          <w:szCs w:val="20"/>
          <w:color w:val="auto"/>
        </w:rPr>
      </w:pPr>
    </w:p>
    <w:p>
      <w:pPr>
        <w:ind w:left="380" w:hanging="372"/>
        <w:spacing w:after="0"/>
        <w:tabs>
          <w:tab w:leader="none" w:pos="380" w:val="left"/>
        </w:tabs>
        <w:numPr>
          <w:ilvl w:val="0"/>
          <w:numId w:val="121"/>
        </w:numPr>
        <w:rPr>
          <w:rFonts w:ascii="Arial" w:cs="Arial" w:eastAsia="Arial" w:hAnsi="Arial"/>
          <w:sz w:val="18"/>
          <w:szCs w:val="18"/>
          <w:b w:val="1"/>
          <w:bCs w:val="1"/>
          <w:color w:val="0067B3"/>
        </w:rPr>
      </w:pPr>
      <w:r>
        <w:rPr>
          <w:rFonts w:ascii="Arial" w:cs="Arial" w:eastAsia="Arial" w:hAnsi="Arial"/>
          <w:sz w:val="18"/>
          <w:szCs w:val="18"/>
          <w:color w:val="auto"/>
        </w:rPr>
        <w:t>At the Annual Meeting, shareholders will consider and vote on the following matters:</w:t>
      </w:r>
    </w:p>
    <w:p>
      <w:pPr>
        <w:spacing w:after="0" w:line="117" w:lineRule="exact"/>
        <w:rPr>
          <w:rFonts w:ascii="Arial" w:cs="Arial" w:eastAsia="Arial" w:hAnsi="Arial"/>
          <w:sz w:val="18"/>
          <w:szCs w:val="18"/>
          <w:b w:val="1"/>
          <w:bCs w:val="1"/>
          <w:color w:val="0067B3"/>
        </w:rPr>
      </w:pPr>
    </w:p>
    <w:p>
      <w:pPr>
        <w:ind w:left="520" w:right="160" w:hanging="253"/>
        <w:spacing w:after="0" w:line="287" w:lineRule="auto"/>
        <w:tabs>
          <w:tab w:leader="none" w:pos="546" w:val="left"/>
        </w:tabs>
        <w:numPr>
          <w:ilvl w:val="1"/>
          <w:numId w:val="121"/>
        </w:numPr>
        <w:rPr>
          <w:rFonts w:ascii="Arial" w:cs="Arial" w:eastAsia="Arial" w:hAnsi="Arial"/>
          <w:sz w:val="18"/>
          <w:szCs w:val="18"/>
          <w:b w:val="1"/>
          <w:bCs w:val="1"/>
          <w:color w:val="0067B3"/>
        </w:rPr>
      </w:pPr>
      <w:r>
        <w:rPr>
          <w:rFonts w:ascii="Arial" w:cs="Arial" w:eastAsia="Arial" w:hAnsi="Arial"/>
          <w:sz w:val="18"/>
          <w:szCs w:val="18"/>
          <w:color w:val="auto"/>
        </w:rPr>
        <w:t>The election of the 11 nominees named in this Proxy Statement to our Board of Directors, each for a term expiring at the next annual meeting of shareholders.</w:t>
      </w:r>
    </w:p>
    <w:p>
      <w:pPr>
        <w:spacing w:after="0" w:line="17" w:lineRule="exact"/>
        <w:rPr>
          <w:rFonts w:ascii="Arial" w:cs="Arial" w:eastAsia="Arial" w:hAnsi="Arial"/>
          <w:sz w:val="18"/>
          <w:szCs w:val="18"/>
          <w:b w:val="1"/>
          <w:bCs w:val="1"/>
          <w:color w:val="0067B3"/>
        </w:rPr>
      </w:pPr>
    </w:p>
    <w:p>
      <w:pPr>
        <w:ind w:left="520" w:right="60" w:hanging="253"/>
        <w:spacing w:after="0" w:line="287" w:lineRule="auto"/>
        <w:tabs>
          <w:tab w:leader="none" w:pos="546" w:val="left"/>
        </w:tabs>
        <w:numPr>
          <w:ilvl w:val="1"/>
          <w:numId w:val="121"/>
        </w:numPr>
        <w:rPr>
          <w:rFonts w:ascii="Arial" w:cs="Arial" w:eastAsia="Arial" w:hAnsi="Arial"/>
          <w:sz w:val="18"/>
          <w:szCs w:val="18"/>
          <w:b w:val="1"/>
          <w:bCs w:val="1"/>
          <w:color w:val="0067B3"/>
        </w:rPr>
      </w:pPr>
      <w:r>
        <w:rPr>
          <w:rFonts w:ascii="Arial" w:cs="Arial" w:eastAsia="Arial" w:hAnsi="Arial"/>
          <w:sz w:val="18"/>
          <w:szCs w:val="18"/>
          <w:color w:val="auto"/>
        </w:rPr>
        <w:t xml:space="preserve">The approval, by non-binding “say-on-pay” vote, of the compensation of our NEOs, 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executive compensation tables and accompanying narrative disclosures in this proxy statement.</w:t>
      </w:r>
    </w:p>
    <w:p>
      <w:pPr>
        <w:spacing w:after="0" w:line="4" w:lineRule="exact"/>
        <w:rPr>
          <w:rFonts w:ascii="Arial" w:cs="Arial" w:eastAsia="Arial" w:hAnsi="Arial"/>
          <w:sz w:val="18"/>
          <w:szCs w:val="18"/>
          <w:b w:val="1"/>
          <w:bCs w:val="1"/>
          <w:color w:val="0067B3"/>
        </w:rPr>
      </w:pPr>
    </w:p>
    <w:p>
      <w:pPr>
        <w:ind w:left="520" w:right="320" w:hanging="253"/>
        <w:spacing w:after="0" w:line="287" w:lineRule="auto"/>
        <w:tabs>
          <w:tab w:leader="none" w:pos="546" w:val="left"/>
        </w:tabs>
        <w:numPr>
          <w:ilvl w:val="1"/>
          <w:numId w:val="121"/>
        </w:numPr>
        <w:rPr>
          <w:rFonts w:ascii="Arial" w:cs="Arial" w:eastAsia="Arial" w:hAnsi="Arial"/>
          <w:sz w:val="18"/>
          <w:szCs w:val="18"/>
          <w:b w:val="1"/>
          <w:bCs w:val="1"/>
          <w:color w:val="0067B3"/>
        </w:rPr>
      </w:pPr>
      <w:r>
        <w:rPr>
          <w:rFonts w:ascii="Arial" w:cs="Arial" w:eastAsia="Arial" w:hAnsi="Arial"/>
          <w:sz w:val="18"/>
          <w:szCs w:val="18"/>
          <w:color w:val="auto"/>
        </w:rPr>
        <w:t>The approval, by non-binding “say-on-frequency” vote regarding the frequency of future advisory votes on the compensation of our NEOs.</w:t>
      </w:r>
    </w:p>
    <w:p>
      <w:pPr>
        <w:spacing w:after="0" w:line="4" w:lineRule="exact"/>
        <w:rPr>
          <w:rFonts w:ascii="Arial" w:cs="Arial" w:eastAsia="Arial" w:hAnsi="Arial"/>
          <w:sz w:val="18"/>
          <w:szCs w:val="18"/>
          <w:b w:val="1"/>
          <w:bCs w:val="1"/>
          <w:color w:val="0067B3"/>
        </w:rPr>
      </w:pPr>
    </w:p>
    <w:p>
      <w:pPr>
        <w:ind w:left="520" w:right="240" w:hanging="253"/>
        <w:spacing w:after="0" w:line="287" w:lineRule="auto"/>
        <w:tabs>
          <w:tab w:leader="none" w:pos="546" w:val="left"/>
        </w:tabs>
        <w:numPr>
          <w:ilvl w:val="1"/>
          <w:numId w:val="121"/>
        </w:numPr>
        <w:rPr>
          <w:rFonts w:ascii="Arial" w:cs="Arial" w:eastAsia="Arial" w:hAnsi="Arial"/>
          <w:sz w:val="18"/>
          <w:szCs w:val="18"/>
          <w:b w:val="1"/>
          <w:bCs w:val="1"/>
          <w:color w:val="0067B3"/>
        </w:rPr>
      </w:pPr>
      <w:r>
        <w:rPr>
          <w:rFonts w:ascii="Arial" w:cs="Arial" w:eastAsia="Arial" w:hAnsi="Arial"/>
          <w:sz w:val="18"/>
          <w:szCs w:val="18"/>
          <w:color w:val="auto"/>
        </w:rPr>
        <w:t>The ratification of the selection of Ernst &amp; Young LLP as our independent registered public accounting firm for the fiscal year ending October 28, 2023.</w:t>
      </w:r>
    </w:p>
    <w:p>
      <w:pPr>
        <w:spacing w:after="0" w:line="45" w:lineRule="exact"/>
        <w:rPr>
          <w:sz w:val="20"/>
          <w:szCs w:val="20"/>
          <w:color w:val="auto"/>
        </w:rPr>
      </w:pPr>
    </w:p>
    <w:p>
      <w:pPr>
        <w:ind w:left="520" w:right="160"/>
        <w:spacing w:after="0" w:line="287"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45" w:lineRule="exact"/>
        <w:rPr>
          <w:sz w:val="20"/>
          <w:szCs w:val="20"/>
          <w:color w:val="auto"/>
        </w:rPr>
      </w:pPr>
    </w:p>
    <w:p>
      <w:pPr>
        <w:ind w:left="400" w:hanging="392"/>
        <w:spacing w:after="0"/>
        <w:tabs>
          <w:tab w:leader="none" w:pos="400" w:val="left"/>
        </w:tabs>
        <w:numPr>
          <w:ilvl w:val="0"/>
          <w:numId w:val="122"/>
        </w:numPr>
        <w:rPr>
          <w:rFonts w:ascii="Arial" w:cs="Arial" w:eastAsia="Arial" w:hAnsi="Arial"/>
          <w:sz w:val="18"/>
          <w:szCs w:val="18"/>
          <w:b w:val="1"/>
          <w:bCs w:val="1"/>
          <w:color w:val="0067B3"/>
        </w:rPr>
      </w:pPr>
      <w:r>
        <w:rPr>
          <w:rFonts w:ascii="Arial" w:cs="Arial" w:eastAsia="Arial" w:hAnsi="Arial"/>
          <w:sz w:val="18"/>
          <w:szCs w:val="18"/>
          <w:b w:val="1"/>
          <w:bCs w:val="1"/>
          <w:color w:val="0067B3"/>
        </w:rPr>
        <w:t>Who can vote?</w:t>
      </w:r>
    </w:p>
    <w:p>
      <w:pPr>
        <w:spacing w:after="0" w:line="117" w:lineRule="exact"/>
        <w:rPr>
          <w:sz w:val="20"/>
          <w:szCs w:val="20"/>
          <w:color w:val="auto"/>
        </w:rPr>
      </w:pPr>
    </w:p>
    <w:p>
      <w:pPr>
        <w:ind w:left="260" w:right="80" w:hanging="252"/>
        <w:spacing w:after="0" w:line="262" w:lineRule="auto"/>
        <w:tabs>
          <w:tab w:leader="none" w:pos="388" w:val="left"/>
        </w:tabs>
        <w:numPr>
          <w:ilvl w:val="0"/>
          <w:numId w:val="123"/>
        </w:numPr>
        <w:rPr>
          <w:rFonts w:ascii="Arial" w:cs="Arial" w:eastAsia="Arial" w:hAnsi="Arial"/>
          <w:sz w:val="18"/>
          <w:szCs w:val="18"/>
          <w:b w:val="1"/>
          <w:bCs w:val="1"/>
          <w:color w:val="0067B3"/>
        </w:rPr>
      </w:pPr>
      <w:r>
        <w:rPr>
          <w:rFonts w:ascii="Arial" w:cs="Arial" w:eastAsia="Arial" w:hAnsi="Arial"/>
          <w:sz w:val="18"/>
          <w:szCs w:val="18"/>
          <w:color w:val="auto"/>
        </w:rPr>
        <w:t>To be able to vote, you must have been an ADI shareholder of record at the close of business on January 3, 2023. This date is the record date for the Annual Meeting. The number of shares entitled to vote on each proposal at the Annual Meeting is 506,855,694 shares of our common stock, which includes 506,807,475 shares of our common stock outstanding on the record date and 48,219 shares of issued restricted stock.</w:t>
      </w:r>
    </w:p>
    <w:p>
      <w:pPr>
        <w:spacing w:after="0" w:line="68" w:lineRule="exact"/>
        <w:rPr>
          <w:sz w:val="20"/>
          <w:szCs w:val="20"/>
          <w:color w:val="auto"/>
        </w:rPr>
      </w:pPr>
    </w:p>
    <w:p>
      <w:pPr>
        <w:ind w:left="400" w:hanging="392"/>
        <w:spacing w:after="0"/>
        <w:tabs>
          <w:tab w:leader="none" w:pos="400" w:val="left"/>
        </w:tabs>
        <w:numPr>
          <w:ilvl w:val="0"/>
          <w:numId w:val="124"/>
        </w:numPr>
        <w:rPr>
          <w:rFonts w:ascii="Arial" w:cs="Arial" w:eastAsia="Arial" w:hAnsi="Arial"/>
          <w:sz w:val="18"/>
          <w:szCs w:val="18"/>
          <w:b w:val="1"/>
          <w:bCs w:val="1"/>
          <w:color w:val="0067B3"/>
        </w:rPr>
      </w:pPr>
      <w:r>
        <w:rPr>
          <w:rFonts w:ascii="Arial" w:cs="Arial" w:eastAsia="Arial" w:hAnsi="Arial"/>
          <w:sz w:val="18"/>
          <w:szCs w:val="18"/>
          <w:b w:val="1"/>
          <w:bCs w:val="1"/>
          <w:color w:val="0067B3"/>
        </w:rPr>
        <w:t>How many votes do I have?</w:t>
      </w:r>
    </w:p>
    <w:p>
      <w:pPr>
        <w:spacing w:after="0" w:line="117" w:lineRule="exact"/>
        <w:rPr>
          <w:sz w:val="20"/>
          <w:szCs w:val="20"/>
          <w:color w:val="auto"/>
        </w:rPr>
      </w:pPr>
    </w:p>
    <w:p>
      <w:pPr>
        <w:ind w:left="400" w:hanging="392"/>
        <w:spacing w:after="0"/>
        <w:tabs>
          <w:tab w:leader="none" w:pos="400" w:val="left"/>
        </w:tabs>
        <w:numPr>
          <w:ilvl w:val="0"/>
          <w:numId w:val="125"/>
        </w:numPr>
        <w:rPr>
          <w:rFonts w:ascii="Arial" w:cs="Arial" w:eastAsia="Arial" w:hAnsi="Arial"/>
          <w:sz w:val="18"/>
          <w:szCs w:val="18"/>
          <w:b w:val="1"/>
          <w:bCs w:val="1"/>
          <w:color w:val="0067B3"/>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117" w:lineRule="exact"/>
        <w:rPr>
          <w:sz w:val="20"/>
          <w:szCs w:val="20"/>
          <w:color w:val="auto"/>
        </w:rPr>
      </w:pPr>
    </w:p>
    <w:p>
      <w:pPr>
        <w:ind w:left="400" w:hanging="392"/>
        <w:spacing w:after="0"/>
        <w:tabs>
          <w:tab w:leader="none" w:pos="400" w:val="left"/>
        </w:tabs>
        <w:numPr>
          <w:ilvl w:val="0"/>
          <w:numId w:val="126"/>
        </w:numPr>
        <w:rPr>
          <w:rFonts w:ascii="Arial" w:cs="Arial" w:eastAsia="Arial" w:hAnsi="Arial"/>
          <w:sz w:val="18"/>
          <w:szCs w:val="18"/>
          <w:b w:val="1"/>
          <w:bCs w:val="1"/>
          <w:color w:val="0067B3"/>
        </w:rPr>
      </w:pPr>
      <w:r>
        <w:rPr>
          <w:rFonts w:ascii="Arial" w:cs="Arial" w:eastAsia="Arial" w:hAnsi="Arial"/>
          <w:sz w:val="18"/>
          <w:szCs w:val="18"/>
          <w:b w:val="1"/>
          <w:bCs w:val="1"/>
          <w:color w:val="0067B3"/>
        </w:rPr>
        <w:t>Is my vote important?</w:t>
      </w:r>
    </w:p>
    <w:p>
      <w:pPr>
        <w:spacing w:after="0" w:line="117" w:lineRule="exact"/>
        <w:rPr>
          <w:sz w:val="20"/>
          <w:szCs w:val="20"/>
          <w:color w:val="auto"/>
        </w:rPr>
      </w:pPr>
    </w:p>
    <w:p>
      <w:pPr>
        <w:ind w:left="260" w:right="200" w:hanging="252"/>
        <w:spacing w:after="0" w:line="287" w:lineRule="auto"/>
        <w:tabs>
          <w:tab w:leader="none" w:pos="388" w:val="left"/>
        </w:tabs>
        <w:numPr>
          <w:ilvl w:val="0"/>
          <w:numId w:val="127"/>
        </w:numPr>
        <w:rPr>
          <w:rFonts w:ascii="Arial" w:cs="Arial" w:eastAsia="Arial" w:hAnsi="Arial"/>
          <w:sz w:val="18"/>
          <w:szCs w:val="18"/>
          <w:b w:val="1"/>
          <w:bCs w:val="1"/>
          <w:color w:val="0067B3"/>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45"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 I vote?</w:t>
      </w:r>
    </w:p>
    <w:p>
      <w:pPr>
        <w:spacing w:after="0" w:line="117" w:lineRule="exact"/>
        <w:rPr>
          <w:sz w:val="20"/>
          <w:szCs w:val="20"/>
          <w:color w:val="auto"/>
        </w:rPr>
      </w:pPr>
    </w:p>
    <w:p>
      <w:pPr>
        <w:ind w:left="260" w:right="340" w:hanging="252"/>
        <w:spacing w:after="0" w:line="287" w:lineRule="auto"/>
        <w:tabs>
          <w:tab w:leader="none" w:pos="391" w:val="left"/>
        </w:tabs>
        <w:numPr>
          <w:ilvl w:val="0"/>
          <w:numId w:val="129"/>
        </w:numPr>
        <w:rPr>
          <w:rFonts w:ascii="Arial" w:cs="Arial" w:eastAsia="Arial" w:hAnsi="Arial"/>
          <w:sz w:val="18"/>
          <w:szCs w:val="18"/>
          <w:b w:val="1"/>
          <w:bCs w:val="1"/>
          <w:color w:val="0067B3"/>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44" w:lineRule="exact"/>
        <w:rPr>
          <w:rFonts w:ascii="Arial" w:cs="Arial" w:eastAsia="Arial" w:hAnsi="Arial"/>
          <w:sz w:val="18"/>
          <w:szCs w:val="18"/>
          <w:b w:val="1"/>
          <w:bCs w:val="1"/>
          <w:color w:val="0067B3"/>
        </w:rPr>
      </w:pPr>
    </w:p>
    <w:p>
      <w:pPr>
        <w:ind w:left="520" w:right="180" w:hanging="253"/>
        <w:spacing w:after="0" w:line="268" w:lineRule="auto"/>
        <w:tabs>
          <w:tab w:leader="none" w:pos="546" w:val="left"/>
        </w:tabs>
        <w:numPr>
          <w:ilvl w:val="1"/>
          <w:numId w:val="129"/>
        </w:numPr>
        <w:rPr>
          <w:rFonts w:ascii="Arial" w:cs="Arial" w:eastAsia="Arial" w:hAnsi="Arial"/>
          <w:sz w:val="18"/>
          <w:szCs w:val="18"/>
          <w:b w:val="1"/>
          <w:bCs w:val="1"/>
          <w:color w:val="0067B3"/>
        </w:rPr>
      </w:pPr>
      <w:r>
        <w:rPr>
          <w:rFonts w:ascii="Arial" w:cs="Arial" w:eastAsia="Arial" w:hAnsi="Arial"/>
          <w:sz w:val="18"/>
          <w:szCs w:val="18"/>
          <w:color w:val="auto"/>
        </w:rPr>
        <w:t>You may vote over the Internet. If you have Internet access, you may vote your shares from any location in the world by going to proxyvote.com and following the Internet voting instructions on the Notice of Internet Availability of Proxy Materials or the proxy card. Proxies submitted via the Internet must be received by 11:59 p.m. Eastern Time on March 7, 2023.</w:t>
      </w:r>
    </w:p>
    <w:p>
      <w:pPr>
        <w:spacing w:after="0" w:line="35" w:lineRule="exact"/>
        <w:rPr>
          <w:rFonts w:ascii="Arial" w:cs="Arial" w:eastAsia="Arial" w:hAnsi="Arial"/>
          <w:sz w:val="18"/>
          <w:szCs w:val="18"/>
          <w:b w:val="1"/>
          <w:bCs w:val="1"/>
          <w:color w:val="0067B3"/>
        </w:rPr>
      </w:pPr>
    </w:p>
    <w:p>
      <w:pPr>
        <w:ind w:left="520" w:right="20" w:hanging="253"/>
        <w:spacing w:after="0" w:line="268" w:lineRule="auto"/>
        <w:tabs>
          <w:tab w:leader="none" w:pos="546" w:val="left"/>
        </w:tabs>
        <w:numPr>
          <w:ilvl w:val="1"/>
          <w:numId w:val="129"/>
        </w:numPr>
        <w:rPr>
          <w:rFonts w:ascii="Arial" w:cs="Arial" w:eastAsia="Arial" w:hAnsi="Arial"/>
          <w:sz w:val="18"/>
          <w:szCs w:val="18"/>
          <w:b w:val="1"/>
          <w:bCs w:val="1"/>
          <w:color w:val="0067B3"/>
        </w:rPr>
      </w:pPr>
      <w:r>
        <w:rPr>
          <w:rFonts w:ascii="Arial" w:cs="Arial" w:eastAsia="Arial" w:hAnsi="Arial"/>
          <w:sz w:val="18"/>
          <w:szCs w:val="18"/>
          <w:color w:val="auto"/>
        </w:rPr>
        <w:t>You may vote by telephone. You may vote your shares by calling 1-800-690-6903 toll-free within the United States, U.S. territories and Canada and following the instructions provided by the recorded message. Proxies submitted via telephone must be received by 11:59 p.m. Eastern Time, on March 7, 2023.</w:t>
      </w:r>
    </w:p>
    <w:p>
      <w:pPr>
        <w:spacing w:after="0" w:line="22" w:lineRule="exact"/>
        <w:rPr>
          <w:rFonts w:ascii="Arial" w:cs="Arial" w:eastAsia="Arial" w:hAnsi="Arial"/>
          <w:sz w:val="18"/>
          <w:szCs w:val="18"/>
          <w:b w:val="1"/>
          <w:bCs w:val="1"/>
          <w:color w:val="0067B3"/>
        </w:rPr>
      </w:pPr>
    </w:p>
    <w:p>
      <w:pPr>
        <w:ind w:left="520" w:hanging="253"/>
        <w:spacing w:after="0" w:line="257" w:lineRule="auto"/>
        <w:tabs>
          <w:tab w:leader="none" w:pos="546" w:val="left"/>
        </w:tabs>
        <w:numPr>
          <w:ilvl w:val="1"/>
          <w:numId w:val="129"/>
        </w:numPr>
        <w:rPr>
          <w:rFonts w:ascii="Arial" w:cs="Arial" w:eastAsia="Arial" w:hAnsi="Arial"/>
          <w:sz w:val="18"/>
          <w:szCs w:val="18"/>
          <w:b w:val="1"/>
          <w:bCs w:val="1"/>
          <w:color w:val="0067B3"/>
        </w:rPr>
      </w:pPr>
      <w:r>
        <w:rPr>
          <w:rFonts w:ascii="Arial" w:cs="Arial" w:eastAsia="Arial" w:hAnsi="Arial"/>
          <w:sz w:val="18"/>
          <w:szCs w:val="18"/>
          <w:color w:val="auto"/>
        </w:rPr>
        <w:t xml:space="preserve">You may vote by mail. If you received a printed proxy card, you may vote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proxy card, but do not give any 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 Board of Directors recommends that you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director nominee, FOR each of Proposals 2 and 4 and for an advisory vote every 1 YEAR in Proposal 3.</w:t>
      </w:r>
    </w:p>
    <w:p>
      <w:pPr>
        <w:spacing w:after="0" w:line="33" w:lineRule="exact"/>
        <w:rPr>
          <w:rFonts w:ascii="Arial" w:cs="Arial" w:eastAsia="Arial" w:hAnsi="Arial"/>
          <w:sz w:val="18"/>
          <w:szCs w:val="18"/>
          <w:b w:val="1"/>
          <w:bCs w:val="1"/>
          <w:color w:val="0067B3"/>
        </w:rPr>
      </w:pPr>
    </w:p>
    <w:p>
      <w:pPr>
        <w:ind w:left="520" w:right="480" w:hanging="253"/>
        <w:spacing w:after="0" w:line="287" w:lineRule="auto"/>
        <w:tabs>
          <w:tab w:leader="none" w:pos="546" w:val="left"/>
        </w:tabs>
        <w:numPr>
          <w:ilvl w:val="1"/>
          <w:numId w:val="129"/>
        </w:numPr>
        <w:rPr>
          <w:rFonts w:ascii="Arial" w:cs="Arial" w:eastAsia="Arial" w:hAnsi="Arial"/>
          <w:sz w:val="18"/>
          <w:szCs w:val="18"/>
          <w:b w:val="1"/>
          <w:bCs w:val="1"/>
          <w:color w:val="0067B3"/>
        </w:rPr>
      </w:pPr>
      <w:r>
        <w:rPr>
          <w:rFonts w:ascii="Arial" w:cs="Arial" w:eastAsia="Arial" w:hAnsi="Arial"/>
          <w:sz w:val="18"/>
          <w:szCs w:val="18"/>
          <w:color w:val="auto"/>
        </w:rPr>
        <w:t>You may vote in person. If you attend the Annual Meeting, you may vote by delivering your completed proxy card in person or by completing a ballot. Ballots will be available at the Annual Meeting.</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88</w:t>
      </w:r>
    </w:p>
    <w:p>
      <w:pPr>
        <w:ind w:left="480"/>
        <w:spacing w:after="0"/>
        <w:rPr>
          <w:sz w:val="20"/>
          <w:szCs w:val="20"/>
          <w:color w:val="auto"/>
        </w:rPr>
      </w:pPr>
      <w:r>
        <w:rPr>
          <w:rFonts w:ascii="Arial" w:cs="Arial" w:eastAsia="Arial" w:hAnsi="Arial"/>
          <w:sz w:val="16"/>
          <w:szCs w:val="16"/>
          <w:color w:val="6D6E71"/>
        </w:rPr>
        <w:t>Q&amp;A About Annual Meeting and Voting</w:t>
      </w:r>
    </w:p>
    <w:p>
      <w:pPr>
        <w:sectPr>
          <w:pgSz w:w="11900" w:h="16838" w:orient="portrait"/>
          <w:cols w:equalWidth="0" w:num="1">
            <w:col w:w="11240"/>
          </w:cols>
          <w:pgMar w:left="320" w:top="1126" w:right="339" w:bottom="1440" w:gutter="0" w:footer="0" w:header="0"/>
        </w:sectPr>
      </w:pPr>
    </w:p>
    <w:bookmarkStart w:id="98" w:name="page99"/>
    <w:bookmarkEnd w:id="98"/>
    <w:p>
      <w:pPr>
        <w:ind w:left="392" w:hanging="392"/>
        <w:spacing w:after="0"/>
        <w:tabs>
          <w:tab w:leader="none" w:pos="392" w:val="left"/>
        </w:tabs>
        <w:numPr>
          <w:ilvl w:val="0"/>
          <w:numId w:val="130"/>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vote if my shares are held in “street name”?</w:t>
      </w:r>
    </w:p>
    <w:p>
      <w:pPr>
        <w:spacing w:after="0" w:line="117" w:lineRule="exact"/>
        <w:rPr>
          <w:sz w:val="20"/>
          <w:szCs w:val="20"/>
          <w:color w:val="auto"/>
        </w:rPr>
      </w:pPr>
    </w:p>
    <w:p>
      <w:pPr>
        <w:ind w:left="252" w:right="220" w:hanging="252"/>
        <w:spacing w:after="0" w:line="259" w:lineRule="auto"/>
        <w:tabs>
          <w:tab w:leader="none" w:pos="383" w:val="left"/>
        </w:tabs>
        <w:numPr>
          <w:ilvl w:val="0"/>
          <w:numId w:val="131"/>
        </w:numPr>
        <w:rPr>
          <w:rFonts w:ascii="Arial" w:cs="Arial" w:eastAsia="Arial" w:hAnsi="Arial"/>
          <w:sz w:val="18"/>
          <w:szCs w:val="18"/>
          <w:b w:val="1"/>
          <w:bCs w:val="1"/>
          <w:color w:val="0067B3"/>
        </w:rPr>
      </w:pPr>
      <w:r>
        <w:rPr>
          <w:rFonts w:ascii="Arial" w:cs="Arial" w:eastAsia="Arial" w:hAnsi="Arial"/>
          <w:sz w:val="18"/>
          <w:szCs w:val="18"/>
          <w:color w:val="auto"/>
        </w:rPr>
        <w:t>If the ADI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spacing w:after="0" w:line="71" w:lineRule="exact"/>
        <w:rPr>
          <w:sz w:val="20"/>
          <w:szCs w:val="20"/>
          <w:color w:val="auto"/>
        </w:rPr>
      </w:pPr>
    </w:p>
    <w:p>
      <w:pPr>
        <w:ind w:left="252"/>
        <w:spacing w:after="0" w:line="271" w:lineRule="auto"/>
        <w:rPr>
          <w:sz w:val="20"/>
          <w:szCs w:val="20"/>
          <w:color w:val="auto"/>
        </w:rPr>
      </w:pPr>
      <w:r>
        <w:rPr>
          <w:rFonts w:ascii="Arial" w:cs="Arial" w:eastAsia="Arial" w:hAnsi="Arial"/>
          <w:sz w:val="17"/>
          <w:szCs w:val="17"/>
          <w:color w:val="auto"/>
        </w:rPr>
        <w:t>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year 2023 (Proposal 4) is considered a “routine” matter and your broker will be able to vote on that proposal even if it does not receive instructions from you, so long as it holds your shares in its name. The election of directors (Proposal 1), the “say-on-pay” advisory vote (Proposal 2) and the “say-on-frequency” advisory vote (Proposal 3) are “non-routine” matters. If you do not instruct your bank, broker or other nominee how to vote with respect to these proposals, your bank, broker or other nominee may not vote with respect to these proposals and those votes will be counted as “broker non-votes.” “Broker non-votes” are shares that are held in “street name” by a bank, broker or other nominee that indicates on its proxy that it does not have or did not exercise discretionary authority to vote on a particular proposal.</w:t>
      </w:r>
    </w:p>
    <w:p>
      <w:pPr>
        <w:spacing w:after="0" w:line="61" w:lineRule="exact"/>
        <w:rPr>
          <w:sz w:val="20"/>
          <w:szCs w:val="20"/>
          <w:color w:val="auto"/>
        </w:rPr>
      </w:pPr>
    </w:p>
    <w:p>
      <w:pPr>
        <w:ind w:left="252" w:right="80"/>
        <w:spacing w:after="0" w:line="262" w:lineRule="auto"/>
        <w:rPr>
          <w:sz w:val="20"/>
          <w:szCs w:val="20"/>
          <w:color w:val="auto"/>
        </w:rPr>
      </w:pPr>
      <w:r>
        <w:rPr>
          <w:rFonts w:ascii="Arial" w:cs="Arial" w:eastAsia="Arial" w:hAnsi="Arial"/>
          <w:sz w:val="18"/>
          <w:szCs w:val="18"/>
          <w:color w:val="auto"/>
        </w:rPr>
        <w:t>If your shares are held in “street name” as of the record date January 3, 2023, you must bring an account statement or letter from your broker or other nominee, showing that you are the beneficial owner of the shares as of the record date in order to be admitted to the Annual Meeting on March 8, 2023. To be able to vote your shares held in “street name” at the Annual Meeting, you need to obtain a legal proxy from your bank, broker or other nominee, issued in your name giving the right to vote your shares.</w:t>
      </w:r>
    </w:p>
    <w:p>
      <w:pPr>
        <w:spacing w:after="0" w:line="68" w:lineRule="exact"/>
        <w:rPr>
          <w:sz w:val="20"/>
          <w:szCs w:val="20"/>
          <w:color w:val="auto"/>
        </w:rPr>
      </w:pPr>
    </w:p>
    <w:p>
      <w:pPr>
        <w:ind w:left="392" w:hanging="392"/>
        <w:spacing w:after="0"/>
        <w:tabs>
          <w:tab w:leader="none" w:pos="392" w:val="left"/>
        </w:tabs>
        <w:numPr>
          <w:ilvl w:val="0"/>
          <w:numId w:val="132"/>
        </w:numPr>
        <w:rPr>
          <w:rFonts w:ascii="Arial" w:cs="Arial" w:eastAsia="Arial" w:hAnsi="Arial"/>
          <w:sz w:val="18"/>
          <w:szCs w:val="18"/>
          <w:b w:val="1"/>
          <w:bCs w:val="1"/>
          <w:color w:val="0067B3"/>
        </w:rPr>
      </w:pPr>
      <w:r>
        <w:rPr>
          <w:rFonts w:ascii="Arial" w:cs="Arial" w:eastAsia="Arial" w:hAnsi="Arial"/>
          <w:sz w:val="18"/>
          <w:szCs w:val="18"/>
          <w:b w:val="1"/>
          <w:bCs w:val="1"/>
          <w:color w:val="0067B3"/>
        </w:rPr>
        <w:t>Can I change my vote after I have mailed my proxy card or after I have voted my shares over the Internet or by telephone?</w:t>
      </w:r>
    </w:p>
    <w:p>
      <w:pPr>
        <w:spacing w:after="0" w:line="117" w:lineRule="exact"/>
        <w:rPr>
          <w:sz w:val="20"/>
          <w:szCs w:val="20"/>
          <w:color w:val="auto"/>
        </w:rPr>
      </w:pPr>
    </w:p>
    <w:p>
      <w:pPr>
        <w:ind w:left="252" w:right="240" w:hanging="252"/>
        <w:spacing w:after="0" w:line="287" w:lineRule="auto"/>
        <w:tabs>
          <w:tab w:leader="none" w:pos="380" w:val="left"/>
        </w:tabs>
        <w:numPr>
          <w:ilvl w:val="0"/>
          <w:numId w:val="133"/>
        </w:numPr>
        <w:rPr>
          <w:rFonts w:ascii="Arial" w:cs="Arial" w:eastAsia="Arial" w:hAnsi="Arial"/>
          <w:sz w:val="18"/>
          <w:szCs w:val="18"/>
          <w:b w:val="1"/>
          <w:bCs w:val="1"/>
          <w:color w:val="0067B3"/>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44" w:lineRule="exact"/>
        <w:rPr>
          <w:rFonts w:ascii="Arial" w:cs="Arial" w:eastAsia="Arial" w:hAnsi="Arial"/>
          <w:sz w:val="18"/>
          <w:szCs w:val="18"/>
          <w:b w:val="1"/>
          <w:bCs w:val="1"/>
          <w:color w:val="0067B3"/>
        </w:rPr>
      </w:pPr>
    </w:p>
    <w:p>
      <w:pPr>
        <w:ind w:left="492" w:hanging="233"/>
        <w:spacing w:after="0"/>
        <w:tabs>
          <w:tab w:leader="none" w:pos="492" w:val="left"/>
        </w:tabs>
        <w:numPr>
          <w:ilvl w:val="1"/>
          <w:numId w:val="133"/>
        </w:numPr>
        <w:rPr>
          <w:rFonts w:ascii="Arial" w:cs="Arial" w:eastAsia="Arial" w:hAnsi="Arial"/>
          <w:sz w:val="18"/>
          <w:szCs w:val="18"/>
          <w:color w:val="0067B3"/>
        </w:rPr>
      </w:pPr>
      <w:r>
        <w:rPr>
          <w:rFonts w:ascii="Arial" w:cs="Arial" w:eastAsia="Arial" w:hAnsi="Arial"/>
          <w:sz w:val="18"/>
          <w:szCs w:val="18"/>
          <w:color w:val="auto"/>
        </w:rPr>
        <w:t>voting over the Internet or by telephone as instructed above (only your latest Internet or telephone vote is counted);</w:t>
      </w:r>
    </w:p>
    <w:p>
      <w:pPr>
        <w:spacing w:after="0" w:line="90" w:lineRule="exact"/>
        <w:rPr>
          <w:rFonts w:ascii="Arial" w:cs="Arial" w:eastAsia="Arial" w:hAnsi="Arial"/>
          <w:sz w:val="18"/>
          <w:szCs w:val="18"/>
          <w:color w:val="0067B3"/>
        </w:rPr>
      </w:pPr>
    </w:p>
    <w:p>
      <w:pPr>
        <w:ind w:left="492" w:hanging="233"/>
        <w:spacing w:after="0"/>
        <w:tabs>
          <w:tab w:leader="none" w:pos="492" w:val="left"/>
        </w:tabs>
        <w:numPr>
          <w:ilvl w:val="1"/>
          <w:numId w:val="133"/>
        </w:numPr>
        <w:rPr>
          <w:rFonts w:ascii="Arial" w:cs="Arial" w:eastAsia="Arial" w:hAnsi="Arial"/>
          <w:sz w:val="18"/>
          <w:szCs w:val="18"/>
          <w:color w:val="0067B3"/>
        </w:rPr>
      </w:pPr>
      <w:r>
        <w:rPr>
          <w:rFonts w:ascii="Arial" w:cs="Arial" w:eastAsia="Arial" w:hAnsi="Arial"/>
          <w:sz w:val="18"/>
          <w:szCs w:val="18"/>
          <w:color w:val="auto"/>
        </w:rPr>
        <w:t>signing and returning another proxy card with a later date;</w:t>
      </w:r>
    </w:p>
    <w:p>
      <w:pPr>
        <w:spacing w:after="0" w:line="76" w:lineRule="exact"/>
        <w:rPr>
          <w:rFonts w:ascii="Arial" w:cs="Arial" w:eastAsia="Arial" w:hAnsi="Arial"/>
          <w:sz w:val="18"/>
          <w:szCs w:val="18"/>
          <w:color w:val="0067B3"/>
        </w:rPr>
      </w:pPr>
    </w:p>
    <w:p>
      <w:pPr>
        <w:ind w:left="492" w:hanging="233"/>
        <w:spacing w:after="0"/>
        <w:tabs>
          <w:tab w:leader="none" w:pos="492" w:val="left"/>
        </w:tabs>
        <w:numPr>
          <w:ilvl w:val="1"/>
          <w:numId w:val="133"/>
        </w:numPr>
        <w:rPr>
          <w:rFonts w:ascii="Arial" w:cs="Arial" w:eastAsia="Arial" w:hAnsi="Arial"/>
          <w:sz w:val="18"/>
          <w:szCs w:val="18"/>
          <w:color w:val="0067B3"/>
        </w:rPr>
      </w:pPr>
      <w:r>
        <w:rPr>
          <w:rFonts w:ascii="Arial" w:cs="Arial" w:eastAsia="Arial" w:hAnsi="Arial"/>
          <w:sz w:val="18"/>
          <w:szCs w:val="18"/>
          <w:color w:val="auto"/>
        </w:rPr>
        <w:t>giving our Secretary a written notice before the meeting that you want to revoke your proxy; or</w:t>
      </w:r>
    </w:p>
    <w:p>
      <w:pPr>
        <w:spacing w:after="0" w:line="76" w:lineRule="exact"/>
        <w:rPr>
          <w:rFonts w:ascii="Arial" w:cs="Arial" w:eastAsia="Arial" w:hAnsi="Arial"/>
          <w:sz w:val="18"/>
          <w:szCs w:val="18"/>
          <w:color w:val="0067B3"/>
        </w:rPr>
      </w:pPr>
    </w:p>
    <w:p>
      <w:pPr>
        <w:ind w:left="492" w:hanging="233"/>
        <w:spacing w:after="0"/>
        <w:tabs>
          <w:tab w:leader="none" w:pos="492" w:val="left"/>
        </w:tabs>
        <w:numPr>
          <w:ilvl w:val="1"/>
          <w:numId w:val="133"/>
        </w:numPr>
        <w:rPr>
          <w:rFonts w:ascii="Arial" w:cs="Arial" w:eastAsia="Arial" w:hAnsi="Arial"/>
          <w:sz w:val="18"/>
          <w:szCs w:val="18"/>
          <w:color w:val="0067B3"/>
        </w:rPr>
      </w:pPr>
      <w:r>
        <w:rPr>
          <w:rFonts w:ascii="Arial" w:cs="Arial" w:eastAsia="Arial" w:hAnsi="Arial"/>
          <w:sz w:val="18"/>
          <w:szCs w:val="18"/>
          <w:color w:val="auto"/>
        </w:rPr>
        <w:t>attending the Annual Meeting, requesting that your proxy be revoked and voting in person as instructed above.</w:t>
      </w:r>
    </w:p>
    <w:p>
      <w:pPr>
        <w:spacing w:after="0" w:line="11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Your attendance at the Annual Meeting alone will not revoke your proxy.</w:t>
      </w:r>
    </w:p>
    <w:p>
      <w:pPr>
        <w:spacing w:after="0" w:line="117" w:lineRule="exact"/>
        <w:rPr>
          <w:sz w:val="20"/>
          <w:szCs w:val="20"/>
          <w:color w:val="auto"/>
        </w:rPr>
      </w:pPr>
    </w:p>
    <w:p>
      <w:pPr>
        <w:ind w:left="252" w:right="240"/>
        <w:spacing w:after="0" w:line="268"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entitled “Can I vote if my shares are held in ‘street name’”?</w:t>
      </w:r>
    </w:p>
    <w:p>
      <w:pPr>
        <w:spacing w:after="0" w:line="63" w:lineRule="exact"/>
        <w:rPr>
          <w:sz w:val="20"/>
          <w:szCs w:val="20"/>
          <w:color w:val="auto"/>
        </w:rPr>
      </w:pPr>
    </w:p>
    <w:p>
      <w:pPr>
        <w:ind w:left="392" w:hanging="392"/>
        <w:spacing w:after="0"/>
        <w:tabs>
          <w:tab w:leader="none" w:pos="392" w:val="left"/>
        </w:tabs>
        <w:numPr>
          <w:ilvl w:val="0"/>
          <w:numId w:val="134"/>
        </w:numPr>
        <w:rPr>
          <w:rFonts w:ascii="Arial" w:cs="Arial" w:eastAsia="Arial" w:hAnsi="Arial"/>
          <w:sz w:val="18"/>
          <w:szCs w:val="18"/>
          <w:b w:val="1"/>
          <w:bCs w:val="1"/>
          <w:color w:val="0067B3"/>
        </w:rPr>
      </w:pPr>
      <w:r>
        <w:rPr>
          <w:rFonts w:ascii="Arial" w:cs="Arial" w:eastAsia="Arial" w:hAnsi="Arial"/>
          <w:sz w:val="18"/>
          <w:szCs w:val="18"/>
          <w:b w:val="1"/>
          <w:bCs w:val="1"/>
          <w:color w:val="0067B3"/>
        </w:rPr>
        <w:t>What constitutes a quorum?</w:t>
      </w:r>
    </w:p>
    <w:p>
      <w:pPr>
        <w:spacing w:after="0" w:line="117" w:lineRule="exact"/>
        <w:rPr>
          <w:sz w:val="20"/>
          <w:szCs w:val="20"/>
          <w:color w:val="auto"/>
        </w:rPr>
      </w:pPr>
    </w:p>
    <w:p>
      <w:pPr>
        <w:ind w:left="252" w:right="180" w:hanging="252"/>
        <w:spacing w:after="0" w:line="268" w:lineRule="auto"/>
        <w:tabs>
          <w:tab w:leader="none" w:pos="383" w:val="left"/>
        </w:tabs>
        <w:numPr>
          <w:ilvl w:val="0"/>
          <w:numId w:val="135"/>
        </w:numPr>
        <w:rPr>
          <w:rFonts w:ascii="Arial" w:cs="Arial" w:eastAsia="Arial" w:hAnsi="Arial"/>
          <w:sz w:val="18"/>
          <w:szCs w:val="18"/>
          <w:b w:val="1"/>
          <w:bCs w:val="1"/>
          <w:color w:val="0067B3"/>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3, 2023, the record date, or at least 253,427,848 shares.</w:t>
      </w:r>
    </w:p>
    <w:p>
      <w:pPr>
        <w:spacing w:after="0" w:line="63" w:lineRule="exact"/>
        <w:rPr>
          <w:sz w:val="20"/>
          <w:szCs w:val="20"/>
          <w:color w:val="auto"/>
        </w:rPr>
      </w:pPr>
    </w:p>
    <w:p>
      <w:pPr>
        <w:ind w:left="252" w:right="320"/>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63" w:lineRule="exact"/>
        <w:rPr>
          <w:sz w:val="20"/>
          <w:szCs w:val="20"/>
          <w:color w:val="auto"/>
        </w:rPr>
      </w:pPr>
    </w:p>
    <w:p>
      <w:pPr>
        <w:ind w:left="392" w:hanging="392"/>
        <w:spacing w:after="0"/>
        <w:tabs>
          <w:tab w:leader="none" w:pos="392" w:val="left"/>
        </w:tabs>
        <w:numPr>
          <w:ilvl w:val="0"/>
          <w:numId w:val="136"/>
        </w:numPr>
        <w:rPr>
          <w:rFonts w:ascii="Arial" w:cs="Arial" w:eastAsia="Arial" w:hAnsi="Arial"/>
          <w:sz w:val="18"/>
          <w:szCs w:val="18"/>
          <w:b w:val="1"/>
          <w:bCs w:val="1"/>
          <w:color w:val="0067B3"/>
        </w:rPr>
      </w:pPr>
      <w:r>
        <w:rPr>
          <w:rFonts w:ascii="Arial" w:cs="Arial" w:eastAsia="Arial" w:hAnsi="Arial"/>
          <w:sz w:val="18"/>
          <w:szCs w:val="18"/>
          <w:b w:val="1"/>
          <w:bCs w:val="1"/>
          <w:color w:val="0067B3"/>
        </w:rPr>
        <w:t>What vote is required for each proposal?</w:t>
      </w:r>
    </w:p>
    <w:p>
      <w:pPr>
        <w:spacing w:after="0" w:line="117" w:lineRule="exact"/>
        <w:rPr>
          <w:sz w:val="20"/>
          <w:szCs w:val="20"/>
          <w:color w:val="auto"/>
        </w:rPr>
      </w:pPr>
    </w:p>
    <w:p>
      <w:pPr>
        <w:ind w:left="252" w:right="60" w:hanging="252"/>
        <w:spacing w:after="0" w:line="255" w:lineRule="auto"/>
        <w:tabs>
          <w:tab w:leader="none" w:pos="383" w:val="left"/>
        </w:tabs>
        <w:numPr>
          <w:ilvl w:val="0"/>
          <w:numId w:val="137"/>
        </w:numPr>
        <w:rPr>
          <w:rFonts w:ascii="Arial" w:cs="Arial" w:eastAsia="Arial" w:hAnsi="Arial"/>
          <w:sz w:val="18"/>
          <w:szCs w:val="18"/>
          <w:b w:val="1"/>
          <w:bCs w:val="1"/>
          <w:color w:val="0067B3"/>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 respect to the election of directors. If an 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ectPr>
          <w:pgSz w:w="11900" w:h="16838" w:orient="portrait"/>
          <w:cols w:equalWidth="0" w:num="1">
            <w:col w:w="11212"/>
          </w:cols>
          <w:pgMar w:left="328" w:top="1174" w:right="359" w:bottom="1440" w:gutter="0" w:footer="0" w:header="0"/>
        </w:sectPr>
      </w:pPr>
    </w:p>
    <w:p>
      <w:pPr>
        <w:spacing w:after="0" w:line="338" w:lineRule="exact"/>
        <w:rPr>
          <w:sz w:val="20"/>
          <w:szCs w:val="20"/>
          <w:color w:val="auto"/>
        </w:rPr>
      </w:pPr>
    </w:p>
    <w:p>
      <w:pPr>
        <w:ind w:left="9152"/>
        <w:spacing w:after="0"/>
        <w:tabs>
          <w:tab w:leader="none" w:pos="10972"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89</w:t>
      </w:r>
    </w:p>
    <w:p>
      <w:pPr>
        <w:sectPr>
          <w:pgSz w:w="11900" w:h="16838" w:orient="portrait"/>
          <w:cols w:equalWidth="0" w:num="1">
            <w:col w:w="11212"/>
          </w:cols>
          <w:pgMar w:left="328" w:top="1174" w:right="359" w:bottom="1440" w:gutter="0" w:footer="0" w:header="0"/>
          <w:type w:val="continuous"/>
        </w:sectPr>
      </w:pPr>
    </w:p>
    <w:bookmarkStart w:id="99" w:name="page100"/>
    <w:bookmarkEnd w:id="99"/>
    <w:p>
      <w:pPr>
        <w:ind w:left="252" w:right="20"/>
        <w:spacing w:after="0" w:line="256" w:lineRule="auto"/>
        <w:rPr>
          <w:sz w:val="20"/>
          <w:szCs w:val="20"/>
          <w:color w:val="auto"/>
        </w:rPr>
      </w:pPr>
      <w:r>
        <w:rPr>
          <w:rFonts w:ascii="Arial" w:cs="Arial" w:eastAsia="Arial" w:hAnsi="Arial"/>
          <w:sz w:val="18"/>
          <w:szCs w:val="18"/>
          <w:b w:val="1"/>
          <w:bCs w:val="1"/>
          <w:color w:val="auto"/>
        </w:rPr>
        <w:t xml:space="preserve">“Say-on-Pay.” </w:t>
      </w:r>
      <w:r>
        <w:rPr>
          <w:rFonts w:ascii="Arial" w:cs="Arial" w:eastAsia="Arial" w:hAnsi="Arial"/>
          <w:sz w:val="18"/>
          <w:szCs w:val="18"/>
          <w:color w:val="auto"/>
        </w:rPr>
        <w:t>Our Board of Directors is seeking a non-binding advisory vote regarding the compensation of our NEOs,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and Talent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75" w:lineRule="exact"/>
        <w:rPr>
          <w:sz w:val="20"/>
          <w:szCs w:val="20"/>
          <w:color w:val="auto"/>
        </w:rPr>
      </w:pPr>
    </w:p>
    <w:p>
      <w:pPr>
        <w:ind w:left="252"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Say-on-Frequency.</w:t>
      </w:r>
      <w:r>
        <w:rPr>
          <w:rFonts w:ascii="Arial" w:cs="Arial" w:eastAsia="Arial" w:hAnsi="Arial"/>
          <w:sz w:val="18"/>
          <w:szCs w:val="18"/>
          <w:color w:val="auto"/>
        </w:rPr>
        <w:t>” Our Board of Directors is seeking a non-binding advisory vote to determine whether future advisory votes on the compensation paid to our NEOs should be held every year, every two years or every three years. The vote is advisory and non-binding in nature but our Compensation and Talent Committee and Board of Directors have decided to adopt the frequency of every 1 YEAR if that frequency receives the greatest level of support from our shareholders. If you do not instruct your bank, broker or other nominee how to vote with respect to this proposal, your bank, broker or other nominee may not vote your shares with respect to this proposal. We recommend that you vote in favor of future advisory votes on the compensation of our NEOs to be held every 1 YEAR.</w:t>
      </w:r>
    </w:p>
    <w:p>
      <w:pPr>
        <w:spacing w:after="0" w:line="74" w:lineRule="exact"/>
        <w:rPr>
          <w:sz w:val="20"/>
          <w:szCs w:val="20"/>
          <w:color w:val="auto"/>
        </w:rPr>
      </w:pPr>
    </w:p>
    <w:p>
      <w:pPr>
        <w:ind w:left="252" w:right="40"/>
        <w:spacing w:after="0" w:line="262" w:lineRule="auto"/>
        <w:rPr>
          <w:sz w:val="20"/>
          <w:szCs w:val="20"/>
          <w:color w:val="auto"/>
        </w:rPr>
      </w:pPr>
      <w:r>
        <w:rPr>
          <w:rFonts w:ascii="Arial" w:cs="Arial" w:eastAsia="Arial" w:hAnsi="Arial"/>
          <w:sz w:val="18"/>
          <w:szCs w:val="18"/>
          <w:b w:val="1"/>
          <w:b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votes cast on the proposal is needed to ratify the selection of Ernst &amp; Young LLP as our independent registered public accounting firm for fiscal year 2023. Even if you do not instruct your bank, broker or other nominee how to vote with respect to this proposal, your bank, broker or other nominee may vote your shares with respect to this proposal.</w:t>
      </w:r>
    </w:p>
    <w:p>
      <w:pPr>
        <w:spacing w:after="0" w:line="68" w:lineRule="exact"/>
        <w:rPr>
          <w:sz w:val="20"/>
          <w:szCs w:val="20"/>
          <w:color w:val="auto"/>
        </w:rPr>
      </w:pPr>
    </w:p>
    <w:p>
      <w:pPr>
        <w:ind w:left="392" w:hanging="392"/>
        <w:spacing w:after="0"/>
        <w:tabs>
          <w:tab w:leader="none" w:pos="392" w:val="left"/>
        </w:tabs>
        <w:numPr>
          <w:ilvl w:val="0"/>
          <w:numId w:val="138"/>
        </w:numPr>
        <w:rPr>
          <w:rFonts w:ascii="Arial" w:cs="Arial" w:eastAsia="Arial" w:hAnsi="Arial"/>
          <w:sz w:val="18"/>
          <w:szCs w:val="18"/>
          <w:b w:val="1"/>
          <w:bCs w:val="1"/>
          <w:color w:val="0067B3"/>
        </w:rPr>
      </w:pPr>
      <w:r>
        <w:rPr>
          <w:rFonts w:ascii="Arial" w:cs="Arial" w:eastAsia="Arial" w:hAnsi="Arial"/>
          <w:sz w:val="18"/>
          <w:szCs w:val="18"/>
          <w:b w:val="1"/>
          <w:bCs w:val="1"/>
          <w:color w:val="0067B3"/>
        </w:rPr>
        <w:t>How will votes be counted?</w:t>
      </w:r>
    </w:p>
    <w:p>
      <w:pPr>
        <w:spacing w:after="0" w:line="117" w:lineRule="exact"/>
        <w:rPr>
          <w:sz w:val="20"/>
          <w:szCs w:val="20"/>
          <w:color w:val="auto"/>
        </w:rPr>
      </w:pPr>
    </w:p>
    <w:p>
      <w:pPr>
        <w:ind w:left="252" w:hanging="252"/>
        <w:spacing w:after="0" w:line="256" w:lineRule="auto"/>
        <w:tabs>
          <w:tab w:leader="none" w:pos="383" w:val="left"/>
        </w:tabs>
        <w:numPr>
          <w:ilvl w:val="0"/>
          <w:numId w:val="139"/>
        </w:numPr>
        <w:rPr>
          <w:rFonts w:ascii="Arial" w:cs="Arial" w:eastAsia="Arial" w:hAnsi="Arial"/>
          <w:sz w:val="18"/>
          <w:szCs w:val="18"/>
          <w:b w:val="1"/>
          <w:bCs w:val="1"/>
          <w:color w:val="0067B3"/>
        </w:rPr>
      </w:pPr>
      <w:r>
        <w:rPr>
          <w:rFonts w:ascii="Arial" w:cs="Arial" w:eastAsia="Arial" w:hAnsi="Arial"/>
          <w:sz w:val="18"/>
          <w:szCs w:val="18"/>
          <w:color w:val="auto"/>
        </w:rPr>
        <w:t>Each share of common stock will be counted as one vote according to the instructions contained on a properly completed proxy card, whether submitted by mail, over the Internet,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75" w:lineRule="exact"/>
        <w:rPr>
          <w:sz w:val="20"/>
          <w:szCs w:val="20"/>
          <w:color w:val="auto"/>
        </w:rPr>
      </w:pPr>
    </w:p>
    <w:p>
      <w:pPr>
        <w:ind w:left="392" w:hanging="392"/>
        <w:spacing w:after="0"/>
        <w:tabs>
          <w:tab w:leader="none" w:pos="392" w:val="left"/>
        </w:tabs>
        <w:numPr>
          <w:ilvl w:val="0"/>
          <w:numId w:val="140"/>
        </w:numPr>
        <w:rPr>
          <w:rFonts w:ascii="Arial" w:cs="Arial" w:eastAsia="Arial" w:hAnsi="Arial"/>
          <w:sz w:val="18"/>
          <w:szCs w:val="18"/>
          <w:b w:val="1"/>
          <w:bCs w:val="1"/>
          <w:color w:val="0067B3"/>
        </w:rPr>
      </w:pPr>
      <w:r>
        <w:rPr>
          <w:rFonts w:ascii="Arial" w:cs="Arial" w:eastAsia="Arial" w:hAnsi="Arial"/>
          <w:sz w:val="18"/>
          <w:szCs w:val="18"/>
          <w:b w:val="1"/>
          <w:bCs w:val="1"/>
          <w:color w:val="0067B3"/>
        </w:rPr>
        <w:t>Who will count the votes?</w:t>
      </w:r>
    </w:p>
    <w:p>
      <w:pPr>
        <w:spacing w:after="0" w:line="117" w:lineRule="exact"/>
        <w:rPr>
          <w:sz w:val="20"/>
          <w:szCs w:val="20"/>
          <w:color w:val="auto"/>
        </w:rPr>
      </w:pPr>
    </w:p>
    <w:p>
      <w:pPr>
        <w:ind w:left="392" w:hanging="392"/>
        <w:spacing w:after="0"/>
        <w:tabs>
          <w:tab w:leader="none" w:pos="392" w:val="left"/>
        </w:tabs>
        <w:numPr>
          <w:ilvl w:val="0"/>
          <w:numId w:val="141"/>
        </w:numPr>
        <w:rPr>
          <w:rFonts w:ascii="Arial" w:cs="Arial" w:eastAsia="Arial" w:hAnsi="Arial"/>
          <w:sz w:val="18"/>
          <w:szCs w:val="18"/>
          <w:b w:val="1"/>
          <w:bCs w:val="1"/>
          <w:color w:val="0067B3"/>
        </w:rPr>
      </w:pPr>
      <w:r>
        <w:rPr>
          <w:rFonts w:ascii="Arial" w:cs="Arial" w:eastAsia="Arial" w:hAnsi="Arial"/>
          <w:sz w:val="18"/>
          <w:szCs w:val="18"/>
          <w:color w:val="auto"/>
        </w:rPr>
        <w:t>The votes will be counted, tabulated and certified by Broadridge Financial Solutions, Inc.</w:t>
      </w:r>
    </w:p>
    <w:p>
      <w:pPr>
        <w:spacing w:after="0" w:line="117" w:lineRule="exact"/>
        <w:rPr>
          <w:sz w:val="20"/>
          <w:szCs w:val="20"/>
          <w:color w:val="auto"/>
        </w:rPr>
      </w:pPr>
    </w:p>
    <w:p>
      <w:pPr>
        <w:ind w:left="392" w:hanging="392"/>
        <w:spacing w:after="0"/>
        <w:tabs>
          <w:tab w:leader="none" w:pos="392" w:val="left"/>
        </w:tabs>
        <w:numPr>
          <w:ilvl w:val="0"/>
          <w:numId w:val="142"/>
        </w:numPr>
        <w:rPr>
          <w:rFonts w:ascii="Arial" w:cs="Arial" w:eastAsia="Arial" w:hAnsi="Arial"/>
          <w:sz w:val="18"/>
          <w:szCs w:val="18"/>
          <w:b w:val="1"/>
          <w:bCs w:val="1"/>
          <w:color w:val="0067B3"/>
        </w:rPr>
      </w:pPr>
      <w:r>
        <w:rPr>
          <w:rFonts w:ascii="Arial" w:cs="Arial" w:eastAsia="Arial" w:hAnsi="Arial"/>
          <w:sz w:val="18"/>
          <w:szCs w:val="18"/>
          <w:b w:val="1"/>
          <w:bCs w:val="1"/>
          <w:color w:val="0067B3"/>
        </w:rPr>
        <w:t>Will my vote be kept confidential?</w:t>
      </w:r>
    </w:p>
    <w:p>
      <w:pPr>
        <w:spacing w:after="0" w:line="117" w:lineRule="exact"/>
        <w:rPr>
          <w:sz w:val="20"/>
          <w:szCs w:val="20"/>
          <w:color w:val="auto"/>
        </w:rPr>
      </w:pPr>
    </w:p>
    <w:p>
      <w:pPr>
        <w:ind w:left="252" w:right="120" w:hanging="252"/>
        <w:spacing w:after="0" w:line="262" w:lineRule="auto"/>
        <w:tabs>
          <w:tab w:leader="none" w:pos="380" w:val="left"/>
        </w:tabs>
        <w:numPr>
          <w:ilvl w:val="0"/>
          <w:numId w:val="143"/>
        </w:numPr>
        <w:rPr>
          <w:rFonts w:ascii="Arial" w:cs="Arial" w:eastAsia="Arial" w:hAnsi="Arial"/>
          <w:sz w:val="18"/>
          <w:szCs w:val="18"/>
          <w:b w:val="1"/>
          <w:bCs w:val="1"/>
          <w:color w:val="0067B3"/>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68" w:lineRule="exact"/>
        <w:rPr>
          <w:sz w:val="20"/>
          <w:szCs w:val="20"/>
          <w:color w:val="auto"/>
        </w:rPr>
      </w:pPr>
    </w:p>
    <w:p>
      <w:pPr>
        <w:ind w:left="392" w:hanging="392"/>
        <w:spacing w:after="0"/>
        <w:tabs>
          <w:tab w:leader="none" w:pos="392" w:val="left"/>
        </w:tabs>
        <w:numPr>
          <w:ilvl w:val="0"/>
          <w:numId w:val="144"/>
        </w:numPr>
        <w:rPr>
          <w:rFonts w:ascii="Arial" w:cs="Arial" w:eastAsia="Arial" w:hAnsi="Arial"/>
          <w:sz w:val="18"/>
          <w:szCs w:val="18"/>
          <w:b w:val="1"/>
          <w:bCs w:val="1"/>
          <w:color w:val="0067B3"/>
        </w:rPr>
      </w:pPr>
      <w:r>
        <w:rPr>
          <w:rFonts w:ascii="Arial" w:cs="Arial" w:eastAsia="Arial" w:hAnsi="Arial"/>
          <w:sz w:val="18"/>
          <w:szCs w:val="18"/>
          <w:b w:val="1"/>
          <w:bCs w:val="1"/>
          <w:color w:val="0067B3"/>
        </w:rPr>
        <w:t>How does the Board of Directors recommend that I vote on the proposals?</w:t>
      </w:r>
    </w:p>
    <w:p>
      <w:pPr>
        <w:spacing w:after="0" w:line="117" w:lineRule="exact"/>
        <w:rPr>
          <w:sz w:val="20"/>
          <w:szCs w:val="20"/>
          <w:color w:val="auto"/>
        </w:rPr>
      </w:pPr>
    </w:p>
    <w:p>
      <w:pPr>
        <w:ind w:left="392" w:hanging="392"/>
        <w:spacing w:after="0"/>
        <w:tabs>
          <w:tab w:leader="none" w:pos="392" w:val="left"/>
        </w:tabs>
        <w:numPr>
          <w:ilvl w:val="0"/>
          <w:numId w:val="145"/>
        </w:numPr>
        <w:rPr>
          <w:rFonts w:ascii="Arial" w:cs="Arial" w:eastAsia="Arial" w:hAnsi="Arial"/>
          <w:sz w:val="18"/>
          <w:szCs w:val="18"/>
          <w:b w:val="1"/>
          <w:bCs w:val="1"/>
          <w:color w:val="0067B3"/>
        </w:rPr>
      </w:pPr>
      <w:r>
        <w:rPr>
          <w:rFonts w:ascii="Arial" w:cs="Arial" w:eastAsia="Arial" w:hAnsi="Arial"/>
          <w:sz w:val="18"/>
          <w:szCs w:val="18"/>
          <w:color w:val="auto"/>
        </w:rPr>
        <w:t>The Board of Directors recommends that you vote:</w:t>
      </w:r>
    </w:p>
    <w:p>
      <w:pPr>
        <w:spacing w:after="0" w:line="117" w:lineRule="exact"/>
        <w:rPr>
          <w:sz w:val="20"/>
          <w:szCs w:val="20"/>
          <w:color w:val="auto"/>
        </w:rPr>
      </w:pPr>
    </w:p>
    <w:p>
      <w:pPr>
        <w:ind w:left="252" w:right="2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11 nominees to serve as directors on the Board of Directors, each for a term expiring at the next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(Proposal 1);</w:t>
      </w:r>
    </w:p>
    <w:p>
      <w:pPr>
        <w:spacing w:after="0" w:line="45" w:lineRule="exact"/>
        <w:rPr>
          <w:sz w:val="20"/>
          <w:szCs w:val="20"/>
          <w:color w:val="auto"/>
        </w:rPr>
      </w:pPr>
    </w:p>
    <w:p>
      <w:pPr>
        <w:jc w:val="both"/>
        <w:ind w:left="252" w:right="30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“say-on-pay” vote, of the compensation of our NEOs, as described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Discussion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executive compensation tables and accompanying narrative disclosures contained in this Proxy Statement (Proposal 2);</w:t>
      </w:r>
    </w:p>
    <w:p>
      <w:pPr>
        <w:spacing w:after="0" w:line="45" w:lineRule="exact"/>
        <w:rPr>
          <w:sz w:val="20"/>
          <w:szCs w:val="20"/>
          <w:color w:val="auto"/>
        </w:rPr>
      </w:pPr>
    </w:p>
    <w:p>
      <w:pPr>
        <w:ind w:left="252" w:right="80"/>
        <w:spacing w:after="0" w:line="270" w:lineRule="auto"/>
        <w:rPr>
          <w:sz w:val="20"/>
          <w:szCs w:val="20"/>
          <w:color w:val="auto"/>
        </w:rPr>
      </w:pPr>
      <w:r>
        <w:rPr>
          <w:rFonts w:ascii="Arial" w:cs="Arial" w:eastAsia="Arial" w:hAnsi="Arial"/>
          <w:sz w:val="18"/>
          <w:szCs w:val="18"/>
          <w:color w:val="auto"/>
        </w:rPr>
        <w:t xml:space="preserve">Every </w:t>
      </w:r>
      <w:r>
        <w:rPr>
          <w:rFonts w:ascii="Arial" w:cs="Arial" w:eastAsia="Arial" w:hAnsi="Arial"/>
          <w:sz w:val="18"/>
          <w:szCs w:val="18"/>
          <w:b w:val="1"/>
          <w:bCs w:val="1"/>
          <w:color w:val="auto"/>
        </w:rPr>
        <w:t>1 YEAR</w:t>
      </w:r>
      <w:r>
        <w:rPr>
          <w:rFonts w:ascii="Arial" w:cs="Arial" w:eastAsia="Arial" w:hAnsi="Arial"/>
          <w:sz w:val="18"/>
          <w:szCs w:val="18"/>
          <w:color w:val="auto"/>
        </w:rPr>
        <w:t xml:space="preserve"> for the non-binding “say-on-frequency” advisory vote to determine whether future “say-on-pay” votes should be held every year, every two years or every three year</w:t>
      </w:r>
      <w:r>
        <w:rPr>
          <w:rFonts w:ascii="Calibri" w:cs="Calibri" w:eastAsia="Calibri" w:hAnsi="Calibri"/>
          <w:sz w:val="18"/>
          <w:szCs w:val="18"/>
          <w:color w:val="auto"/>
        </w:rPr>
        <w:t>s</w:t>
      </w:r>
      <w:r>
        <w:rPr>
          <w:rFonts w:ascii="Arial" w:cs="Arial" w:eastAsia="Arial" w:hAnsi="Arial"/>
          <w:sz w:val="18"/>
          <w:szCs w:val="18"/>
          <w:color w:val="auto"/>
        </w:rPr>
        <w:t xml:space="preserve"> (Proposal 3); and</w:t>
      </w:r>
    </w:p>
    <w:p>
      <w:pPr>
        <w:spacing w:after="0" w:line="73" w:lineRule="exact"/>
        <w:rPr>
          <w:sz w:val="20"/>
          <w:szCs w:val="20"/>
          <w:color w:val="auto"/>
        </w:rPr>
      </w:pPr>
    </w:p>
    <w:p>
      <w:pPr>
        <w:ind w:left="252" w:right="58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our independent registered public accounting firm for fiscal year 2023</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4).</w:t>
      </w:r>
    </w:p>
    <w:p>
      <w:pPr>
        <w:spacing w:after="0" w:line="45" w:lineRule="exact"/>
        <w:rPr>
          <w:sz w:val="20"/>
          <w:szCs w:val="20"/>
          <w:color w:val="auto"/>
        </w:rPr>
      </w:pPr>
    </w:p>
    <w:p>
      <w:pPr>
        <w:ind w:left="392" w:hanging="392"/>
        <w:spacing w:after="0"/>
        <w:tabs>
          <w:tab w:leader="none" w:pos="392" w:val="left"/>
        </w:tabs>
        <w:numPr>
          <w:ilvl w:val="0"/>
          <w:numId w:val="146"/>
        </w:numPr>
        <w:rPr>
          <w:rFonts w:ascii="Arial" w:cs="Arial" w:eastAsia="Arial" w:hAnsi="Arial"/>
          <w:sz w:val="18"/>
          <w:szCs w:val="18"/>
          <w:b w:val="1"/>
          <w:bCs w:val="1"/>
          <w:color w:val="0067B3"/>
        </w:rPr>
      </w:pPr>
      <w:r>
        <w:rPr>
          <w:rFonts w:ascii="Arial" w:cs="Arial" w:eastAsia="Arial" w:hAnsi="Arial"/>
          <w:sz w:val="18"/>
          <w:szCs w:val="18"/>
          <w:b w:val="1"/>
          <w:bCs w:val="1"/>
          <w:color w:val="0067B3"/>
        </w:rPr>
        <w:t>Will any other matters be voted on at this meeting?</w:t>
      </w:r>
    </w:p>
    <w:p>
      <w:pPr>
        <w:spacing w:after="0" w:line="117" w:lineRule="exact"/>
        <w:rPr>
          <w:sz w:val="20"/>
          <w:szCs w:val="20"/>
          <w:color w:val="auto"/>
        </w:rPr>
      </w:pPr>
    </w:p>
    <w:p>
      <w:pPr>
        <w:ind w:left="252" w:right="60" w:hanging="252"/>
        <w:spacing w:after="0" w:line="265" w:lineRule="auto"/>
        <w:tabs>
          <w:tab w:leader="none" w:pos="383" w:val="left"/>
        </w:tabs>
        <w:numPr>
          <w:ilvl w:val="0"/>
          <w:numId w:val="147"/>
        </w:numPr>
        <w:rPr>
          <w:rFonts w:ascii="Arial" w:cs="Arial" w:eastAsia="Arial" w:hAnsi="Arial"/>
          <w:sz w:val="18"/>
          <w:szCs w:val="18"/>
          <w:b w:val="1"/>
          <w:bCs w:val="1"/>
          <w:color w:val="0067B3"/>
        </w:rPr>
      </w:pPr>
      <w:r>
        <w:rPr>
          <w:rFonts w:ascii="Arial" w:cs="Arial" w:eastAsia="Arial" w:hAnsi="Arial"/>
          <w:sz w:val="18"/>
          <w:szCs w:val="18"/>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color w:val="auto"/>
        </w:rPr>
        <w:t>How and when may I submit a shareholder proposal, including a shareholder nomination for director, for the 2024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of shareholders?</w:t>
      </w:r>
      <w:r>
        <w:rPr>
          <w:rFonts w:ascii="Arial" w:cs="Arial" w:eastAsia="Arial" w:hAnsi="Arial"/>
          <w:sz w:val="18"/>
          <w:szCs w:val="18"/>
          <w:color w:val="auto"/>
        </w:rPr>
        <w:t>” below.</w:t>
      </w:r>
    </w:p>
    <w:p>
      <w:pPr>
        <w:spacing w:after="0" w:line="58" w:lineRule="exact"/>
        <w:rPr>
          <w:sz w:val="20"/>
          <w:szCs w:val="20"/>
          <w:color w:val="auto"/>
        </w:rPr>
      </w:pPr>
    </w:p>
    <w:p>
      <w:pPr>
        <w:ind w:left="392" w:hanging="392"/>
        <w:spacing w:after="0"/>
        <w:tabs>
          <w:tab w:leader="none" w:pos="392" w:val="left"/>
        </w:tabs>
        <w:numPr>
          <w:ilvl w:val="0"/>
          <w:numId w:val="148"/>
        </w:numPr>
        <w:rPr>
          <w:rFonts w:ascii="Arial" w:cs="Arial" w:eastAsia="Arial" w:hAnsi="Arial"/>
          <w:sz w:val="18"/>
          <w:szCs w:val="18"/>
          <w:b w:val="1"/>
          <w:bCs w:val="1"/>
          <w:color w:val="0067B3"/>
        </w:rPr>
      </w:pPr>
      <w:r>
        <w:rPr>
          <w:rFonts w:ascii="Arial" w:cs="Arial" w:eastAsia="Arial" w:hAnsi="Arial"/>
          <w:sz w:val="18"/>
          <w:szCs w:val="18"/>
          <w:b w:val="1"/>
          <w:bCs w:val="1"/>
          <w:color w:val="0067B3"/>
        </w:rPr>
        <w:t>Where can I find the voting results?</w:t>
      </w:r>
    </w:p>
    <w:p>
      <w:pPr>
        <w:spacing w:after="0" w:line="117" w:lineRule="exact"/>
        <w:rPr>
          <w:sz w:val="20"/>
          <w:szCs w:val="20"/>
          <w:color w:val="auto"/>
        </w:rPr>
      </w:pPr>
    </w:p>
    <w:p>
      <w:pPr>
        <w:ind w:left="252" w:right="180" w:hanging="252"/>
        <w:spacing w:after="0" w:line="287" w:lineRule="auto"/>
        <w:tabs>
          <w:tab w:leader="none" w:pos="383" w:val="left"/>
        </w:tabs>
        <w:numPr>
          <w:ilvl w:val="0"/>
          <w:numId w:val="149"/>
        </w:numPr>
        <w:rPr>
          <w:rFonts w:ascii="Arial" w:cs="Arial" w:eastAsia="Arial" w:hAnsi="Arial"/>
          <w:sz w:val="18"/>
          <w:szCs w:val="18"/>
          <w:b w:val="1"/>
          <w:bCs w:val="1"/>
          <w:color w:val="0067B3"/>
        </w:rPr>
      </w:pPr>
      <w:r>
        <w:rPr>
          <w:rFonts w:ascii="Arial" w:cs="Arial" w:eastAsia="Arial" w:hAnsi="Arial"/>
          <w:sz w:val="18"/>
          <w:szCs w:val="18"/>
          <w:color w:val="auto"/>
        </w:rPr>
        <w:t>We will report the voting results in a Form 8-K filed with the U.S. Securities and Exchange Commission within four business days after the conclusion of the Annual Meeting.</w:t>
      </w:r>
    </w:p>
    <w:p>
      <w:pPr>
        <w:sectPr>
          <w:pgSz w:w="11900" w:h="16838" w:orient="portrait"/>
          <w:cols w:equalWidth="0" w:num="1">
            <w:col w:w="11212"/>
          </w:cols>
          <w:pgMar w:left="328" w:top="1174" w:right="359" w:bottom="1440" w:gutter="0" w:footer="0" w:header="0"/>
        </w:sectPr>
      </w:pPr>
    </w:p>
    <w:p>
      <w:pPr>
        <w:spacing w:after="0" w:line="268"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auto"/>
        </w:rPr>
        <w:t>90</w:t>
      </w:r>
    </w:p>
    <w:p>
      <w:pPr>
        <w:jc w:val="right"/>
        <w:ind w:right="7960"/>
        <w:spacing w:after="0"/>
        <w:rPr>
          <w:sz w:val="20"/>
          <w:szCs w:val="20"/>
          <w:color w:val="auto"/>
        </w:rPr>
      </w:pPr>
      <w:r>
        <w:rPr>
          <w:rFonts w:ascii="Arial" w:cs="Arial" w:eastAsia="Arial" w:hAnsi="Arial"/>
          <w:sz w:val="16"/>
          <w:szCs w:val="16"/>
          <w:color w:val="6D6E71"/>
        </w:rPr>
        <w:t>Q&amp;A About Annual Meeting and Voting</w:t>
      </w:r>
    </w:p>
    <w:p>
      <w:pPr>
        <w:sectPr>
          <w:pgSz w:w="11900" w:h="16838" w:orient="portrait"/>
          <w:cols w:equalWidth="0" w:num="1">
            <w:col w:w="11212"/>
          </w:cols>
          <w:pgMar w:left="328" w:top="1174" w:right="359" w:bottom="1440" w:gutter="0" w:footer="0" w:header="0"/>
          <w:type w:val="continuous"/>
        </w:sectPr>
      </w:pPr>
    </w:p>
    <w:bookmarkStart w:id="100" w:name="page101"/>
    <w:bookmarkEnd w:id="100"/>
    <w:p>
      <w:pPr>
        <w:ind w:left="392" w:hanging="392"/>
        <w:spacing w:after="0"/>
        <w:tabs>
          <w:tab w:leader="none" w:pos="392" w:val="left"/>
        </w:tabs>
        <w:numPr>
          <w:ilvl w:val="0"/>
          <w:numId w:val="150"/>
        </w:numPr>
        <w:rPr>
          <w:rFonts w:ascii="Arial" w:cs="Arial" w:eastAsia="Arial" w:hAnsi="Arial"/>
          <w:sz w:val="18"/>
          <w:szCs w:val="18"/>
          <w:b w:val="1"/>
          <w:bCs w:val="1"/>
          <w:color w:val="0067B3"/>
        </w:rPr>
      </w:pPr>
      <w:r>
        <w:rPr>
          <w:rFonts w:ascii="Arial" w:cs="Arial" w:eastAsia="Arial" w:hAnsi="Arial"/>
          <w:sz w:val="18"/>
          <w:szCs w:val="18"/>
          <w:b w:val="1"/>
          <w:bCs w:val="1"/>
          <w:color w:val="0067B3"/>
        </w:rPr>
        <w:t>What are the costs of soliciting these proxies and who will pay?</w:t>
      </w:r>
    </w:p>
    <w:p>
      <w:pPr>
        <w:spacing w:after="0" w:line="117" w:lineRule="exact"/>
        <w:rPr>
          <w:sz w:val="20"/>
          <w:szCs w:val="20"/>
          <w:color w:val="auto"/>
        </w:rPr>
      </w:pPr>
    </w:p>
    <w:p>
      <w:pPr>
        <w:ind w:left="252" w:hanging="252"/>
        <w:spacing w:after="0" w:line="257" w:lineRule="auto"/>
        <w:tabs>
          <w:tab w:leader="none" w:pos="383" w:val="left"/>
        </w:tabs>
        <w:numPr>
          <w:ilvl w:val="0"/>
          <w:numId w:val="151"/>
        </w:numPr>
        <w:rPr>
          <w:rFonts w:ascii="Arial" w:cs="Arial" w:eastAsia="Arial" w:hAnsi="Arial"/>
          <w:sz w:val="18"/>
          <w:szCs w:val="18"/>
          <w:b w:val="1"/>
          <w:bCs w:val="1"/>
          <w:color w:val="0067B3"/>
        </w:rPr>
      </w:pPr>
      <w:r>
        <w:rPr>
          <w:rFonts w:ascii="Arial" w:cs="Arial" w:eastAsia="Arial" w:hAnsi="Arial"/>
          <w:sz w:val="18"/>
          <w:szCs w:val="18"/>
          <w:color w:val="auto"/>
        </w:rPr>
        <w:t>We will bear the costs of solicitation of proxies. We have engaged Alliance Advisors LLC to assist us with the solicitation of proxies and expect to pay Alliance Advisors approximately $14,500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74" w:lineRule="exact"/>
        <w:rPr>
          <w:sz w:val="20"/>
          <w:szCs w:val="20"/>
          <w:color w:val="auto"/>
        </w:rPr>
      </w:pPr>
    </w:p>
    <w:p>
      <w:pPr>
        <w:ind w:left="392" w:hanging="392"/>
        <w:spacing w:after="0"/>
        <w:tabs>
          <w:tab w:leader="none" w:pos="392" w:val="left"/>
        </w:tabs>
        <w:numPr>
          <w:ilvl w:val="0"/>
          <w:numId w:val="152"/>
        </w:numPr>
        <w:rPr>
          <w:rFonts w:ascii="Arial" w:cs="Arial" w:eastAsia="Arial" w:hAnsi="Arial"/>
          <w:sz w:val="18"/>
          <w:szCs w:val="18"/>
          <w:b w:val="1"/>
          <w:bCs w:val="1"/>
          <w:color w:val="0067B3"/>
        </w:rPr>
      </w:pPr>
      <w:r>
        <w:rPr>
          <w:rFonts w:ascii="Arial" w:cs="Arial" w:eastAsia="Arial" w:hAnsi="Arial"/>
          <w:sz w:val="18"/>
          <w:szCs w:val="18"/>
          <w:b w:val="1"/>
          <w:bCs w:val="1"/>
          <w:color w:val="0067B3"/>
        </w:rPr>
        <w:t>Why did I receive a “Notice of Internet Availability of Proxy Materials” but no proxy materials?</w:t>
      </w:r>
    </w:p>
    <w:p>
      <w:pPr>
        <w:spacing w:after="0" w:line="117" w:lineRule="exact"/>
        <w:rPr>
          <w:sz w:val="20"/>
          <w:szCs w:val="20"/>
          <w:color w:val="auto"/>
        </w:rPr>
      </w:pPr>
    </w:p>
    <w:p>
      <w:pPr>
        <w:ind w:left="252" w:right="160" w:hanging="252"/>
        <w:spacing w:after="0" w:line="259" w:lineRule="auto"/>
        <w:tabs>
          <w:tab w:leader="none" w:pos="383" w:val="left"/>
        </w:tabs>
        <w:numPr>
          <w:ilvl w:val="0"/>
          <w:numId w:val="153"/>
        </w:numPr>
        <w:rPr>
          <w:rFonts w:ascii="Arial" w:cs="Arial" w:eastAsia="Arial" w:hAnsi="Arial"/>
          <w:sz w:val="18"/>
          <w:szCs w:val="18"/>
          <w:b w:val="1"/>
          <w:bCs w:val="1"/>
          <w:color w:val="0067B3"/>
        </w:rPr>
      </w:pPr>
      <w:r>
        <w:rPr>
          <w:rFonts w:ascii="Arial" w:cs="Arial" w:eastAsia="Arial" w:hAnsi="Arial"/>
          <w:sz w:val="18"/>
          <w:szCs w:val="18"/>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20, 2023,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71" w:lineRule="exact"/>
        <w:rPr>
          <w:sz w:val="20"/>
          <w:szCs w:val="20"/>
          <w:color w:val="auto"/>
        </w:rPr>
      </w:pPr>
    </w:p>
    <w:p>
      <w:pPr>
        <w:ind w:left="392" w:hanging="392"/>
        <w:spacing w:after="0"/>
        <w:tabs>
          <w:tab w:leader="none" w:pos="392" w:val="left"/>
        </w:tabs>
        <w:numPr>
          <w:ilvl w:val="0"/>
          <w:numId w:val="154"/>
        </w:numPr>
        <w:rPr>
          <w:rFonts w:ascii="Arial" w:cs="Arial" w:eastAsia="Arial" w:hAnsi="Arial"/>
          <w:sz w:val="18"/>
          <w:szCs w:val="18"/>
          <w:b w:val="1"/>
          <w:bCs w:val="1"/>
          <w:color w:val="0067B3"/>
        </w:rPr>
      </w:pPr>
      <w:r>
        <w:rPr>
          <w:rFonts w:ascii="Arial" w:cs="Arial" w:eastAsia="Arial" w:hAnsi="Arial"/>
          <w:sz w:val="18"/>
          <w:szCs w:val="18"/>
          <w:b w:val="1"/>
          <w:bCs w:val="1"/>
          <w:color w:val="0067B3"/>
        </w:rPr>
        <w:t>How can I obtain an Annual Report on Form 10-K?</w:t>
      </w:r>
    </w:p>
    <w:p>
      <w:pPr>
        <w:spacing w:after="0" w:line="117" w:lineRule="exact"/>
        <w:rPr>
          <w:sz w:val="20"/>
          <w:szCs w:val="20"/>
          <w:color w:val="auto"/>
        </w:rPr>
      </w:pPr>
    </w:p>
    <w:p>
      <w:pPr>
        <w:ind w:left="252" w:right="160" w:hanging="252"/>
        <w:spacing w:after="0" w:line="268" w:lineRule="auto"/>
        <w:tabs>
          <w:tab w:leader="none" w:pos="383" w:val="left"/>
        </w:tabs>
        <w:numPr>
          <w:ilvl w:val="0"/>
          <w:numId w:val="155"/>
        </w:numPr>
        <w:rPr>
          <w:rFonts w:ascii="Arial" w:cs="Arial" w:eastAsia="Arial" w:hAnsi="Arial"/>
          <w:sz w:val="18"/>
          <w:szCs w:val="18"/>
          <w:b w:val="1"/>
          <w:bCs w:val="1"/>
          <w:color w:val="0067B3"/>
        </w:rPr>
      </w:pPr>
      <w:r>
        <w:rPr>
          <w:rFonts w:ascii="Arial" w:cs="Arial" w:eastAsia="Arial" w:hAnsi="Arial"/>
          <w:sz w:val="18"/>
          <w:szCs w:val="18"/>
          <w:color w:val="auto"/>
        </w:rPr>
        <w:t>Our Annual Report on Form 10-K for the fiscal year ended October 29, 2022 is available on our website at https://investor.analog.com/financial-info/annual-reports. If you would like a copy of our Annual Report on Form 10-K for fiscal year 2022 and/or any of its exhibits, we will send you such materials without charge. Please contact:</w:t>
      </w:r>
    </w:p>
    <w:p>
      <w:pPr>
        <w:spacing w:after="0" w:line="63" w:lineRule="exact"/>
        <w:rPr>
          <w:sz w:val="20"/>
          <w:szCs w:val="20"/>
          <w:color w:val="auto"/>
        </w:rPr>
      </w:pPr>
    </w:p>
    <w:p>
      <w:pPr>
        <w:ind w:left="252"/>
        <w:spacing w:after="0"/>
        <w:rPr>
          <w:sz w:val="20"/>
          <w:szCs w:val="20"/>
          <w:color w:val="auto"/>
        </w:rPr>
      </w:pPr>
      <w:r>
        <w:rPr>
          <w:rFonts w:ascii="Arial" w:cs="Arial" w:eastAsia="Arial" w:hAnsi="Arial"/>
          <w:sz w:val="18"/>
          <w:szCs w:val="18"/>
          <w:color w:val="auto"/>
        </w:rPr>
        <w:t>Investor Relations Department</w:t>
      </w:r>
    </w:p>
    <w:p>
      <w:pPr>
        <w:spacing w:after="0" w:line="2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252"/>
        <w:spacing w:after="0"/>
        <w:rPr>
          <w:sz w:val="20"/>
          <w:szCs w:val="20"/>
          <w:color w:val="auto"/>
        </w:rPr>
      </w:pPr>
      <w:r>
        <w:rPr>
          <w:rFonts w:ascii="Arial" w:cs="Arial" w:eastAsia="Arial" w:hAnsi="Arial"/>
          <w:sz w:val="18"/>
          <w:szCs w:val="18"/>
          <w:color w:val="auto"/>
        </w:rPr>
        <w:t>Email: investor.relations@analog.com</w:t>
      </w:r>
    </w:p>
    <w:p>
      <w:pPr>
        <w:spacing w:after="0" w:line="99" w:lineRule="exact"/>
        <w:rPr>
          <w:sz w:val="20"/>
          <w:szCs w:val="20"/>
          <w:color w:val="auto"/>
        </w:rPr>
      </w:pPr>
    </w:p>
    <w:p>
      <w:pPr>
        <w:ind w:left="392" w:hanging="392"/>
        <w:spacing w:after="0"/>
        <w:tabs>
          <w:tab w:leader="none" w:pos="392" w:val="left"/>
        </w:tabs>
        <w:numPr>
          <w:ilvl w:val="0"/>
          <w:numId w:val="156"/>
        </w:numPr>
        <w:rPr>
          <w:rFonts w:ascii="Arial" w:cs="Arial" w:eastAsia="Arial" w:hAnsi="Arial"/>
          <w:sz w:val="18"/>
          <w:szCs w:val="18"/>
          <w:b w:val="1"/>
          <w:bCs w:val="1"/>
          <w:color w:val="0067B3"/>
        </w:rPr>
      </w:pPr>
      <w:r>
        <w:rPr>
          <w:rFonts w:ascii="Arial" w:cs="Arial" w:eastAsia="Arial" w:hAnsi="Arial"/>
          <w:sz w:val="18"/>
          <w:szCs w:val="18"/>
          <w:b w:val="1"/>
          <w:bCs w:val="1"/>
          <w:color w:val="0067B3"/>
        </w:rPr>
        <w:t>Whom should I contact if I have any questions?</w:t>
      </w:r>
    </w:p>
    <w:p>
      <w:pPr>
        <w:spacing w:after="0" w:line="117" w:lineRule="exact"/>
        <w:rPr>
          <w:sz w:val="20"/>
          <w:szCs w:val="20"/>
          <w:color w:val="auto"/>
        </w:rPr>
      </w:pPr>
    </w:p>
    <w:p>
      <w:pPr>
        <w:ind w:left="252" w:right="420" w:hanging="252"/>
        <w:spacing w:after="0" w:line="287" w:lineRule="auto"/>
        <w:tabs>
          <w:tab w:leader="none" w:pos="383" w:val="left"/>
        </w:tabs>
        <w:numPr>
          <w:ilvl w:val="0"/>
          <w:numId w:val="157"/>
        </w:numPr>
        <w:rPr>
          <w:rFonts w:ascii="Arial" w:cs="Arial" w:eastAsia="Arial" w:hAnsi="Arial"/>
          <w:sz w:val="18"/>
          <w:szCs w:val="18"/>
          <w:b w:val="1"/>
          <w:bCs w:val="1"/>
          <w:color w:val="0067B3"/>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310" w:lineRule="exact"/>
        <w:rPr>
          <w:sz w:val="20"/>
          <w:szCs w:val="20"/>
          <w:color w:val="auto"/>
        </w:rPr>
      </w:pPr>
    </w:p>
    <w:p>
      <w:pPr>
        <w:ind w:left="9152"/>
        <w:spacing w:after="0"/>
        <w:tabs>
          <w:tab w:leader="none" w:pos="10972"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91</w:t>
      </w:r>
    </w:p>
    <w:p>
      <w:pPr>
        <w:sectPr>
          <w:pgSz w:w="11900" w:h="16838" w:orient="portrait"/>
          <w:cols w:equalWidth="0" w:num="1">
            <w:col w:w="11212"/>
          </w:cols>
          <w:pgMar w:left="328" w:top="1174" w:right="359" w:bottom="1440" w:gutter="0" w:footer="0" w:header="0"/>
        </w:sectPr>
      </w:pPr>
    </w:p>
    <w:bookmarkStart w:id="101" w:name="page102"/>
    <w:bookmarkEnd w:id="101"/>
    <w:p>
      <w:pPr>
        <w:spacing w:after="0"/>
        <w:rPr>
          <w:sz w:val="20"/>
          <w:szCs w:val="20"/>
          <w:color w:val="auto"/>
        </w:rPr>
      </w:pPr>
      <w:r>
        <w:rPr>
          <w:rFonts w:ascii="Arial" w:cs="Arial" w:eastAsia="Arial" w:hAnsi="Arial"/>
          <w:sz w:val="58"/>
          <w:szCs w:val="58"/>
          <w:color w:val="auto"/>
        </w:rPr>
        <w:t>Additional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Other Matters</w:t>
      </w:r>
    </w:p>
    <w:p>
      <w:pPr>
        <w:spacing w:after="0" w:line="16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61"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Shareholder Proposals for Inclusion in Proxy Statement</w:t>
      </w:r>
    </w:p>
    <w:p>
      <w:pPr>
        <w:spacing w:after="0" w:line="16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If you are interested in submitting a proposal for inclusion in our proxy statement for the 2024 annual meeting of shareholders, you need to follow the procedures outlined in Rule 14a-8 of the Exchange Act. To be eligible for inclusion, we must receive your shareholder proposal for our proxy statement for the 2024 annual meeting of shareholders at our principal corporate offices in Wilmington, Massachusetts at the address below no later than September 22, 2023.</w:t>
      </w:r>
    </w:p>
    <w:p>
      <w:pPr>
        <w:spacing w:after="0" w:line="83" w:lineRule="exact"/>
        <w:rPr>
          <w:sz w:val="20"/>
          <w:szCs w:val="20"/>
          <w:color w:val="auto"/>
        </w:rPr>
      </w:pPr>
    </w:p>
    <w:p>
      <w:pPr>
        <w:ind w:right="140"/>
        <w:spacing w:after="0" w:line="276" w:lineRule="auto"/>
        <w:rPr>
          <w:sz w:val="20"/>
          <w:szCs w:val="20"/>
          <w:color w:val="auto"/>
        </w:rPr>
      </w:pPr>
      <w:r>
        <w:rPr>
          <w:rFonts w:ascii="Arial" w:cs="Arial" w:eastAsia="Arial" w:hAnsi="Arial"/>
          <w:sz w:val="41"/>
          <w:szCs w:val="41"/>
          <w:b w:val="1"/>
          <w:bCs w:val="1"/>
          <w:color w:val="0067B3"/>
        </w:rPr>
        <w:t>Shareholder Director Nominations for Inclusion in Proxy Statement</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Board of Directors has implemented a proxy access provision in our bylaws, which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If a shareholder or group of shareholders wishes to nominate one or more director candidates to be included in our proxy statement pursuant to these proxy access provisions in Article I, Section 1.9(c) of our bylaws, the Secretary must receive advance written notice at the address noted below not less than 120 days nor more than 150 days before the first anniversary of the preceding year’s annual meeting. However, if the date of our annual meeting of shareholders is advanced by more than 20 days, or delayed by more than 60 days, from the anniversary date, or if no annual meeting was held in the preceding year, then we must receive such notice at the address noted below not earlier than the 150th day before such annual meeting and not later than the close of business on the later of (1) the 120th day prior to such annual meeting and (2) the seventh day after the day on which notice of the meeting date was mailed or public disclosure was made, whichever occurs first. Assuming that the 2024 annual meeting of shareholders is not advanced by more than 20 days nor delayed by more than 60 days from the anniversary date of the Annual Meeting, you would need to give us appropriate notice at the address noted below no earlier than October 10, 2023, and no later than November 9, 2023.</w:t>
      </w:r>
    </w:p>
    <w:p>
      <w:pPr>
        <w:spacing w:after="0" w:line="88" w:lineRule="exact"/>
        <w:rPr>
          <w:sz w:val="20"/>
          <w:szCs w:val="20"/>
          <w:color w:val="auto"/>
        </w:rPr>
      </w:pPr>
    </w:p>
    <w:p>
      <w:pPr>
        <w:ind w:right="720"/>
        <w:spacing w:after="0" w:line="276" w:lineRule="auto"/>
        <w:rPr>
          <w:sz w:val="20"/>
          <w:szCs w:val="20"/>
          <w:color w:val="auto"/>
        </w:rPr>
      </w:pPr>
      <w:r>
        <w:rPr>
          <w:rFonts w:ascii="Arial" w:cs="Arial" w:eastAsia="Arial" w:hAnsi="Arial"/>
          <w:sz w:val="41"/>
          <w:szCs w:val="41"/>
          <w:b w:val="1"/>
          <w:bCs w:val="1"/>
          <w:color w:val="0067B3"/>
        </w:rPr>
        <w:t>Shareholder Proposals and Director Nominations Not Included in Proxy Statement</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our bylaws require that we be given advance written notice for nominations for election to our Board of Directors and other matters that shareholders wish to present for action at an annual meeting of shareholders other than those to be included in our proxy statement under Rule 14a-8. The Secretary must receive such notice at the address noted below not less than 90 days or more than 120 days before the first anniversary of the preceding year’s annual meeting of shareholders. However, if the date of our annual meeting of shareholders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and (2) the seventh day after the day on which notice of the meeting date was mailed or public disclosure was made, whichever occurs first. Assuming that the 2024 annual meeting of shareholders is not advanced by more than 20 days nor delayed by more than 60 days from the anniversary date of the Annual Meeting, you would need to give us appropriate notice at the address noted below no earlier than November 9, 2023, and no later than December 9, 2023. If a shareholder does not provide timely notice of a nomination or other matter to be presented at the 2024 annual meeting of shareholders, under Massachusetts law, it may not be brought before our shareholders at a meeting. Our bylaws also specify requirements relating to the content of the notice (including the information required by Rule 14a-19 under the Exchange Act) that shareholders must provide to the Secretary of ADI for a shareholder proposal or nomination for director, to be properly presented at an annual shareholder meeting. A copy of the full text of our amended and restated bylaws is on file with the SEC and publicly available on our website.</w:t>
      </w:r>
    </w:p>
    <w:p>
      <w:pPr>
        <w:sectPr>
          <w:pgSz w:w="11900" w:h="16838" w:orient="portrait"/>
          <w:cols w:equalWidth="0" w:num="1">
            <w:col w:w="11240"/>
          </w:cols>
          <w:pgMar w:left="320" w:top="1126" w:right="339" w:bottom="1440" w:gutter="0" w:footer="0" w:header="0"/>
        </w:sect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92</w:t>
      </w:r>
    </w:p>
    <w:p>
      <w:pPr>
        <w:jc w:val="right"/>
        <w:ind w:right="9200"/>
        <w:spacing w:after="0"/>
        <w:rPr>
          <w:sz w:val="20"/>
          <w:szCs w:val="20"/>
          <w:color w:val="auto"/>
        </w:rPr>
      </w:pPr>
      <w:r>
        <w:rPr>
          <w:rFonts w:ascii="Arial" w:cs="Arial" w:eastAsia="Arial" w:hAnsi="Arial"/>
          <w:sz w:val="16"/>
          <w:szCs w:val="16"/>
          <w:color w:val="6D6E71"/>
        </w:rPr>
        <w:t>Additional Information</w:t>
      </w:r>
    </w:p>
    <w:p>
      <w:pPr>
        <w:sectPr>
          <w:pgSz w:w="11900" w:h="16838" w:orient="portrait"/>
          <w:cols w:equalWidth="0" w:num="1">
            <w:col w:w="11240"/>
          </w:cols>
          <w:pgMar w:left="320" w:top="1126"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Any proposals, nominations or notices should be sent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781-937-1164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janene.asgeirsson@analog.com</w:t>
      </w:r>
    </w:p>
    <w:p>
      <w:pPr>
        <w:spacing w:after="0" w:line="376"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Notice of Amendment of Bylaws</w:t>
      </w:r>
    </w:p>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December 6, 2022, our Board of Directors approved amendments to our bylaws to revise and enhance, in light of the universal proxy rules adopted by the Securities and Exchange Commission, procedural mechanics and disclosure requirements in connection with shareholder nominations of directors and submission of proposals regarding other business at shareholder meetings, and to make other administrative, clarifying and conforming changes. The full text of our amended and restated bylaws is filed as Exhibit 3.1 to our Current Report on Form 8-K filed with the SEC on December 8, 2022.</w:t>
      </w:r>
    </w:p>
    <w:p>
      <w:pPr>
        <w:spacing w:after="0" w:line="254" w:lineRule="exact"/>
        <w:rPr>
          <w:sz w:val="20"/>
          <w:szCs w:val="20"/>
          <w:color w:val="auto"/>
        </w:rPr>
      </w:pPr>
    </w:p>
    <w:p>
      <w:pPr>
        <w:spacing w:after="0"/>
        <w:rPr>
          <w:sz w:val="20"/>
          <w:szCs w:val="20"/>
          <w:color w:val="auto"/>
        </w:rPr>
      </w:pPr>
      <w:r>
        <w:rPr>
          <w:rFonts w:ascii="Arial" w:cs="Arial" w:eastAsia="Arial" w:hAnsi="Arial"/>
          <w:sz w:val="41"/>
          <w:szCs w:val="41"/>
          <w:b w:val="1"/>
          <w:bCs w:val="1"/>
          <w:color w:val="0067B3"/>
        </w:rPr>
        <w:t>Householding of Annual Meeting Materials</w:t>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4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93</w:t>
      </w:r>
    </w:p>
    <w:p>
      <w:pPr>
        <w:sectPr>
          <w:pgSz w:w="11900" w:h="16838" w:orient="portrait"/>
          <w:cols w:equalWidth="0" w:num="1">
            <w:col w:w="11220"/>
          </w:cols>
          <w:pgMar w:left="320" w:top="1174" w:right="359" w:bottom="1440" w:gutter="0" w:footer="0" w:header="0"/>
        </w:sectPr>
      </w:pPr>
    </w:p>
    <w:bookmarkStart w:id="103" w:name="page104"/>
    <w:bookmarkEnd w:id="103"/>
    <w:p>
      <w:pPr>
        <w:ind w:right="1980"/>
        <w:spacing w:after="0" w:line="272" w:lineRule="auto"/>
        <w:rPr>
          <w:sz w:val="20"/>
          <w:szCs w:val="20"/>
          <w:color w:val="auto"/>
        </w:rPr>
      </w:pPr>
      <w:r>
        <w:rPr>
          <w:rFonts w:ascii="Arial" w:cs="Arial" w:eastAsia="Arial" w:hAnsi="Arial"/>
          <w:sz w:val="57"/>
          <w:szCs w:val="57"/>
          <w:color w:val="auto"/>
        </w:rPr>
        <w:t>Appendix A: Reconciliation of GAAP Measures to Non-GAAP Measures</w:t>
      </w:r>
    </w:p>
    <w:p>
      <w:pPr>
        <w:spacing w:after="0" w:line="3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Non-GAAP financial measures included in the Proxy Statement are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uses non-GAAP measures internally to evaluate ADI’s operating performance from continuing operations against past periods and to budget and allocate resources in future periods. These non-GAAP measures also assist management in evaluating ADI’s core business and trends across different reporting periods on a consistent basis. Management also uses these non-GAAP measures as the primary performance measurement when communicating with analysts and investors regarding ADI’s earnings results and outlook and believes that the presentation of these non-GAAP measures is useful to investors because it provides investors with the operating results that management uses to manage the company and enables investors and analysts to evaluate ADI’s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non-GAAP measures have material limitations in that they do not reflect all of the amounts associated with ADI’s results of operations as determined in accordance with GAAP and should not be considered in isolation from, or as a substitute for, ADI’s financial results presented in accordance with GAAP. ADI’s use of non-GAAP measures, and the underlying methodology when including or excluding certain items, is not necessarily an indication of the results of operations that may be expected in the future, or that ADI will not, in fact, record such items in future periods. Investors should consider the company’s non-GAAP financial measures in conjunction with the corresponding GAAP measures.</w:t>
      </w:r>
    </w:p>
    <w:p>
      <w:pPr>
        <w:spacing w:after="0" w:line="7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0067B3"/>
        </w:rPr>
        <w:t xml:space="preserve">Free Cash Flow: </w:t>
      </w:r>
      <w:r>
        <w:rPr>
          <w:rFonts w:ascii="Arial" w:cs="Arial" w:eastAsia="Arial" w:hAnsi="Arial"/>
          <w:sz w:val="18"/>
          <w:szCs w:val="18"/>
          <w:color w:val="000000"/>
        </w:rPr>
        <w:t>Net cash provided by operating activities, determined in accordance with GAAP, less additions to property, plant and</w:t>
      </w:r>
      <w:r>
        <w:rPr>
          <w:rFonts w:ascii="Arial" w:cs="Arial" w:eastAsia="Arial" w:hAnsi="Arial"/>
          <w:sz w:val="18"/>
          <w:szCs w:val="18"/>
          <w:color w:val="0067B3"/>
        </w:rPr>
        <w:t xml:space="preserve"> </w:t>
      </w:r>
      <w:r>
        <w:rPr>
          <w:rFonts w:ascii="Arial" w:cs="Arial" w:eastAsia="Arial" w:hAnsi="Arial"/>
          <w:sz w:val="18"/>
          <w:szCs w:val="18"/>
          <w:color w:val="000000"/>
        </w:rPr>
        <w:t>equipment, net. Free cash flow revenue percentage represents free cash flow divided by revenue.</w:t>
      </w:r>
    </w:p>
    <w:p>
      <w:pPr>
        <w:spacing w:after="0" w:line="4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0067B3"/>
        </w:rPr>
        <w:t xml:space="preserve">Acquisition Related Expenses: </w:t>
      </w:r>
      <w:r>
        <w:rPr>
          <w:rFonts w:ascii="Arial" w:cs="Arial" w:eastAsia="Arial" w:hAnsi="Arial"/>
          <w:sz w:val="18"/>
          <w:szCs w:val="18"/>
          <w:color w:val="000000"/>
        </w:rPr>
        <w:t>Expenses incurred as a result of current and prior period acquisitions and primarily include expenses</w:t>
      </w:r>
      <w:r>
        <w:rPr>
          <w:rFonts w:ascii="Arial" w:cs="Arial" w:eastAsia="Arial" w:hAnsi="Arial"/>
          <w:sz w:val="18"/>
          <w:szCs w:val="18"/>
          <w:color w:val="0067B3"/>
        </w:rPr>
        <w:t xml:space="preserve"> </w:t>
      </w:r>
      <w:r>
        <w:rPr>
          <w:rFonts w:ascii="Arial" w:cs="Arial" w:eastAsia="Arial" w:hAnsi="Arial"/>
          <w:sz w:val="18"/>
          <w:szCs w:val="18"/>
          <w:color w:val="000000"/>
        </w:rPr>
        <w:t>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and Linear Technology Corporation (Linear) acquisitions. We excluded these costs from our non-GAAP measures because they relate to specific transactions and are not reflective of our ongoing financial performance.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067B3"/>
        </w:rPr>
        <w:t xml:space="preserve">Acquisition Related Transaction Costs: </w:t>
      </w:r>
      <w:r>
        <w:rPr>
          <w:rFonts w:ascii="Arial" w:cs="Arial" w:eastAsia="Arial" w:hAnsi="Arial"/>
          <w:sz w:val="18"/>
          <w:szCs w:val="18"/>
          <w:color w:val="000000"/>
        </w:rPr>
        <w:t>Costs directly related to the Maxim acquisition, including legal, accounting and other professional fees</w:t>
      </w:r>
      <w:r>
        <w:rPr>
          <w:rFonts w:ascii="Arial" w:cs="Arial" w:eastAsia="Arial" w:hAnsi="Arial"/>
          <w:sz w:val="18"/>
          <w:szCs w:val="18"/>
          <w:color w:val="0067B3"/>
        </w:rPr>
        <w:t xml:space="preserve"> </w:t>
      </w:r>
      <w:r>
        <w:rPr>
          <w:rFonts w:ascii="Arial" w:cs="Arial" w:eastAsia="Arial" w:hAnsi="Arial"/>
          <w:sz w:val="18"/>
          <w:szCs w:val="18"/>
          <w:color w:val="000000"/>
        </w:rPr>
        <w:t>as well as integration-related costs. We excluded these costs from our non-GAAP measures because they relate to a specific transaction and are not reflective of our ongoing financial performance.</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067B3"/>
        </w:rPr>
        <w:t xml:space="preserve">Special Charges, net: </w:t>
      </w:r>
      <w:r>
        <w:rPr>
          <w:rFonts w:ascii="Arial" w:cs="Arial" w:eastAsia="Arial" w:hAnsi="Arial"/>
          <w:sz w:val="18"/>
          <w:szCs w:val="18"/>
          <w:color w:val="000000"/>
        </w:rPr>
        <w:t>Expenses, net, incurred as part of the integration of the Maxim acquisition, in connection with facility closures,</w:t>
      </w:r>
      <w:r>
        <w:rPr>
          <w:rFonts w:ascii="Arial" w:cs="Arial" w:eastAsia="Arial" w:hAnsi="Arial"/>
          <w:sz w:val="18"/>
          <w:szCs w:val="18"/>
          <w:color w:val="0067B3"/>
        </w:rPr>
        <w:t xml:space="preserve"> </w:t>
      </w:r>
      <w:r>
        <w:rPr>
          <w:rFonts w:ascii="Arial" w:cs="Arial" w:eastAsia="Arial" w:hAnsi="Arial"/>
          <w:sz w:val="18"/>
          <w:szCs w:val="18"/>
          <w:color w:val="000000"/>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0067B3"/>
        </w:rPr>
        <w:t xml:space="preserve">Tax Related Items: </w:t>
      </w:r>
      <w:r>
        <w:rPr>
          <w:rFonts w:ascii="Arial" w:cs="Arial" w:eastAsia="Arial" w:hAnsi="Arial"/>
          <w:sz w:val="18"/>
          <w:szCs w:val="18"/>
          <w:color w:val="000000"/>
        </w:rPr>
        <w:t>Income tax effect of the non-GAAP items discussed above, income tax from certain discrete tax items related to an intra-entity transfer of intangible assets, an income tax benefit from discrete tax items related to the consolidation of certain subsidiaries, and certain other income tax benefits associated with prior periods. We excluded the income tax effect of these tax related items from our non-GAAP measures because they are not associated with the tax expense on our current operating results.</w:t>
      </w:r>
    </w:p>
    <w:p>
      <w:pPr>
        <w:spacing w:after="0" w:line="200" w:lineRule="exact"/>
        <w:rPr>
          <w:sz w:val="20"/>
          <w:szCs w:val="20"/>
          <w:color w:val="auto"/>
        </w:rPr>
      </w:pPr>
    </w:p>
    <w:p>
      <w:pPr>
        <w:spacing w:after="0" w:line="290" w:lineRule="exact"/>
        <w:rPr>
          <w:sz w:val="20"/>
          <w:szCs w:val="20"/>
          <w:color w:val="auto"/>
        </w:rPr>
      </w:pPr>
    </w:p>
    <w:p>
      <w:pPr>
        <w:ind w:left="480" w:hanging="454"/>
        <w:spacing w:after="0"/>
        <w:tabs>
          <w:tab w:leader="none" w:pos="480" w:val="left"/>
        </w:tabs>
        <w:numPr>
          <w:ilvl w:val="0"/>
          <w:numId w:val="158"/>
        </w:numPr>
        <w:rPr>
          <w:rFonts w:ascii="Arial" w:cs="Arial" w:eastAsia="Arial" w:hAnsi="Arial"/>
          <w:sz w:val="20"/>
          <w:szCs w:val="20"/>
          <w:b w:val="1"/>
          <w:bCs w:val="1"/>
          <w:color w:val="auto"/>
        </w:rPr>
      </w:pPr>
      <w:r>
        <w:rPr>
          <w:rFonts w:ascii="Arial" w:cs="Arial" w:eastAsia="Arial" w:hAnsi="Arial"/>
          <w:sz w:val="16"/>
          <w:szCs w:val="16"/>
          <w:color w:val="6D6E71"/>
        </w:rPr>
        <w:t>Appendix A: Reconciliation of GAAP Measures to Non-GAAP Measures</w:t>
      </w:r>
    </w:p>
    <w:p>
      <w:pPr>
        <w:sectPr>
          <w:pgSz w:w="11900" w:h="16838" w:orient="portrait"/>
          <w:cols w:equalWidth="0" w:num="1">
            <w:col w:w="11240"/>
          </w:cols>
          <w:pgMar w:left="320" w:top="1126"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0067B3"/>
        </w:rPr>
        <w:t>Reconciliation of GAAP Measures to Non-GAAP Results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Borders>
              <w:bottom w:val="single" w:sz="8" w:color="0067B3"/>
            </w:tcBorders>
          </w:tcPr>
          <w:p>
            <w:pPr>
              <w:spacing w:after="0"/>
              <w:rPr>
                <w:sz w:val="19"/>
                <w:szCs w:val="19"/>
                <w:color w:val="auto"/>
              </w:rPr>
            </w:pPr>
          </w:p>
        </w:tc>
        <w:tc>
          <w:tcPr>
            <w:tcW w:w="3080" w:type="dxa"/>
            <w:vAlign w:val="bottom"/>
            <w:tcBorders>
              <w:bottom w:val="single" w:sz="8" w:color="0067B3"/>
            </w:tcBorders>
            <w:gridSpan w:val="2"/>
          </w:tcPr>
          <w:p>
            <w:pPr>
              <w:jc w:val="center"/>
              <w:ind w:left="292"/>
              <w:spacing w:after="0"/>
              <w:rPr>
                <w:sz w:val="20"/>
                <w:szCs w:val="20"/>
                <w:color w:val="auto"/>
              </w:rPr>
            </w:pPr>
            <w:r>
              <w:rPr>
                <w:rFonts w:ascii="Arial" w:cs="Arial" w:eastAsia="Arial" w:hAnsi="Arial"/>
                <w:sz w:val="16"/>
                <w:szCs w:val="16"/>
                <w:b w:val="1"/>
                <w:bCs w:val="1"/>
                <w:color w:val="auto"/>
              </w:rPr>
              <w:t>Twelve months ended Oct 29, 2022</w:t>
            </w:r>
          </w:p>
        </w:tc>
      </w:tr>
      <w:tr>
        <w:trPr>
          <w:trHeight w:val="261"/>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Gross margin</w:t>
            </w:r>
          </w:p>
        </w:tc>
        <w:tc>
          <w:tcPr>
            <w:tcW w:w="1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7,532,474</w:t>
            </w:r>
          </w:p>
        </w:tc>
      </w:tr>
      <w:tr>
        <w:trPr>
          <w:trHeight w:val="247"/>
        </w:trPr>
        <w:tc>
          <w:tcPr>
            <w:tcW w:w="8160" w:type="dxa"/>
            <w:vAlign w:val="bottom"/>
          </w:tcPr>
          <w:p>
            <w:pPr>
              <w:ind w:left="220"/>
              <w:spacing w:after="0"/>
              <w:rPr>
                <w:sz w:val="20"/>
                <w:szCs w:val="20"/>
                <w:color w:val="auto"/>
              </w:rPr>
            </w:pPr>
            <w:r>
              <w:rPr>
                <w:rFonts w:ascii="Arial" w:cs="Arial" w:eastAsia="Arial" w:hAnsi="Arial"/>
                <w:sz w:val="18"/>
                <w:szCs w:val="18"/>
                <w:color w:val="auto"/>
              </w:rPr>
              <w:t>Gross margin percentage</w:t>
            </w:r>
          </w:p>
        </w:tc>
        <w:tc>
          <w:tcPr>
            <w:tcW w:w="1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62.7 %</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0"/>
        </w:trPr>
        <w:tc>
          <w:tcPr>
            <w:tcW w:w="816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1,309,687</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8,842,161</w:t>
            </w:r>
          </w:p>
        </w:tc>
      </w:tr>
      <w:tr>
        <w:trPr>
          <w:trHeight w:val="247"/>
        </w:trPr>
        <w:tc>
          <w:tcPr>
            <w:tcW w:w="8160" w:type="dxa"/>
            <w:vAlign w:val="bottom"/>
          </w:tcPr>
          <w:p>
            <w:pPr>
              <w:ind w:left="220"/>
              <w:spacing w:after="0"/>
              <w:rPr>
                <w:sz w:val="20"/>
                <w:szCs w:val="20"/>
                <w:color w:val="auto"/>
              </w:rPr>
            </w:pPr>
            <w:r>
              <w:rPr>
                <w:rFonts w:ascii="Arial" w:cs="Arial" w:eastAsia="Arial" w:hAnsi="Arial"/>
                <w:sz w:val="18"/>
                <w:szCs w:val="18"/>
                <w:color w:val="auto"/>
              </w:rPr>
              <w:t>Adjusted gross margin percentage</w:t>
            </w:r>
          </w:p>
        </w:tc>
        <w:tc>
          <w:tcPr>
            <w:tcW w:w="1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73.6 %</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1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3,278,700</w:t>
            </w:r>
          </w:p>
        </w:tc>
      </w:tr>
      <w:tr>
        <w:trPr>
          <w:trHeight w:val="247"/>
        </w:trPr>
        <w:tc>
          <w:tcPr>
            <w:tcW w:w="8160" w:type="dxa"/>
            <w:vAlign w:val="bottom"/>
          </w:tcPr>
          <w:p>
            <w:pPr>
              <w:ind w:left="220"/>
              <w:spacing w:after="0"/>
              <w:rPr>
                <w:sz w:val="20"/>
                <w:szCs w:val="20"/>
                <w:color w:val="auto"/>
              </w:rPr>
            </w:pPr>
            <w:r>
              <w:rPr>
                <w:rFonts w:ascii="Arial" w:cs="Arial" w:eastAsia="Arial" w:hAnsi="Arial"/>
                <w:sz w:val="18"/>
                <w:szCs w:val="18"/>
                <w:color w:val="auto"/>
              </w:rPr>
              <w:t>Operating margin</w:t>
            </w:r>
          </w:p>
        </w:tc>
        <w:tc>
          <w:tcPr>
            <w:tcW w:w="1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27.3 %</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1"/>
        </w:trPr>
        <w:tc>
          <w:tcPr>
            <w:tcW w:w="816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2,352,004</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1"/>
        </w:trPr>
        <w:tc>
          <w:tcPr>
            <w:tcW w:w="8160" w:type="dxa"/>
            <w:vAlign w:val="bottom"/>
          </w:tcPr>
          <w:p>
            <w:pPr>
              <w:ind w:left="420"/>
              <w:spacing w:after="0"/>
              <w:rPr>
                <w:sz w:val="20"/>
                <w:szCs w:val="20"/>
                <w:color w:val="auto"/>
              </w:rPr>
            </w:pPr>
            <w:r>
              <w:rPr>
                <w:rFonts w:ascii="Arial" w:cs="Arial" w:eastAsia="Arial" w:hAnsi="Arial"/>
                <w:sz w:val="18"/>
                <w:szCs w:val="18"/>
                <w:color w:val="auto"/>
              </w:rPr>
              <w:t>Acquisition related transaction costs</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33,966</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1"/>
        </w:trPr>
        <w:tc>
          <w:tcPr>
            <w:tcW w:w="8160" w:type="dxa"/>
            <w:vAlign w:val="bottom"/>
          </w:tcPr>
          <w:p>
            <w:pPr>
              <w:ind w:left="420"/>
              <w:spacing w:after="0"/>
              <w:rPr>
                <w:sz w:val="20"/>
                <w:szCs w:val="20"/>
                <w:color w:val="auto"/>
              </w:rPr>
            </w:pPr>
            <w:r>
              <w:rPr>
                <w:rFonts w:ascii="Arial" w:cs="Arial" w:eastAsia="Arial" w:hAnsi="Arial"/>
                <w:sz w:val="18"/>
                <w:szCs w:val="18"/>
                <w:color w:val="auto"/>
              </w:rPr>
              <w:t>Special charges, net</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274,509</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5,939,179</w:t>
            </w:r>
          </w:p>
        </w:tc>
      </w:tr>
      <w:tr>
        <w:trPr>
          <w:trHeight w:val="247"/>
        </w:trPr>
        <w:tc>
          <w:tcPr>
            <w:tcW w:w="8160" w:type="dxa"/>
            <w:vAlign w:val="bottom"/>
          </w:tcPr>
          <w:p>
            <w:pPr>
              <w:ind w:left="220"/>
              <w:spacing w:after="0"/>
              <w:rPr>
                <w:sz w:val="20"/>
                <w:szCs w:val="20"/>
                <w:color w:val="auto"/>
              </w:rPr>
            </w:pPr>
            <w:r>
              <w:rPr>
                <w:rFonts w:ascii="Arial" w:cs="Arial" w:eastAsia="Arial" w:hAnsi="Arial"/>
                <w:sz w:val="18"/>
                <w:szCs w:val="18"/>
                <w:color w:val="auto"/>
              </w:rPr>
              <w:t>Adjusted operating margin</w:t>
            </w:r>
          </w:p>
        </w:tc>
        <w:tc>
          <w:tcPr>
            <w:tcW w:w="1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49.4 %</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Diluted EPS</w:t>
            </w:r>
          </w:p>
        </w:tc>
        <w:tc>
          <w:tcPr>
            <w:tcW w:w="1900" w:type="dxa"/>
            <w:vAlign w:val="bottom"/>
            <w:tcBorders>
              <w:bottom w:val="single" w:sz="8" w:color="93959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5.25</w:t>
            </w:r>
          </w:p>
        </w:tc>
      </w:tr>
      <w:tr>
        <w:trPr>
          <w:trHeight w:val="247"/>
        </w:trPr>
        <w:tc>
          <w:tcPr>
            <w:tcW w:w="8160" w:type="dxa"/>
            <w:vAlign w:val="bottom"/>
          </w:tcPr>
          <w:p>
            <w:pPr>
              <w:ind w:left="420"/>
              <w:spacing w:after="0"/>
              <w:rPr>
                <w:sz w:val="20"/>
                <w:szCs w:val="20"/>
                <w:color w:val="auto"/>
              </w:rPr>
            </w:pPr>
            <w:r>
              <w:rPr>
                <w:rFonts w:ascii="Arial" w:cs="Arial" w:eastAsia="Arial" w:hAnsi="Arial"/>
                <w:sz w:val="18"/>
                <w:szCs w:val="18"/>
                <w:color w:val="auto"/>
              </w:rPr>
              <w:t>Acquisition related expenses</w:t>
            </w:r>
          </w:p>
        </w:tc>
        <w:tc>
          <w:tcPr>
            <w:tcW w:w="19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4.50</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1"/>
        </w:trPr>
        <w:tc>
          <w:tcPr>
            <w:tcW w:w="8160" w:type="dxa"/>
            <w:vAlign w:val="bottom"/>
          </w:tcPr>
          <w:p>
            <w:pPr>
              <w:ind w:left="420"/>
              <w:spacing w:after="0"/>
              <w:rPr>
                <w:sz w:val="20"/>
                <w:szCs w:val="20"/>
                <w:color w:val="auto"/>
              </w:rPr>
            </w:pPr>
            <w:r>
              <w:rPr>
                <w:rFonts w:ascii="Arial" w:cs="Arial" w:eastAsia="Arial" w:hAnsi="Arial"/>
                <w:sz w:val="18"/>
                <w:szCs w:val="18"/>
                <w:color w:val="auto"/>
              </w:rPr>
              <w:t>Acquisition related transaction costs</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0.06</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0"/>
        </w:trPr>
        <w:tc>
          <w:tcPr>
            <w:tcW w:w="8160" w:type="dxa"/>
            <w:vAlign w:val="bottom"/>
          </w:tcPr>
          <w:p>
            <w:pPr>
              <w:ind w:left="420"/>
              <w:spacing w:after="0"/>
              <w:rPr>
                <w:sz w:val="20"/>
                <w:szCs w:val="20"/>
                <w:color w:val="auto"/>
              </w:rPr>
            </w:pPr>
            <w:r>
              <w:rPr>
                <w:rFonts w:ascii="Arial" w:cs="Arial" w:eastAsia="Arial" w:hAnsi="Arial"/>
                <w:sz w:val="18"/>
                <w:szCs w:val="18"/>
                <w:color w:val="auto"/>
              </w:rPr>
              <w:t>Special charges, net</w:t>
            </w:r>
          </w:p>
        </w:tc>
        <w:tc>
          <w:tcPr>
            <w:tcW w:w="19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0.52</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0"/>
        </w:trPr>
        <w:tc>
          <w:tcPr>
            <w:tcW w:w="8160" w:type="dxa"/>
            <w:vAlign w:val="bottom"/>
          </w:tcPr>
          <w:p>
            <w:pPr>
              <w:ind w:left="420"/>
              <w:spacing w:after="0"/>
              <w:rPr>
                <w:sz w:val="20"/>
                <w:szCs w:val="20"/>
                <w:color w:val="auto"/>
              </w:rPr>
            </w:pPr>
            <w:r>
              <w:rPr>
                <w:rFonts w:ascii="Arial" w:cs="Arial" w:eastAsia="Arial" w:hAnsi="Arial"/>
                <w:sz w:val="18"/>
                <w:szCs w:val="18"/>
                <w:color w:val="auto"/>
              </w:rPr>
              <w:t>Tax related items</w:t>
            </w:r>
          </w:p>
        </w:tc>
        <w:tc>
          <w:tcPr>
            <w:tcW w:w="19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(0.75)</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0067B3"/>
            </w:tcBorders>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900" w:type="dxa"/>
            <w:vAlign w:val="bottom"/>
            <w:tcBorders>
              <w:bottom w:val="single" w:sz="8" w:color="0067B3"/>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0067B3"/>
            </w:tcBorders>
          </w:tcPr>
          <w:p>
            <w:pPr>
              <w:jc w:val="right"/>
              <w:ind w:right="150"/>
              <w:spacing w:after="0"/>
              <w:rPr>
                <w:sz w:val="20"/>
                <w:szCs w:val="20"/>
                <w:color w:val="auto"/>
              </w:rPr>
            </w:pPr>
            <w:r>
              <w:rPr>
                <w:rFonts w:ascii="Arial" w:cs="Arial" w:eastAsia="Arial" w:hAnsi="Arial"/>
                <w:sz w:val="18"/>
                <w:szCs w:val="18"/>
                <w:b w:val="1"/>
                <w:bCs w:val="1"/>
                <w:color w:val="auto"/>
              </w:rPr>
              <w:t>9.57</w:t>
            </w:r>
          </w:p>
        </w:tc>
      </w:tr>
      <w:tr>
        <w:trPr>
          <w:trHeight w:val="458"/>
        </w:trPr>
        <w:tc>
          <w:tcPr>
            <w:tcW w:w="8160" w:type="dxa"/>
            <w:vAlign w:val="bottom"/>
          </w:tcPr>
          <w:p>
            <w:pPr>
              <w:spacing w:after="0"/>
              <w:rPr>
                <w:sz w:val="20"/>
                <w:szCs w:val="20"/>
                <w:color w:val="auto"/>
              </w:rPr>
            </w:pPr>
            <w:r>
              <w:rPr>
                <w:rFonts w:ascii="Arial" w:cs="Arial" w:eastAsia="Arial" w:hAnsi="Arial"/>
                <w:sz w:val="18"/>
                <w:szCs w:val="18"/>
                <w:b w:val="1"/>
                <w:bCs w:val="1"/>
                <w:color w:val="0067B3"/>
              </w:rPr>
              <w:t>Reconciliation of Net Cash Provided by Operating Activities to Free Cash Flow (Unaudited)</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7"/>
        </w:trPr>
        <w:tc>
          <w:tcPr>
            <w:tcW w:w="8160" w:type="dxa"/>
            <w:vAlign w:val="bottom"/>
          </w:tcPr>
          <w:p>
            <w:pPr>
              <w:spacing w:after="0"/>
              <w:rPr>
                <w:sz w:val="20"/>
                <w:szCs w:val="20"/>
                <w:color w:val="auto"/>
              </w:rPr>
            </w:pPr>
            <w:r>
              <w:rPr>
                <w:rFonts w:ascii="Arial" w:cs="Arial" w:eastAsia="Arial" w:hAnsi="Arial"/>
                <w:sz w:val="16"/>
                <w:szCs w:val="16"/>
                <w:color w:val="auto"/>
              </w:rPr>
              <w:t>(In thousands)</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3"/>
        </w:trPr>
        <w:tc>
          <w:tcPr>
            <w:tcW w:w="8160" w:type="dxa"/>
            <w:vAlign w:val="bottom"/>
            <w:tcBorders>
              <w:bottom w:val="single" w:sz="8" w:color="0067B3"/>
            </w:tcBorders>
          </w:tcPr>
          <w:p>
            <w:pPr>
              <w:spacing w:after="0"/>
              <w:rPr>
                <w:sz w:val="24"/>
                <w:szCs w:val="24"/>
                <w:color w:val="auto"/>
              </w:rPr>
            </w:pPr>
          </w:p>
        </w:tc>
        <w:tc>
          <w:tcPr>
            <w:tcW w:w="3080" w:type="dxa"/>
            <w:vAlign w:val="bottom"/>
            <w:tcBorders>
              <w:bottom w:val="single" w:sz="8" w:color="0067B3"/>
            </w:tcBorders>
            <w:gridSpan w:val="2"/>
          </w:tcPr>
          <w:p>
            <w:pPr>
              <w:jc w:val="center"/>
              <w:ind w:left="292"/>
              <w:spacing w:after="0"/>
              <w:rPr>
                <w:sz w:val="20"/>
                <w:szCs w:val="20"/>
                <w:color w:val="auto"/>
              </w:rPr>
            </w:pPr>
            <w:r>
              <w:rPr>
                <w:rFonts w:ascii="Arial" w:cs="Arial" w:eastAsia="Arial" w:hAnsi="Arial"/>
                <w:sz w:val="16"/>
                <w:szCs w:val="16"/>
                <w:b w:val="1"/>
                <w:bCs w:val="1"/>
                <w:color w:val="auto"/>
              </w:rPr>
              <w:t>Twelve months ended Oct 29, 2022</w:t>
            </w:r>
          </w:p>
        </w:tc>
      </w:tr>
      <w:tr>
        <w:trPr>
          <w:trHeight w:val="244"/>
        </w:trPr>
        <w:tc>
          <w:tcPr>
            <w:tcW w:w="8160" w:type="dxa"/>
            <w:vAlign w:val="bottom"/>
          </w:tcPr>
          <w:p>
            <w:pPr>
              <w:ind w:left="20"/>
              <w:spacing w:after="0"/>
              <w:rPr>
                <w:sz w:val="20"/>
                <w:szCs w:val="20"/>
                <w:color w:val="auto"/>
              </w:rPr>
            </w:pPr>
            <w:r>
              <w:rPr>
                <w:rFonts w:ascii="Arial" w:cs="Arial" w:eastAsia="Arial" w:hAnsi="Arial"/>
                <w:sz w:val="18"/>
                <w:szCs w:val="18"/>
                <w:color w:val="auto"/>
              </w:rPr>
              <w:t>Revenue</w:t>
            </w:r>
          </w:p>
        </w:tc>
        <w:tc>
          <w:tcPr>
            <w:tcW w:w="1900" w:type="dxa"/>
            <w:vAlign w:val="bottom"/>
          </w:tcPr>
          <w:p>
            <w:pPr>
              <w:jc w:val="center"/>
              <w:ind w:left="14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12,013,953</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57"/>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900" w:type="dxa"/>
            <w:vAlign w:val="bottom"/>
            <w:tcBorders>
              <w:bottom w:val="single" w:sz="8" w:color="939598"/>
            </w:tcBorders>
          </w:tcPr>
          <w:p>
            <w:pPr>
              <w:jc w:val="center"/>
              <w:ind w:left="147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4,475,402</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40"/>
        </w:trPr>
        <w:tc>
          <w:tcPr>
            <w:tcW w:w="81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900" w:type="dxa"/>
            <w:vAlign w:val="bottom"/>
          </w:tcPr>
          <w:p>
            <w:pPr>
              <w:jc w:val="center"/>
              <w:ind w:left="14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(699,308)</w:t>
            </w:r>
          </w:p>
        </w:tc>
      </w:tr>
      <w:tr>
        <w:trPr>
          <w:trHeight w:val="23"/>
        </w:trPr>
        <w:tc>
          <w:tcPr>
            <w:tcW w:w="8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63"/>
        </w:trPr>
        <w:tc>
          <w:tcPr>
            <w:tcW w:w="8160" w:type="dxa"/>
            <w:vAlign w:val="bottom"/>
            <w:tcBorders>
              <w:bottom w:val="single" w:sz="8" w:color="939598"/>
            </w:tcBorders>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1900" w:type="dxa"/>
            <w:vAlign w:val="bottom"/>
            <w:tcBorders>
              <w:bottom w:val="single" w:sz="8" w:color="939598"/>
            </w:tcBorders>
          </w:tcPr>
          <w:p>
            <w:pPr>
              <w:jc w:val="center"/>
              <w:ind w:left="147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939598"/>
            </w:tcBorders>
          </w:tcPr>
          <w:p>
            <w:pPr>
              <w:jc w:val="right"/>
              <w:ind w:right="150"/>
              <w:spacing w:after="0"/>
              <w:rPr>
                <w:sz w:val="20"/>
                <w:szCs w:val="20"/>
                <w:color w:val="auto"/>
              </w:rPr>
            </w:pPr>
            <w:r>
              <w:rPr>
                <w:rFonts w:ascii="Arial" w:cs="Arial" w:eastAsia="Arial" w:hAnsi="Arial"/>
                <w:sz w:val="18"/>
                <w:szCs w:val="18"/>
                <w:b w:val="1"/>
                <w:bCs w:val="1"/>
                <w:color w:val="auto"/>
              </w:rPr>
              <w:t>3,776,094</w:t>
            </w:r>
          </w:p>
        </w:tc>
      </w:tr>
      <w:tr>
        <w:trPr>
          <w:trHeight w:val="240"/>
        </w:trPr>
        <w:tc>
          <w:tcPr>
            <w:tcW w:w="816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9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
        </w:trPr>
        <w:tc>
          <w:tcPr>
            <w:tcW w:w="8160" w:type="dxa"/>
            <w:vAlign w:val="bottom"/>
            <w:tcBorders>
              <w:bottom w:val="single" w:sz="8" w:color="0067B3"/>
            </w:tcBorders>
          </w:tcPr>
          <w:p>
            <w:pPr>
              <w:spacing w:after="0"/>
              <w:rPr>
                <w:sz w:val="2"/>
                <w:szCs w:val="2"/>
                <w:color w:val="auto"/>
              </w:rPr>
            </w:pPr>
          </w:p>
        </w:tc>
        <w:tc>
          <w:tcPr>
            <w:tcW w:w="1900" w:type="dxa"/>
            <w:vAlign w:val="bottom"/>
            <w:tcBorders>
              <w:bottom w:val="single" w:sz="8" w:color="0067B3"/>
            </w:tcBorders>
          </w:tcPr>
          <w:p>
            <w:pPr>
              <w:spacing w:after="0"/>
              <w:rPr>
                <w:sz w:val="2"/>
                <w:szCs w:val="2"/>
                <w:color w:val="auto"/>
              </w:rPr>
            </w:pPr>
          </w:p>
        </w:tc>
        <w:tc>
          <w:tcPr>
            <w:tcW w:w="1180" w:type="dxa"/>
            <w:vAlign w:val="bottom"/>
            <w:tcBorders>
              <w:bottom w:val="single" w:sz="8" w:color="0067B3"/>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Free cash flow is defined as net cash provided by operating activities, less capital expenditures.</w:t>
      </w:r>
    </w:p>
    <w:p>
      <w:pPr>
        <w:spacing w:after="0" w:line="289" w:lineRule="exact"/>
        <w:rPr>
          <w:sz w:val="20"/>
          <w:szCs w:val="20"/>
          <w:color w:val="auto"/>
        </w:rPr>
      </w:pPr>
    </w:p>
    <w:p>
      <w:pPr>
        <w:ind w:left="9160"/>
        <w:spacing w:after="0"/>
        <w:tabs>
          <w:tab w:leader="none" w:pos="10980" w:val="left"/>
        </w:tabs>
        <w:rPr>
          <w:sz w:val="20"/>
          <w:szCs w:val="20"/>
          <w:color w:val="auto"/>
        </w:rPr>
      </w:pPr>
      <w:r>
        <w:rPr>
          <w:rFonts w:ascii="Arial" w:cs="Arial" w:eastAsia="Arial" w:hAnsi="Arial"/>
          <w:sz w:val="16"/>
          <w:szCs w:val="16"/>
          <w:color w:val="0067B3"/>
        </w:rPr>
        <w:t>2023 Proxy Statement</w:t>
      </w:r>
      <w:r>
        <w:rPr>
          <w:sz w:val="20"/>
          <w:szCs w:val="20"/>
          <w:color w:val="auto"/>
        </w:rPr>
        <w:tab/>
      </w:r>
      <w:r>
        <w:rPr>
          <w:rFonts w:ascii="Arial" w:cs="Arial" w:eastAsia="Arial" w:hAnsi="Arial"/>
          <w:sz w:val="19"/>
          <w:szCs w:val="19"/>
          <w:b w:val="1"/>
          <w:bCs w:val="1"/>
          <w:color w:val="auto"/>
        </w:rPr>
        <w:t>95</w:t>
      </w:r>
    </w:p>
    <w:p>
      <w:pPr>
        <w:sectPr>
          <w:pgSz w:w="11900" w:h="16838" w:orient="portrait"/>
          <w:cols w:equalWidth="0" w:num="1">
            <w:col w:w="11240"/>
          </w:cols>
          <w:pgMar w:left="320" w:top="1214" w:right="339" w:bottom="1440" w:gutter="0" w:footer="0" w:header="0"/>
        </w:sectPr>
      </w:pPr>
    </w:p>
    <w:bookmarkStart w:id="105" w:name="page106"/>
    <w:bookmarkEnd w:id="105"/>
    <w:p>
      <w:pPr>
        <w:spacing w:after="0"/>
        <w:rPr>
          <w:sz w:val="20"/>
          <w:szCs w:val="20"/>
          <w:color w:val="auto"/>
        </w:rPr>
      </w:pPr>
      <w:r>
        <w:rPr>
          <w:rFonts w:ascii="Arial" w:cs="Arial" w:eastAsia="Arial" w:hAnsi="Arial"/>
          <w:sz w:val="58"/>
          <w:szCs w:val="58"/>
          <w:color w:val="auto"/>
        </w:rPr>
        <w:t>Helpful Resources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&amp;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https://investor.analog.com/financial-info/annual-reports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Voting Your Proxy via the Internet Before the Annual Meeting: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67B3"/>
        </w:rPr>
        <w:t>www.proxyvote.com</w:t>
      </w: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https://investor.analog.com/governance/board-of-directors</w:t>
      </w: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Relations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https://investor.analog.com/</w:t>
      </w: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Corporate Social Responsibility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https://www.analog.com/en/company/environment-social-governance.html</w:t>
      </w: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ESG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7B3"/>
        </w:rPr>
        <w:t>https://www.analog.com/media/en/company-csr/2021-esg-report.pdf</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Web links are provided for convenience only, and the content on the referenced websites does not constitute a part of this Proxy Statement.</w:t>
      </w:r>
    </w:p>
    <w:p>
      <w:pPr>
        <w:spacing w:after="0" w:line="200" w:lineRule="exact"/>
        <w:rPr>
          <w:sz w:val="20"/>
          <w:szCs w:val="20"/>
          <w:color w:val="auto"/>
        </w:rPr>
      </w:pPr>
    </w:p>
    <w:p>
      <w:pPr>
        <w:spacing w:after="0" w:line="350" w:lineRule="exact"/>
        <w:rPr>
          <w:sz w:val="20"/>
          <w:szCs w:val="20"/>
          <w:color w:val="auto"/>
        </w:rPr>
      </w:pPr>
    </w:p>
    <w:p>
      <w:pPr>
        <w:ind w:left="480" w:hanging="454"/>
        <w:spacing w:after="0"/>
        <w:tabs>
          <w:tab w:leader="none" w:pos="480" w:val="left"/>
        </w:tabs>
        <w:numPr>
          <w:ilvl w:val="0"/>
          <w:numId w:val="159"/>
        </w:numPr>
        <w:rPr>
          <w:rFonts w:ascii="Arial" w:cs="Arial" w:eastAsia="Arial" w:hAnsi="Arial"/>
          <w:sz w:val="20"/>
          <w:szCs w:val="20"/>
          <w:b w:val="1"/>
          <w:bCs w:val="1"/>
          <w:color w:val="auto"/>
        </w:rPr>
      </w:pPr>
      <w:r>
        <w:rPr>
          <w:rFonts w:ascii="Arial" w:cs="Arial" w:eastAsia="Arial" w:hAnsi="Arial"/>
          <w:sz w:val="16"/>
          <w:szCs w:val="16"/>
          <w:color w:val="6D6E71"/>
        </w:rPr>
        <w:t>Helpful Resources</w:t>
      </w:r>
    </w:p>
    <w:p>
      <w:pPr>
        <w:sectPr>
          <w:pgSz w:w="11900" w:h="16838" w:orient="portrait"/>
          <w:cols w:equalWidth="0" w:num="1">
            <w:col w:w="11100"/>
          </w:cols>
          <w:pgMar w:left="320" w:top="1126" w:right="47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7949565</wp:posOffset>
            </wp:positionV>
            <wp:extent cx="1731645" cy="7626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762635"/>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8018145</wp:posOffset>
            </wp:positionV>
            <wp:extent cx="1482725" cy="6940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94055"/>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8841105</wp:posOffset>
            </wp:positionV>
            <wp:extent cx="737235" cy="316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372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67B3"/>
        </w:rPr>
        <w:t>www.analog.com</w:t>
      </w:r>
    </w:p>
    <w:p>
      <w:pPr>
        <w:sectPr>
          <w:pgSz w:w="11900" w:h="16838" w:orient="portrait"/>
          <w:cols w:equalWidth="0" w:num="1">
            <w:col w:w="10139"/>
          </w:cols>
          <w:pgMar w:left="320" w:top="1440" w:right="1440" w:bottom="1440"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6995160" cy="90608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6995160" cy="90608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1."/>
      <w:numFmt w:val="decimal"/>
      <w:start w:val="1"/>
    </w:lvl>
  </w:abstractNum>
  <w:abstractNum w:abstractNumId="6">
    <w:nsid w:val="1A27709E"/>
    <w:multiLevelType w:val="hybridMultilevel"/>
    <w:lvl w:ilvl="0">
      <w:lvlJc w:val="left"/>
      <w:lvlText w:val="Ñ"/>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2"/>
      <w:numFmt w:val="bullet"/>
      <w:start w:val="1"/>
    </w:lvl>
  </w:abstractNum>
  <w:abstractNum w:abstractNumId="9">
    <w:nsid w:val="7FB7E0AA"/>
    <w:multiLevelType w:val="hybridMultilevel"/>
    <w:lvl w:ilvl="0">
      <w:lvlJc w:val="left"/>
      <w:lvlText w:val="Ñ"/>
      <w:numFmt w:val="bullet"/>
      <w:start w:val="1"/>
    </w:lvl>
    <w:lvl w:ilvl="1">
      <w:lvlJc w:val="left"/>
      <w:lvlText w:val="Ñ"/>
      <w:numFmt w:val="bullet"/>
      <w:start w:val="1"/>
    </w:lvl>
  </w:abstractNum>
  <w:abstractNum w:abstractNumId="10">
    <w:nsid w:val="6EB5BD4"/>
    <w:multiLevelType w:val="hybridMultilevel"/>
    <w:lvl w:ilvl="0">
      <w:lvlJc w:val="left"/>
      <w:lvlText w:val="Ñ"/>
      <w:numFmt w:val="bullet"/>
      <w:start w:val="1"/>
    </w:lvl>
  </w:abstractNum>
  <w:abstractNum w:abstractNumId="11">
    <w:nsid w:val="6F6DD9AC"/>
    <w:multiLevelType w:val="hybridMultilevel"/>
    <w:lvl w:ilvl="0">
      <w:lvlJc w:val="left"/>
      <w:lvlText w:val="Ñ"/>
      <w:numFmt w:val="bullet"/>
      <w:start w:val="1"/>
    </w:lvl>
  </w:abstractNum>
  <w:abstractNum w:abstractNumId="12">
    <w:nsid w:val="94211F2"/>
    <w:multiLevelType w:val="hybridMultilevel"/>
    <w:lvl w:ilvl="0">
      <w:lvlJc w:val="left"/>
      <w:lvlText w:val="Ñ"/>
      <w:numFmt w:val="bullet"/>
      <w:start w:val="1"/>
    </w:lvl>
  </w:abstractNum>
  <w:abstractNum w:abstractNumId="13">
    <w:nsid w:val="885E1B"/>
    <w:multiLevelType w:val="hybridMultilevel"/>
    <w:lvl w:ilvl="0">
      <w:lvlJc w:val="left"/>
      <w:lvlText w:val="4"/>
      <w:numFmt w:val="bullet"/>
      <w:start w:val="1"/>
    </w:lvl>
  </w:abstractNum>
  <w:abstractNum w:abstractNumId="14">
    <w:nsid w:val="76272110"/>
    <w:multiLevelType w:val="hybridMultilevel"/>
    <w:lvl w:ilvl="0">
      <w:lvlJc w:val="left"/>
      <w:lvlText w:val="Ñ"/>
      <w:numFmt w:val="bullet"/>
      <w:start w:val="1"/>
    </w:lvl>
  </w:abstractNum>
  <w:abstractNum w:abstractNumId="15">
    <w:nsid w:val="4C04A8AF"/>
    <w:multiLevelType w:val="hybridMultilevel"/>
    <w:lvl w:ilvl="0">
      <w:lvlJc w:val="left"/>
      <w:lvlText w:val="Ñ"/>
      <w:numFmt w:val="bullet"/>
      <w:start w:val="1"/>
    </w:lvl>
  </w:abstractNum>
  <w:abstractNum w:abstractNumId="16">
    <w:nsid w:val="1716703B"/>
    <w:multiLevelType w:val="hybridMultilevel"/>
    <w:lvl w:ilvl="0">
      <w:lvlJc w:val="left"/>
      <w:lvlText w:val="Ñ"/>
      <w:numFmt w:val="bullet"/>
      <w:start w:val="1"/>
    </w:lvl>
  </w:abstractNum>
  <w:abstractNum w:abstractNumId="17">
    <w:nsid w:val="14E17E33"/>
    <w:multiLevelType w:val="hybridMultilevel"/>
    <w:lvl w:ilvl="0">
      <w:lvlJc w:val="left"/>
      <w:lvlText w:val="6"/>
      <w:numFmt w:val="bullet"/>
      <w:start w:val="1"/>
    </w:lvl>
  </w:abstractNum>
  <w:abstractNum w:abstractNumId="18">
    <w:nsid w:val="3222E7CD"/>
    <w:multiLevelType w:val="hybridMultilevel"/>
    <w:lvl w:ilvl="0">
      <w:lvlJc w:val="left"/>
      <w:lvlText w:val="Ñ"/>
      <w:numFmt w:val="bullet"/>
      <w:start w:val="1"/>
    </w:lvl>
  </w:abstractNum>
  <w:abstractNum w:abstractNumId="19">
    <w:nsid w:val="74DE0EE3"/>
    <w:multiLevelType w:val="hybridMultilevel"/>
    <w:lvl w:ilvl="0">
      <w:lvlJc w:val="left"/>
      <w:lvlText w:val="8"/>
      <w:numFmt w:val="bullet"/>
      <w:start w:val="1"/>
    </w:lvl>
  </w:abstractNum>
  <w:abstractNum w:abstractNumId="20">
    <w:nsid w:val="68EBC550"/>
    <w:multiLevelType w:val="hybridMultilevel"/>
    <w:lvl w:ilvl="0">
      <w:lvlJc w:val="left"/>
      <w:lvlText w:val="%1"/>
      <w:numFmt w:val="decimal"/>
      <w:start w:val="10"/>
    </w:lvl>
  </w:abstractNum>
  <w:abstractNum w:abstractNumId="21">
    <w:nsid w:val="2DF6D648"/>
    <w:multiLevelType w:val="hybridMultilevel"/>
    <w:lvl w:ilvl="0">
      <w:lvlJc w:val="left"/>
      <w:lvlText w:val="Ñ"/>
      <w:numFmt w:val="bullet"/>
      <w:start w:val="1"/>
    </w:lvl>
  </w:abstractNum>
  <w:abstractNum w:abstractNumId="22">
    <w:nsid w:val="46B7D447"/>
    <w:multiLevelType w:val="hybridMultilevel"/>
    <w:lvl w:ilvl="0">
      <w:lvlJc w:val="left"/>
      <w:lvlText w:val="Ñ"/>
      <w:numFmt w:val="bullet"/>
      <w:start w:val="1"/>
    </w:lvl>
  </w:abstractNum>
  <w:abstractNum w:abstractNumId="23">
    <w:nsid w:val="4A2AC315"/>
    <w:multiLevelType w:val="hybridMultilevel"/>
    <w:lvl w:ilvl="0">
      <w:lvlJc w:val="left"/>
      <w:lvlText w:val="Ñ"/>
      <w:numFmt w:val="bullet"/>
      <w:start w:val="1"/>
    </w:lvl>
  </w:abstractNum>
  <w:abstractNum w:abstractNumId="24">
    <w:nsid w:val="39EE015C"/>
    <w:multiLevelType w:val="hybridMultilevel"/>
    <w:lvl w:ilvl="0">
      <w:lvlJc w:val="left"/>
      <w:lvlText w:val="Ñ"/>
      <w:numFmt w:val="bullet"/>
      <w:start w:val="1"/>
    </w:lvl>
  </w:abstractNum>
  <w:abstractNum w:abstractNumId="25">
    <w:nsid w:val="57FC4FBB"/>
    <w:multiLevelType w:val="hybridMultilevel"/>
    <w:lvl w:ilvl="0">
      <w:lvlJc w:val="left"/>
      <w:lvlText w:val="Ñ"/>
      <w:numFmt w:val="bullet"/>
      <w:start w:val="1"/>
    </w:lvl>
  </w:abstractNum>
  <w:abstractNum w:abstractNumId="26">
    <w:nsid w:val="CC1016F"/>
    <w:multiLevelType w:val="hybridMultilevel"/>
    <w:lvl w:ilvl="0">
      <w:lvlJc w:val="left"/>
      <w:lvlText w:val="%1"/>
      <w:numFmt w:val="decimal"/>
      <w:start w:val="12"/>
    </w:lvl>
  </w:abstractNum>
  <w:abstractNum w:abstractNumId="27">
    <w:nsid w:val="43F18422"/>
    <w:multiLevelType w:val="hybridMultilevel"/>
    <w:lvl w:ilvl="0">
      <w:lvlJc w:val="left"/>
      <w:lvlText w:val="(%1)"/>
      <w:numFmt w:val="decimal"/>
      <w:start w:val="1"/>
    </w:lvl>
  </w:abstractNum>
  <w:abstractNum w:abstractNumId="28">
    <w:nsid w:val="60EF0119"/>
    <w:multiLevelType w:val="hybridMultilevel"/>
    <w:lvl w:ilvl="0">
      <w:lvlJc w:val="left"/>
      <w:lvlText w:val="(%1)"/>
      <w:numFmt w:val="decimal"/>
      <w:start w:val="1"/>
    </w:lvl>
  </w:abstractNum>
  <w:abstractNum w:abstractNumId="29">
    <w:nsid w:val="26F324BA"/>
    <w:multiLevelType w:val="hybridMultilevel"/>
    <w:lvl w:ilvl="0">
      <w:lvlJc w:val="left"/>
      <w:lvlText w:val="%1"/>
      <w:numFmt w:val="decimal"/>
      <w:start w:val="14"/>
    </w:lvl>
  </w:abstractNum>
  <w:abstractNum w:abstractNumId="30">
    <w:nsid w:val="7F01579B"/>
    <w:multiLevelType w:val="hybridMultilevel"/>
    <w:lvl w:ilvl="0">
      <w:lvlJc w:val="left"/>
      <w:lvlText w:val="%1"/>
      <w:numFmt w:val="decimal"/>
      <w:start w:val="16"/>
    </w:lvl>
  </w:abstractNum>
  <w:abstractNum w:abstractNumId="31">
    <w:nsid w:val="49DA307D"/>
    <w:multiLevelType w:val="hybridMultilevel"/>
    <w:lvl w:ilvl="0">
      <w:lvlJc w:val="left"/>
      <w:lvlText w:val="(%1)"/>
      <w:numFmt w:val="decimal"/>
      <w:start w:val="1"/>
    </w:lvl>
  </w:abstractNum>
  <w:abstractNum w:abstractNumId="32">
    <w:nsid w:val="7055A5F5"/>
    <w:multiLevelType w:val="hybridMultilevel"/>
    <w:lvl w:ilvl="0">
      <w:lvlJc w:val="left"/>
      <w:lvlText w:val="Ñ"/>
      <w:numFmt w:val="bullet"/>
      <w:start w:val="1"/>
    </w:lvl>
  </w:abstractNum>
  <w:abstractNum w:abstractNumId="33">
    <w:nsid w:val="5FB8370B"/>
    <w:multiLevelType w:val="hybridMultilevel"/>
    <w:lvl w:ilvl="0">
      <w:lvlJc w:val="left"/>
      <w:lvlText w:val="Ñ"/>
      <w:numFmt w:val="bullet"/>
      <w:start w:val="1"/>
    </w:lvl>
  </w:abstractNum>
  <w:abstractNum w:abstractNumId="34">
    <w:nsid w:val="50801EE1"/>
    <w:multiLevelType w:val="hybridMultilevel"/>
    <w:lvl w:ilvl="0">
      <w:lvlJc w:val="left"/>
      <w:lvlText w:val="(%1)"/>
      <w:numFmt w:val="decimal"/>
      <w:start w:val="1"/>
    </w:lvl>
  </w:abstractNum>
  <w:abstractNum w:abstractNumId="35">
    <w:nsid w:val="488AC1A"/>
    <w:multiLevelType w:val="hybridMultilevel"/>
    <w:lvl w:ilvl="0">
      <w:lvlJc w:val="left"/>
      <w:lvlText w:val="(%1)"/>
      <w:numFmt w:val="decimal"/>
      <w:start w:val="1"/>
    </w:lvl>
  </w:abstractNum>
  <w:abstractNum w:abstractNumId="36">
    <w:nsid w:val="5FB8011C"/>
    <w:multiLevelType w:val="hybridMultilevel"/>
    <w:lvl w:ilvl="0">
      <w:lvlJc w:val="left"/>
      <w:lvlText w:val="Ñ"/>
      <w:numFmt w:val="bullet"/>
      <w:start w:val="1"/>
    </w:lvl>
  </w:abstractNum>
  <w:abstractNum w:abstractNumId="37">
    <w:nsid w:val="6AA78F7F"/>
    <w:multiLevelType w:val="hybridMultilevel"/>
    <w:lvl w:ilvl="0">
      <w:lvlJc w:val="left"/>
      <w:lvlText w:val="(%1)"/>
      <w:numFmt w:val="decimal"/>
      <w:start w:val="1"/>
    </w:lvl>
  </w:abstractNum>
  <w:abstractNum w:abstractNumId="38">
    <w:nsid w:val="7672BD23"/>
    <w:multiLevelType w:val="hybridMultilevel"/>
    <w:lvl w:ilvl="0">
      <w:lvlJc w:val="left"/>
      <w:lvlText w:val="Ñ"/>
      <w:numFmt w:val="bullet"/>
      <w:start w:val="1"/>
    </w:lvl>
  </w:abstractNum>
  <w:abstractNum w:abstractNumId="39">
    <w:nsid w:val="6FC75AF8"/>
    <w:multiLevelType w:val="hybridMultilevel"/>
    <w:lvl w:ilvl="0">
      <w:lvlJc w:val="left"/>
      <w:lvlText w:val="Ñ"/>
      <w:numFmt w:val="bullet"/>
      <w:start w:val="1"/>
    </w:lvl>
  </w:abstractNum>
  <w:abstractNum w:abstractNumId="40">
    <w:nsid w:val="6A5F7029"/>
    <w:multiLevelType w:val="hybridMultilevel"/>
    <w:lvl w:ilvl="0">
      <w:lvlJc w:val="left"/>
      <w:lvlText w:val="Ñ"/>
      <w:numFmt w:val="bullet"/>
      <w:start w:val="1"/>
    </w:lvl>
  </w:abstractNum>
  <w:abstractNum w:abstractNumId="41">
    <w:nsid w:val="7D5E18F8"/>
    <w:multiLevelType w:val="hybridMultilevel"/>
    <w:lvl w:ilvl="0">
      <w:lvlJc w:val="left"/>
      <w:lvlText w:val="Ñ"/>
      <w:numFmt w:val="bullet"/>
      <w:start w:val="1"/>
    </w:lvl>
  </w:abstractNum>
  <w:abstractNum w:abstractNumId="42">
    <w:nsid w:val="5F3534A4"/>
    <w:multiLevelType w:val="hybridMultilevel"/>
    <w:lvl w:ilvl="0">
      <w:lvlJc w:val="left"/>
      <w:lvlText w:val="Ñ"/>
      <w:numFmt w:val="bullet"/>
      <w:start w:val="1"/>
    </w:lvl>
  </w:abstractNum>
  <w:abstractNum w:abstractNumId="43">
    <w:nsid w:val="73A1821B"/>
    <w:multiLevelType w:val="hybridMultilevel"/>
    <w:lvl w:ilvl="0">
      <w:lvlJc w:val="left"/>
      <w:lvlText w:val="Ñ"/>
      <w:numFmt w:val="bullet"/>
      <w:start w:val="1"/>
    </w:lvl>
  </w:abstractNum>
  <w:abstractNum w:abstractNumId="44">
    <w:nsid w:val="7DE67713"/>
    <w:multiLevelType w:val="hybridMultilevel"/>
    <w:lvl w:ilvl="0">
      <w:lvlJc w:val="left"/>
      <w:lvlText w:val="Ñ"/>
      <w:numFmt w:val="bullet"/>
      <w:start w:val="1"/>
    </w:lvl>
  </w:abstractNum>
  <w:abstractNum w:abstractNumId="45">
    <w:nsid w:val="555C55B5"/>
    <w:multiLevelType w:val="hybridMultilevel"/>
    <w:lvl w:ilvl="0">
      <w:lvlJc w:val="left"/>
      <w:lvlText w:val="Ñ"/>
      <w:numFmt w:val="bullet"/>
      <w:start w:val="1"/>
    </w:lvl>
  </w:abstractNum>
  <w:abstractNum w:abstractNumId="46">
    <w:nsid w:val="3FA62ACA"/>
    <w:multiLevelType w:val="hybridMultilevel"/>
    <w:lvl w:ilvl="0">
      <w:lvlJc w:val="left"/>
      <w:lvlText w:val="Ñ"/>
      <w:numFmt w:val="bullet"/>
      <w:start w:val="1"/>
    </w:lvl>
  </w:abstractNum>
  <w:abstractNum w:abstractNumId="47">
    <w:nsid w:val="14FCE74E"/>
    <w:multiLevelType w:val="hybridMultilevel"/>
    <w:lvl w:ilvl="0">
      <w:lvlJc w:val="left"/>
      <w:lvlText w:val="Ñ"/>
      <w:numFmt w:val="bullet"/>
      <w:start w:val="1"/>
    </w:lvl>
  </w:abstractNum>
  <w:abstractNum w:abstractNumId="48">
    <w:nsid w:val="6A3DD3E8"/>
    <w:multiLevelType w:val="hybridMultilevel"/>
    <w:lvl w:ilvl="0">
      <w:lvlJc w:val="left"/>
      <w:lvlText w:val="Ñ"/>
      <w:numFmt w:val="bullet"/>
      <w:start w:val="1"/>
    </w:lvl>
  </w:abstractNum>
  <w:abstractNum w:abstractNumId="49">
    <w:nsid w:val="71C91298"/>
    <w:multiLevelType w:val="hybridMultilevel"/>
    <w:lvl w:ilvl="0">
      <w:lvlJc w:val="left"/>
      <w:lvlText w:val="Ñ"/>
      <w:numFmt w:val="bullet"/>
      <w:start w:val="1"/>
    </w:lvl>
  </w:abstractNum>
  <w:abstractNum w:abstractNumId="50">
    <w:nsid w:val="9DAF632"/>
    <w:multiLevelType w:val="hybridMultilevel"/>
    <w:lvl w:ilvl="0">
      <w:lvlJc w:val="left"/>
      <w:lvlText w:val="Ñ"/>
      <w:numFmt w:val="bullet"/>
      <w:start w:val="1"/>
    </w:lvl>
  </w:abstractNum>
  <w:abstractNum w:abstractNumId="51">
    <w:nsid w:val="53299938"/>
    <w:multiLevelType w:val="hybridMultilevel"/>
    <w:lvl w:ilvl="0">
      <w:lvlJc w:val="left"/>
      <w:lvlText w:val="Ñ"/>
      <w:numFmt w:val="bullet"/>
      <w:start w:val="1"/>
    </w:lvl>
  </w:abstractNum>
  <w:abstractNum w:abstractNumId="52">
    <w:nsid w:val="1FBFE8E0"/>
    <w:multiLevelType w:val="hybridMultilevel"/>
    <w:lvl w:ilvl="0">
      <w:lvlJc w:val="left"/>
      <w:lvlText w:val="Ñ"/>
      <w:numFmt w:val="bullet"/>
      <w:start w:val="1"/>
    </w:lvl>
  </w:abstractNum>
  <w:abstractNum w:abstractNumId="53">
    <w:nsid w:val="5092CA79"/>
    <w:multiLevelType w:val="hybridMultilevel"/>
    <w:lvl w:ilvl="0">
      <w:lvlJc w:val="left"/>
      <w:lvlText w:val="Ñ"/>
      <w:numFmt w:val="bullet"/>
      <w:start w:val="1"/>
    </w:lvl>
  </w:abstractNum>
  <w:abstractNum w:abstractNumId="54">
    <w:nsid w:val="1D545C4D"/>
    <w:multiLevelType w:val="hybridMultilevel"/>
    <w:lvl w:ilvl="0">
      <w:lvlJc w:val="left"/>
      <w:lvlText w:val="Ñ"/>
      <w:numFmt w:val="bullet"/>
      <w:start w:val="1"/>
    </w:lvl>
  </w:abstractNum>
  <w:abstractNum w:abstractNumId="55">
    <w:nsid w:val="59ADEA3D"/>
    <w:multiLevelType w:val="hybridMultilevel"/>
    <w:lvl w:ilvl="0">
      <w:lvlJc w:val="left"/>
      <w:lvlText w:val="Ñ"/>
      <w:numFmt w:val="bullet"/>
      <w:start w:val="1"/>
    </w:lvl>
  </w:abstractNum>
  <w:abstractNum w:abstractNumId="56">
    <w:nsid w:val="288F1A34"/>
    <w:multiLevelType w:val="hybridMultilevel"/>
    <w:lvl w:ilvl="0">
      <w:lvlJc w:val="left"/>
      <w:lvlText w:val="(%1)"/>
      <w:numFmt w:val="decimal"/>
      <w:start w:val="1"/>
    </w:lvl>
  </w:abstractNum>
  <w:abstractNum w:abstractNumId="57">
    <w:nsid w:val="2A155DBC"/>
    <w:multiLevelType w:val="hybridMultilevel"/>
    <w:lvl w:ilvl="0">
      <w:lvlJc w:val="left"/>
      <w:lvlText w:val="(%1)"/>
      <w:numFmt w:val="decimal"/>
      <w:start w:val="1"/>
    </w:lvl>
  </w:abstractNum>
  <w:abstractNum w:abstractNumId="58">
    <w:nsid w:val="1D9F6E5F"/>
    <w:multiLevelType w:val="hybridMultilevel"/>
    <w:lvl w:ilvl="0">
      <w:lvlJc w:val="left"/>
      <w:lvlText w:val="(%1)"/>
      <w:numFmt w:val="lowerLetter"/>
      <w:start w:val="1"/>
    </w:lvl>
  </w:abstractNum>
  <w:abstractNum w:abstractNumId="59">
    <w:nsid w:val="97E1B4E"/>
    <w:multiLevelType w:val="hybridMultilevel"/>
    <w:lvl w:ilvl="0">
      <w:lvlJc w:val="left"/>
      <w:lvlText w:val="(%1)"/>
      <w:numFmt w:val="decimal"/>
      <w:start w:val="4"/>
    </w:lvl>
  </w:abstractNum>
  <w:abstractNum w:abstractNumId="60">
    <w:nsid w:val="51088277"/>
    <w:multiLevelType w:val="hybridMultilevel"/>
    <w:lvl w:ilvl="0">
      <w:lvlJc w:val="left"/>
      <w:lvlText w:val="Ñ"/>
      <w:numFmt w:val="bullet"/>
      <w:start w:val="1"/>
    </w:lvl>
  </w:abstractNum>
  <w:abstractNum w:abstractNumId="61">
    <w:nsid w:val="1CA0C5FA"/>
    <w:multiLevelType w:val="hybridMultilevel"/>
    <w:lvl w:ilvl="0">
      <w:lvlJc w:val="left"/>
      <w:lvlText w:val="Ñ"/>
      <w:numFmt w:val="bullet"/>
      <w:start w:val="1"/>
    </w:lvl>
  </w:abstractNum>
  <w:abstractNum w:abstractNumId="62">
    <w:nsid w:val="53584BCB"/>
    <w:multiLevelType w:val="hybridMultilevel"/>
    <w:lvl w:ilvl="0">
      <w:lvlJc w:val="left"/>
      <w:lvlText w:val="%1"/>
      <w:numFmt w:val="decimal"/>
      <w:start w:val="48"/>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1"/>
      <w:numFmt w:val="decimal"/>
      <w:start w:val="50"/>
    </w:lvl>
  </w:abstractNum>
  <w:abstractNum w:abstractNumId="65">
    <w:nsid w:val="23D86AAC"/>
    <w:multiLevelType w:val="hybridMultilevel"/>
    <w:lvl w:ilvl="0">
      <w:lvlJc w:val="left"/>
      <w:lvlText w:val="Ñ"/>
      <w:numFmt w:val="bullet"/>
      <w:start w:val="1"/>
    </w:lvl>
  </w:abstractNum>
  <w:abstractNum w:abstractNumId="66">
    <w:nsid w:val="45E6D486"/>
    <w:multiLevelType w:val="hybridMultilevel"/>
    <w:lvl w:ilvl="0">
      <w:lvlJc w:val="left"/>
      <w:lvlText w:val="Ñ"/>
      <w:numFmt w:val="bullet"/>
      <w:start w:val="1"/>
    </w:lvl>
  </w:abstractNum>
  <w:abstractNum w:abstractNumId="67">
    <w:nsid w:val="5C10FE21"/>
    <w:multiLevelType w:val="hybridMultilevel"/>
    <w:lvl w:ilvl="0">
      <w:lvlJc w:val="left"/>
      <w:lvlText w:val="Ñ"/>
      <w:numFmt w:val="bullet"/>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Ñ"/>
      <w:numFmt w:val="bullet"/>
      <w:start w:val="1"/>
    </w:lvl>
  </w:abstractNum>
  <w:abstractNum w:abstractNumId="70">
    <w:nsid w:val="4BD8591A"/>
    <w:multiLevelType w:val="hybridMultilevel"/>
    <w:lvl w:ilvl="0">
      <w:lvlJc w:val="left"/>
      <w:lvlText w:val="Ñ"/>
      <w:numFmt w:val="bullet"/>
      <w:start w:val="1"/>
    </w:lvl>
  </w:abstractNum>
  <w:abstractNum w:abstractNumId="71">
    <w:nsid w:val="78DF6A55"/>
    <w:multiLevelType w:val="hybridMultilevel"/>
    <w:lvl w:ilvl="0">
      <w:lvlJc w:val="left"/>
      <w:lvlText w:val="%1"/>
      <w:numFmt w:val="decimal"/>
      <w:start w:val="52"/>
    </w:lvl>
  </w:abstractNum>
  <w:abstractNum w:abstractNumId="72">
    <w:nsid w:val="39B7AAA2"/>
    <w:multiLevelType w:val="hybridMultilevel"/>
    <w:lvl w:ilvl="0">
      <w:lvlJc w:val="left"/>
      <w:lvlText w:val="Ñ"/>
      <w:numFmt w:val="bullet"/>
      <w:start w:val="1"/>
    </w:lvl>
  </w:abstractNum>
  <w:abstractNum w:abstractNumId="73">
    <w:nsid w:val="2B0D8DBE"/>
    <w:multiLevelType w:val="hybridMultilevel"/>
    <w:lvl w:ilvl="0">
      <w:lvlJc w:val="left"/>
      <w:lvlText w:val="%1"/>
      <w:numFmt w:val="decimal"/>
      <w:start w:val="54"/>
    </w:lvl>
  </w:abstractNum>
  <w:abstractNum w:abstractNumId="74">
    <w:nsid w:val="6C80EC70"/>
    <w:multiLevelType w:val="hybridMultilevel"/>
    <w:lvl w:ilvl="0">
      <w:lvlJc w:val="left"/>
      <w:lvlText w:val="1"/>
      <w:numFmt w:val="bullet"/>
      <w:start w:val="1"/>
    </w:lvl>
  </w:abstractNum>
  <w:abstractNum w:abstractNumId="75">
    <w:nsid w:val="379E21B5"/>
    <w:multiLevelType w:val="hybridMultilevel"/>
    <w:lvl w:ilvl="0">
      <w:lvlJc w:val="left"/>
      <w:lvlText w:val="%1"/>
      <w:numFmt w:val="decimal"/>
      <w:start w:val="56"/>
    </w:lvl>
  </w:abstractNum>
  <w:abstractNum w:abstractNumId="76">
    <w:nsid w:val="69E373"/>
    <w:multiLevelType w:val="hybridMultilevel"/>
    <w:lvl w:ilvl="0">
      <w:lvlJc w:val="left"/>
      <w:lvlText w:val="Ñ"/>
      <w:numFmt w:val="bullet"/>
      <w:start w:val="1"/>
    </w:lvl>
  </w:abstractNum>
  <w:abstractNum w:abstractNumId="77">
    <w:nsid w:val="2C27173B"/>
    <w:multiLevelType w:val="hybridMultilevel"/>
    <w:lvl w:ilvl="0">
      <w:lvlJc w:val="left"/>
      <w:lvlText w:val="Ñ"/>
      <w:numFmt w:val="bullet"/>
      <w:start w:val="1"/>
    </w:lvl>
  </w:abstractNum>
  <w:abstractNum w:abstractNumId="78">
    <w:nsid w:val="4C9B0904"/>
    <w:multiLevelType w:val="hybridMultilevel"/>
    <w:lvl w:ilvl="0">
      <w:lvlJc w:val="left"/>
      <w:lvlText w:val="%1"/>
      <w:numFmt w:val="decimal"/>
      <w:start w:val="58"/>
    </w:lvl>
  </w:abstractNum>
  <w:abstractNum w:abstractNumId="79">
    <w:nsid w:val="6AA7B75C"/>
    <w:multiLevelType w:val="hybridMultilevel"/>
    <w:lvl w:ilvl="0">
      <w:lvlJc w:val="left"/>
      <w:lvlText w:val="(%1)"/>
      <w:numFmt w:val="decimal"/>
      <w:start w:val="1"/>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1)"/>
      <w:numFmt w:val="decimal"/>
      <w:start w:val="1"/>
    </w:lvl>
  </w:abstractNum>
  <w:abstractNum w:abstractNumId="82">
    <w:nsid w:val="3DD15094"/>
    <w:multiLevelType w:val="hybridMultilevel"/>
    <w:lvl w:ilvl="0">
      <w:lvlJc w:val="left"/>
      <w:lvlText w:val="%1"/>
      <w:numFmt w:val="decimal"/>
      <w:start w:val="60"/>
    </w:lvl>
  </w:abstractNum>
  <w:abstractNum w:abstractNumId="83">
    <w:nsid w:val="3DB012B3"/>
    <w:multiLevelType w:val="hybridMultilevel"/>
    <w:lvl w:ilvl="0">
      <w:lvlJc w:val="left"/>
      <w:lvlText w:val="%1"/>
      <w:numFmt w:val="decimal"/>
      <w:start w:val="62"/>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64"/>
    </w:lvl>
  </w:abstractNum>
  <w:abstractNum w:abstractNumId="86">
    <w:nsid w:val="175DFCF0"/>
    <w:multiLevelType w:val="hybridMultilevel"/>
    <w:lvl w:ilvl="0">
      <w:lvlJc w:val="left"/>
      <w:lvlText w:val="Ñ"/>
      <w:numFmt w:val="bullet"/>
      <w:start w:val="1"/>
    </w:lvl>
  </w:abstractNum>
  <w:abstractNum w:abstractNumId="87">
    <w:nsid w:val="4F97E3E4"/>
    <w:multiLevelType w:val="hybridMultilevel"/>
    <w:lvl w:ilvl="0">
      <w:lvlJc w:val="left"/>
      <w:lvlText w:val="%1"/>
      <w:numFmt w:val="decimal"/>
      <w:start w:val="66"/>
    </w:lvl>
  </w:abstractNum>
  <w:abstractNum w:abstractNumId="88">
    <w:nsid w:val="53B0A9E"/>
    <w:multiLevelType w:val="hybridMultilevel"/>
    <w:lvl w:ilvl="0">
      <w:lvlJc w:val="left"/>
      <w:lvlText w:val="(%1)"/>
      <w:numFmt w:val="decimal"/>
      <w:start w:val="1"/>
    </w:lvl>
  </w:abstractNum>
  <w:abstractNum w:abstractNumId="89">
    <w:nsid w:val="34FD6B4F"/>
    <w:multiLevelType w:val="hybridMultilevel"/>
    <w:lvl w:ilvl="0">
      <w:lvlJc w:val="left"/>
      <w:lvlText w:val="%1"/>
      <w:numFmt w:val="decimal"/>
      <w:start w:val="68"/>
    </w:lvl>
  </w:abstractNum>
  <w:abstractNum w:abstractNumId="90">
    <w:nsid w:val="5915FF32"/>
    <w:multiLevelType w:val="hybridMultilevel"/>
    <w:lvl w:ilvl="0">
      <w:lvlJc w:val="left"/>
      <w:lvlText w:val="(%1)"/>
      <w:numFmt w:val="decimal"/>
      <w:start w:val="3"/>
    </w:lvl>
  </w:abstractNum>
  <w:abstractNum w:abstractNumId="91">
    <w:nsid w:val="56438D15"/>
    <w:multiLevelType w:val="hybridMultilevel"/>
    <w:lvl w:ilvl="0">
      <w:lvlJc w:val="left"/>
      <w:lvlText w:val="%1"/>
      <w:numFmt w:val="decimal"/>
      <w:start w:val="1"/>
    </w:lvl>
    <w:lvl w:ilvl="1">
      <w:lvlJc w:val="left"/>
      <w:lvlText w:val="(%2)"/>
      <w:numFmt w:val="lowerLetter"/>
      <w:start w:val="1"/>
    </w:lvl>
  </w:abstractNum>
  <w:abstractNum w:abstractNumId="92">
    <w:nsid w:val="519E3149"/>
    <w:multiLevelType w:val="hybridMultilevel"/>
    <w:lvl w:ilvl="0">
      <w:lvlJc w:val="left"/>
      <w:lvlText w:val="(%1)"/>
      <w:numFmt w:val="decimal"/>
      <w:start w:val="6"/>
    </w:lvl>
    <w:lvl w:ilvl="1">
      <w:lvlJc w:val="left"/>
      <w:lvlText w:val="%2"/>
      <w:numFmt w:val="lowerLetter"/>
      <w:start w:val="1"/>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1)"/>
      <w:numFmt w:val="decimal"/>
      <w:start w:val="2"/>
    </w:lvl>
  </w:abstractNum>
  <w:abstractNum w:abstractNumId="95">
    <w:nsid w:val="4DF72E4E"/>
    <w:multiLevelType w:val="hybridMultilevel"/>
    <w:lvl w:ilvl="0">
      <w:lvlJc w:val="left"/>
      <w:lvlText w:val="%1"/>
      <w:numFmt w:val="decimal"/>
      <w:start w:val="70"/>
    </w:lvl>
  </w:abstractNum>
  <w:abstractNum w:abstractNumId="96">
    <w:nsid w:val="5046B5A9"/>
    <w:multiLevelType w:val="hybridMultilevel"/>
    <w:lvl w:ilvl="0">
      <w:lvlJc w:val="left"/>
      <w:lvlText w:val="(%1)"/>
      <w:numFmt w:val="decimal"/>
      <w:start w:val="3"/>
    </w:lvl>
  </w:abstractNum>
  <w:abstractNum w:abstractNumId="97">
    <w:nsid w:val="5D888A08"/>
    <w:multiLevelType w:val="hybridMultilevel"/>
    <w:lvl w:ilvl="0">
      <w:lvlJc w:val="left"/>
      <w:lvlText w:val="(%1)"/>
      <w:numFmt w:val="decimal"/>
      <w:start w:val="1"/>
    </w:lvl>
  </w:abstractNum>
  <w:abstractNum w:abstractNumId="98">
    <w:nsid w:val="2A082C70"/>
    <w:multiLevelType w:val="hybridMultilevel"/>
    <w:lvl w:ilvl="0">
      <w:lvlJc w:val="left"/>
      <w:lvlText w:val="(%1)"/>
      <w:numFmt w:val="decimal"/>
      <w:start w:val="2"/>
    </w:lvl>
  </w:abstractNum>
  <w:abstractNum w:abstractNumId="99">
    <w:nsid w:val="5EC6AFD4"/>
    <w:multiLevelType w:val="hybridMultilevel"/>
    <w:lvl w:ilvl="0">
      <w:lvlJc w:val="left"/>
      <w:lvlText w:val="%1"/>
      <w:numFmt w:val="decimal"/>
      <w:start w:val="72"/>
    </w:lvl>
  </w:abstractNum>
  <w:abstractNum w:abstractNumId="100">
    <w:nsid w:val="19E21BB2"/>
    <w:multiLevelType w:val="hybridMultilevel"/>
    <w:lvl w:ilvl="0">
      <w:lvlJc w:val="left"/>
      <w:lvlText w:val="(%1)"/>
      <w:numFmt w:val="decimal"/>
      <w:start w:val="5"/>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1"/>
      <w:numFmt w:val="decimal"/>
      <w:start w:val="74"/>
    </w:lvl>
  </w:abstractNum>
  <w:abstractNum w:abstractNumId="103">
    <w:nsid w:val="5399C654"/>
    <w:multiLevelType w:val="hybridMultilevel"/>
    <w:lvl w:ilvl="0">
      <w:lvlJc w:val="left"/>
      <w:lvlText w:val="(%1)"/>
      <w:numFmt w:val="decimal"/>
      <w:start w:val="1"/>
    </w:lvl>
  </w:abstractNum>
  <w:abstractNum w:abstractNumId="104">
    <w:nsid w:val="20EE1348"/>
    <w:multiLevelType w:val="hybridMultilevel"/>
    <w:lvl w:ilvl="0">
      <w:lvlJc w:val="left"/>
      <w:lvlText w:val="Ñ"/>
      <w:numFmt w:val="bullet"/>
      <w:start w:val="1"/>
    </w:lvl>
  </w:abstractNum>
  <w:abstractNum w:abstractNumId="105">
    <w:nsid w:val="4427069A"/>
    <w:multiLevelType w:val="hybridMultilevel"/>
    <w:lvl w:ilvl="0">
      <w:lvlJc w:val="left"/>
      <w:lvlText w:val="Ñ"/>
      <w:numFmt w:val="bullet"/>
      <w:start w:val="1"/>
    </w:lvl>
  </w:abstractNum>
  <w:abstractNum w:abstractNumId="106">
    <w:nsid w:val="B37E80A"/>
    <w:multiLevelType w:val="hybridMultilevel"/>
    <w:lvl w:ilvl="0">
      <w:lvlJc w:val="left"/>
      <w:lvlText w:val="Ñ"/>
      <w:numFmt w:val="bullet"/>
      <w:start w:val="1"/>
    </w:lvl>
  </w:abstractNum>
  <w:abstractNum w:abstractNumId="107">
    <w:nsid w:val="2157F6BC"/>
    <w:multiLevelType w:val="hybridMultilevel"/>
    <w:lvl w:ilvl="0">
      <w:lvlJc w:val="left"/>
      <w:lvlText w:val="Ñ"/>
      <w:numFmt w:val="bullet"/>
      <w:start w:val="1"/>
    </w:lvl>
  </w:abstractNum>
  <w:abstractNum w:abstractNumId="108">
    <w:nsid w:val="704E1DD5"/>
    <w:multiLevelType w:val="hybridMultilevel"/>
    <w:lvl w:ilvl="0">
      <w:lvlJc w:val="left"/>
      <w:lvlText w:val="%1"/>
      <w:numFmt w:val="decimal"/>
      <w:start w:val="76"/>
    </w:lvl>
  </w:abstractNum>
  <w:abstractNum w:abstractNumId="109">
    <w:nsid w:val="57D2F10E"/>
    <w:multiLevelType w:val="hybridMultilevel"/>
    <w:lvl w:ilvl="0">
      <w:lvlJc w:val="left"/>
      <w:lvlText w:val="(%1)"/>
      <w:numFmt w:val="decimal"/>
      <w:start w:val="1"/>
    </w:lvl>
  </w:abstractNum>
  <w:abstractNum w:abstractNumId="110">
    <w:nsid w:val="BFFAE18"/>
    <w:multiLevelType w:val="hybridMultilevel"/>
    <w:lvl w:ilvl="0">
      <w:lvlJc w:val="left"/>
      <w:lvlText w:val="(%1)"/>
      <w:numFmt w:val="decimal"/>
      <w:start w:val="3"/>
    </w:lvl>
  </w:abstractNum>
  <w:abstractNum w:abstractNumId="111">
    <w:nsid w:val="E3E47A8"/>
    <w:multiLevelType w:val="hybridMultilevel"/>
    <w:lvl w:ilvl="0">
      <w:lvlJc w:val="left"/>
      <w:lvlText w:val="Ñ"/>
      <w:numFmt w:val="bullet"/>
      <w:start w:val="1"/>
    </w:lvl>
  </w:abstractNum>
  <w:abstractNum w:abstractNumId="112">
    <w:nsid w:val="2E48F044"/>
    <w:multiLevelType w:val="hybridMultilevel"/>
    <w:lvl w:ilvl="0">
      <w:lvlJc w:val="left"/>
      <w:lvlText w:val="%1"/>
      <w:numFmt w:val="decimal"/>
      <w:start w:val="78"/>
    </w:lvl>
  </w:abstractNum>
  <w:abstractNum w:abstractNumId="113">
    <w:nsid w:val="49D0FEAC"/>
    <w:multiLevelType w:val="hybridMultilevel"/>
    <w:lvl w:ilvl="0">
      <w:lvlJc w:val="left"/>
      <w:lvlText w:val="(%1)"/>
      <w:numFmt w:val="decimal"/>
      <w:start w:val="1"/>
    </w:lvl>
  </w:abstractNum>
  <w:abstractNum w:abstractNumId="114">
    <w:nsid w:val="4BEE5A5B"/>
    <w:multiLevelType w:val="hybridMultilevel"/>
    <w:lvl w:ilvl="0">
      <w:lvlJc w:val="left"/>
      <w:lvlText w:val="(%1)"/>
      <w:numFmt w:val="decimal"/>
      <w:start w:val="1"/>
    </w:lvl>
  </w:abstractNum>
  <w:abstractNum w:abstractNumId="115">
    <w:nsid w:val="5551B9F3"/>
    <w:multiLevelType w:val="hybridMultilevel"/>
    <w:lvl w:ilvl="0">
      <w:lvlJc w:val="left"/>
      <w:lvlText w:val="*"/>
      <w:numFmt w:val="bullet"/>
      <w:start w:val="1"/>
    </w:lvl>
  </w:abstractNum>
  <w:abstractNum w:abstractNumId="116">
    <w:nsid w:val="24F6AB8E"/>
    <w:multiLevelType w:val="hybridMultilevel"/>
    <w:lvl w:ilvl="0">
      <w:lvlJc w:val="left"/>
      <w:lvlText w:val="†"/>
      <w:numFmt w:val="bullet"/>
      <w:start w:val="1"/>
    </w:lvl>
  </w:abstractNum>
  <w:abstractNum w:abstractNumId="117">
    <w:nsid w:val="634C574C"/>
    <w:multiLevelType w:val="hybridMultilevel"/>
    <w:lvl w:ilvl="0">
      <w:lvlJc w:val="left"/>
      <w:lvlText w:val="(%1)"/>
      <w:numFmt w:val="decimal"/>
      <w:start w:val="1"/>
    </w:lvl>
  </w:abstractNum>
  <w:abstractNum w:abstractNumId="118">
    <w:nsid w:val="24E99DD7"/>
    <w:multiLevelType w:val="hybridMultilevel"/>
    <w:lvl w:ilvl="0">
      <w:lvlJc w:val="left"/>
      <w:lvlText w:val="(%1)"/>
      <w:numFmt w:val="decimal"/>
      <w:start w:val="1"/>
    </w:lvl>
  </w:abstractNum>
  <w:abstractNum w:abstractNumId="119">
    <w:nsid w:val="2A31B62D"/>
    <w:multiLevelType w:val="hybridMultilevel"/>
    <w:lvl w:ilvl="0">
      <w:lvlJc w:val="left"/>
      <w:lvlText w:val="%1:"/>
      <w:numFmt w:val="upperLetter"/>
      <w:start w:val="17"/>
    </w:lvl>
  </w:abstractNum>
  <w:abstractNum w:abstractNumId="120">
    <w:nsid w:val="1849C29B"/>
    <w:multiLevelType w:val="hybridMultilevel"/>
    <w:lvl w:ilvl="0">
      <w:lvlJc w:val="left"/>
      <w:lvlText w:val="%1:"/>
      <w:numFmt w:val="upperLetter"/>
      <w:start w:val="1"/>
    </w:lvl>
    <w:lvl w:ilvl="1">
      <w:lvlJc w:val="left"/>
      <w:lvlText w:val="%2."/>
      <w:numFmt w:val="decimal"/>
      <w:start w:val="1"/>
    </w:lvl>
  </w:abstractNum>
  <w:abstractNum w:abstractNumId="121">
    <w:nsid w:val="7DFF9D09"/>
    <w:multiLevelType w:val="hybridMultilevel"/>
    <w:lvl w:ilvl="0">
      <w:lvlJc w:val="left"/>
      <w:lvlText w:val="%1:"/>
      <w:numFmt w:val="upperLetter"/>
      <w:start w:val="17"/>
    </w:lvl>
  </w:abstractNum>
  <w:abstractNum w:abstractNumId="122">
    <w:nsid w:val="754342"/>
    <w:multiLevelType w:val="hybridMultilevel"/>
    <w:lvl w:ilvl="0">
      <w:lvlJc w:val="left"/>
      <w:lvlText w:val="%1:"/>
      <w:numFmt w:val="upperLetter"/>
      <w:start w:val="1"/>
    </w:lvl>
  </w:abstractNum>
  <w:abstractNum w:abstractNumId="123">
    <w:nsid w:val="69E7F3E5"/>
    <w:multiLevelType w:val="hybridMultilevel"/>
    <w:lvl w:ilvl="0">
      <w:lvlJc w:val="left"/>
      <w:lvlText w:val="%1:"/>
      <w:numFmt w:val="upperLetter"/>
      <w:start w:val="17"/>
    </w:lvl>
  </w:abstractNum>
  <w:abstractNum w:abstractNumId="124">
    <w:nsid w:val="2A6DE806"/>
    <w:multiLevelType w:val="hybridMultilevel"/>
    <w:lvl w:ilvl="0">
      <w:lvlJc w:val="left"/>
      <w:lvlText w:val="%1:"/>
      <w:numFmt w:val="upperLetter"/>
      <w:start w:val="1"/>
    </w:lvl>
  </w:abstractNum>
  <w:abstractNum w:abstractNumId="125">
    <w:nsid w:val="1816F8C4"/>
    <w:multiLevelType w:val="hybridMultilevel"/>
    <w:lvl w:ilvl="0">
      <w:lvlJc w:val="left"/>
      <w:lvlText w:val="%1:"/>
      <w:numFmt w:val="upperLetter"/>
      <w:start w:val="17"/>
    </w:lvl>
  </w:abstractNum>
  <w:abstractNum w:abstractNumId="126">
    <w:nsid w:val="37DF2233"/>
    <w:multiLevelType w:val="hybridMultilevel"/>
    <w:lvl w:ilvl="0">
      <w:lvlJc w:val="left"/>
      <w:lvlText w:val="%1:"/>
      <w:numFmt w:val="upperLetter"/>
      <w:start w:val="1"/>
    </w:lvl>
  </w:abstractNum>
  <w:abstractNum w:abstractNumId="127">
    <w:nsid w:val="7AB49DAF"/>
    <w:multiLevelType w:val="hybridMultilevel"/>
    <w:lvl w:ilvl="0">
      <w:lvlJc w:val="left"/>
      <w:lvlText w:val="%1:"/>
      <w:numFmt w:val="upperLetter"/>
      <w:start w:val="17"/>
    </w:lvl>
  </w:abstractNum>
  <w:abstractNum w:abstractNumId="128">
    <w:nsid w:val="759F82CD"/>
    <w:multiLevelType w:val="hybridMultilevel"/>
    <w:lvl w:ilvl="0">
      <w:lvlJc w:val="left"/>
      <w:lvlText w:val="%1:"/>
      <w:numFmt w:val="upperLetter"/>
      <w:start w:val="1"/>
    </w:lvl>
    <w:lvl w:ilvl="1">
      <w:lvlJc w:val="left"/>
      <w:lvlText w:val="%2."/>
      <w:numFmt w:val="decimal"/>
      <w:start w:val="1"/>
    </w:lvl>
  </w:abstractNum>
  <w:abstractNum w:abstractNumId="129">
    <w:nsid w:val="61E74EA3"/>
    <w:multiLevelType w:val="hybridMultilevel"/>
    <w:lvl w:ilvl="0">
      <w:lvlJc w:val="left"/>
      <w:lvlText w:val="%1:"/>
      <w:numFmt w:val="upperLetter"/>
      <w:start w:val="17"/>
    </w:lvl>
  </w:abstractNum>
  <w:abstractNum w:abstractNumId="130">
    <w:nsid w:val="597B4D84"/>
    <w:multiLevelType w:val="hybridMultilevel"/>
    <w:lvl w:ilvl="0">
      <w:lvlJc w:val="left"/>
      <w:lvlText w:val="%1:"/>
      <w:numFmt w:val="upperLetter"/>
      <w:start w:val="1"/>
    </w:lvl>
  </w:abstractNum>
  <w:abstractNum w:abstractNumId="131">
    <w:nsid w:val="F819E7F"/>
    <w:multiLevelType w:val="hybridMultilevel"/>
    <w:lvl w:ilvl="0">
      <w:lvlJc w:val="left"/>
      <w:lvlText w:val="%1:"/>
      <w:numFmt w:val="upperLetter"/>
      <w:start w:val="17"/>
    </w:lvl>
  </w:abstractNum>
  <w:abstractNum w:abstractNumId="132">
    <w:nsid w:val="57C7D42D"/>
    <w:multiLevelType w:val="hybridMultilevel"/>
    <w:lvl w:ilvl="0">
      <w:lvlJc w:val="left"/>
      <w:lvlText w:val="%1:"/>
      <w:numFmt w:val="upperLetter"/>
      <w:start w:val="1"/>
    </w:lvl>
    <w:lvl w:ilvl="1">
      <w:lvlJc w:val="left"/>
      <w:lvlText w:val="Ñ"/>
      <w:numFmt w:val="bullet"/>
      <w:start w:val="1"/>
    </w:lvl>
  </w:abstractNum>
  <w:abstractNum w:abstractNumId="133">
    <w:nsid w:val="312167AD"/>
    <w:multiLevelType w:val="hybridMultilevel"/>
    <w:lvl w:ilvl="0">
      <w:lvlJc w:val="left"/>
      <w:lvlText w:val="%1:"/>
      <w:numFmt w:val="upperLetter"/>
      <w:start w:val="17"/>
    </w:lvl>
  </w:abstractNum>
  <w:abstractNum w:abstractNumId="134">
    <w:nsid w:val="631B64D4"/>
    <w:multiLevelType w:val="hybridMultilevel"/>
    <w:lvl w:ilvl="0">
      <w:lvlJc w:val="left"/>
      <w:lvlText w:val="%1:"/>
      <w:numFmt w:val="upperLetter"/>
      <w:start w:val="1"/>
    </w:lvl>
  </w:abstractNum>
  <w:abstractNum w:abstractNumId="135">
    <w:nsid w:val="78B5E776"/>
    <w:multiLevelType w:val="hybridMultilevel"/>
    <w:lvl w:ilvl="0">
      <w:lvlJc w:val="left"/>
      <w:lvlText w:val="%1:"/>
      <w:numFmt w:val="upperLetter"/>
      <w:start w:val="17"/>
    </w:lvl>
  </w:abstractNum>
  <w:abstractNum w:abstractNumId="136">
    <w:nsid w:val="75486E47"/>
    <w:multiLevelType w:val="hybridMultilevel"/>
    <w:lvl w:ilvl="0">
      <w:lvlJc w:val="left"/>
      <w:lvlText w:val="%1:"/>
      <w:numFmt w:val="upperLetter"/>
      <w:start w:val="1"/>
    </w:lvl>
  </w:abstractNum>
  <w:abstractNum w:abstractNumId="137">
    <w:nsid w:val="6E534CDE"/>
    <w:multiLevelType w:val="hybridMultilevel"/>
    <w:lvl w:ilvl="0">
      <w:lvlJc w:val="left"/>
      <w:lvlText w:val="%1:"/>
      <w:numFmt w:val="upperLetter"/>
      <w:start w:val="17"/>
    </w:lvl>
  </w:abstractNum>
  <w:abstractNum w:abstractNumId="138">
    <w:nsid w:val="1A0DDE32"/>
    <w:multiLevelType w:val="hybridMultilevel"/>
    <w:lvl w:ilvl="0">
      <w:lvlJc w:val="left"/>
      <w:lvlText w:val="%1:"/>
      <w:numFmt w:val="upperLetter"/>
      <w:start w:val="1"/>
    </w:lvl>
  </w:abstractNum>
  <w:abstractNum w:abstractNumId="139">
    <w:nsid w:val="65968C1C"/>
    <w:multiLevelType w:val="hybridMultilevel"/>
    <w:lvl w:ilvl="0">
      <w:lvlJc w:val="left"/>
      <w:lvlText w:val="%1:"/>
      <w:numFmt w:val="upperLetter"/>
      <w:start w:val="17"/>
    </w:lvl>
  </w:abstractNum>
  <w:abstractNum w:abstractNumId="140">
    <w:nsid w:val="46263DEC"/>
    <w:multiLevelType w:val="hybridMultilevel"/>
    <w:lvl w:ilvl="0">
      <w:lvlJc w:val="left"/>
      <w:lvlText w:val="%1:"/>
      <w:numFmt w:val="upperLetter"/>
      <w:start w:val="1"/>
    </w:lvl>
  </w:abstractNum>
  <w:abstractNum w:abstractNumId="141">
    <w:nsid w:val="260D8C4A"/>
    <w:multiLevelType w:val="hybridMultilevel"/>
    <w:lvl w:ilvl="0">
      <w:lvlJc w:val="left"/>
      <w:lvlText w:val="%1:"/>
      <w:numFmt w:val="upperLetter"/>
      <w:start w:val="17"/>
    </w:lvl>
  </w:abstractNum>
  <w:abstractNum w:abstractNumId="142">
    <w:nsid w:val="73D4D3C4"/>
    <w:multiLevelType w:val="hybridMultilevel"/>
    <w:lvl w:ilvl="0">
      <w:lvlJc w:val="left"/>
      <w:lvlText w:val="%1:"/>
      <w:numFmt w:val="upperLetter"/>
      <w:start w:val="1"/>
    </w:lvl>
  </w:abstractNum>
  <w:abstractNum w:abstractNumId="143">
    <w:nsid w:val="746F2E30"/>
    <w:multiLevelType w:val="hybridMultilevel"/>
    <w:lvl w:ilvl="0">
      <w:lvlJc w:val="left"/>
      <w:lvlText w:val="%1:"/>
      <w:numFmt w:val="upperLetter"/>
      <w:start w:val="17"/>
    </w:lvl>
  </w:abstractNum>
  <w:abstractNum w:abstractNumId="144">
    <w:nsid w:val="6FDE8AF6"/>
    <w:multiLevelType w:val="hybridMultilevel"/>
    <w:lvl w:ilvl="0">
      <w:lvlJc w:val="left"/>
      <w:lvlText w:val="%1:"/>
      <w:numFmt w:val="upperLetter"/>
      <w:start w:val="1"/>
    </w:lvl>
  </w:abstractNum>
  <w:abstractNum w:abstractNumId="145">
    <w:nsid w:val="3FC32E20"/>
    <w:multiLevelType w:val="hybridMultilevel"/>
    <w:lvl w:ilvl="0">
      <w:lvlJc w:val="left"/>
      <w:lvlText w:val="%1:"/>
      <w:numFmt w:val="upperLetter"/>
      <w:start w:val="17"/>
    </w:lvl>
  </w:abstractNum>
  <w:abstractNum w:abstractNumId="146">
    <w:nsid w:val="49C0E823"/>
    <w:multiLevelType w:val="hybridMultilevel"/>
    <w:lvl w:ilvl="0">
      <w:lvlJc w:val="left"/>
      <w:lvlText w:val="%1:"/>
      <w:numFmt w:val="upperLetter"/>
      <w:start w:val="1"/>
    </w:lvl>
  </w:abstractNum>
  <w:abstractNum w:abstractNumId="147">
    <w:nsid w:val="14D53685"/>
    <w:multiLevelType w:val="hybridMultilevel"/>
    <w:lvl w:ilvl="0">
      <w:lvlJc w:val="left"/>
      <w:lvlText w:val="%1:"/>
      <w:numFmt w:val="upperLetter"/>
      <w:start w:val="17"/>
    </w:lvl>
  </w:abstractNum>
  <w:abstractNum w:abstractNumId="148">
    <w:nsid w:val="230F856C"/>
    <w:multiLevelType w:val="hybridMultilevel"/>
    <w:lvl w:ilvl="0">
      <w:lvlJc w:val="left"/>
      <w:lvlText w:val="%1:"/>
      <w:numFmt w:val="upperLetter"/>
      <w:start w:val="1"/>
    </w:lvl>
  </w:abstractNum>
  <w:abstractNum w:abstractNumId="149">
    <w:nsid w:val="6EAA85FB"/>
    <w:multiLevelType w:val="hybridMultilevel"/>
    <w:lvl w:ilvl="0">
      <w:lvlJc w:val="left"/>
      <w:lvlText w:val="%1:"/>
      <w:numFmt w:val="upperLetter"/>
      <w:start w:val="17"/>
    </w:lvl>
  </w:abstractNum>
  <w:abstractNum w:abstractNumId="150">
    <w:nsid w:val="3F06ECB2"/>
    <w:multiLevelType w:val="hybridMultilevel"/>
    <w:lvl w:ilvl="0">
      <w:lvlJc w:val="left"/>
      <w:lvlText w:val="%1:"/>
      <w:numFmt w:val="upperLetter"/>
      <w:start w:val="1"/>
    </w:lvl>
  </w:abstractNum>
  <w:abstractNum w:abstractNumId="151">
    <w:nsid w:val="3B594807"/>
    <w:multiLevelType w:val="hybridMultilevel"/>
    <w:lvl w:ilvl="0">
      <w:lvlJc w:val="left"/>
      <w:lvlText w:val="%1:"/>
      <w:numFmt w:val="upperLetter"/>
      <w:start w:val="17"/>
    </w:lvl>
  </w:abstractNum>
  <w:abstractNum w:abstractNumId="152">
    <w:nsid w:val="6CAA2304"/>
    <w:multiLevelType w:val="hybridMultilevel"/>
    <w:lvl w:ilvl="0">
      <w:lvlJc w:val="left"/>
      <w:lvlText w:val="%1:"/>
      <w:numFmt w:val="upperLetter"/>
      <w:start w:val="1"/>
    </w:lvl>
  </w:abstractNum>
  <w:abstractNum w:abstractNumId="153">
    <w:nsid w:val="3F7C2FF4"/>
    <w:multiLevelType w:val="hybridMultilevel"/>
    <w:lvl w:ilvl="0">
      <w:lvlJc w:val="left"/>
      <w:lvlText w:val="%1:"/>
      <w:numFmt w:val="upperLetter"/>
      <w:start w:val="17"/>
    </w:lvl>
  </w:abstractNum>
  <w:abstractNum w:abstractNumId="154">
    <w:nsid w:val="25413BEC"/>
    <w:multiLevelType w:val="hybridMultilevel"/>
    <w:lvl w:ilvl="0">
      <w:lvlJc w:val="left"/>
      <w:lvlText w:val="%1:"/>
      <w:numFmt w:val="upperLetter"/>
      <w:start w:val="1"/>
    </w:lvl>
  </w:abstractNum>
  <w:abstractNum w:abstractNumId="155">
    <w:nsid w:val="17180B0B"/>
    <w:multiLevelType w:val="hybridMultilevel"/>
    <w:lvl w:ilvl="0">
      <w:lvlJc w:val="left"/>
      <w:lvlText w:val="%1:"/>
      <w:numFmt w:val="upperLetter"/>
      <w:start w:val="17"/>
    </w:lvl>
  </w:abstractNum>
  <w:abstractNum w:abstractNumId="156">
    <w:nsid w:val="579328B9"/>
    <w:multiLevelType w:val="hybridMultilevel"/>
    <w:lvl w:ilvl="0">
      <w:lvlJc w:val="left"/>
      <w:lvlText w:val="%1:"/>
      <w:numFmt w:val="upperLetter"/>
      <w:start w:val="1"/>
    </w:lvl>
  </w:abstractNum>
  <w:abstractNum w:abstractNumId="157">
    <w:nsid w:val="5D205E20"/>
    <w:multiLevelType w:val="hybridMultilevel"/>
    <w:lvl w:ilvl="0">
      <w:lvlJc w:val="left"/>
      <w:lvlText w:val="%1"/>
      <w:numFmt w:val="decimal"/>
      <w:start w:val="94"/>
    </w:lvl>
  </w:abstractNum>
  <w:abstractNum w:abstractNumId="158">
    <w:nsid w:val="11CCA8BA"/>
    <w:multiLevelType w:val="hybridMultilevel"/>
    <w:lvl w:ilvl="0">
      <w:lvlJc w:val="left"/>
      <w:lvlText w:val="%1"/>
      <w:numFmt w:val="decimal"/>
      <w:start w:val="9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2023-01-20T05:37:41Z</dcterms:created>
  <dcterms:modified xsi:type="dcterms:W3CDTF">2023-01-20T05:37:41Z</dcterms:modified>
</cp:coreProperties>
</file>