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98"/>
              </w:rPr>
              <w:t>5,183,416</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18,023,975</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18,023,975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5.79%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66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Analog Devices,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One Technology Way</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Norwood, MA 02062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032654105</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940"/>
        <w:spacing w:after="0" w:line="328" w:lineRule="auto"/>
        <w:rPr>
          <w:rFonts w:ascii="Arial" w:cs="Arial" w:eastAsia="Arial" w:hAnsi="Arial"/>
          <w:sz w:val="22"/>
          <w:szCs w:val="22"/>
          <w:color w:val="auto"/>
        </w:rPr>
      </w:pPr>
      <w:r>
        <w:rPr>
          <w:rFonts w:ascii="Arial" w:cs="Arial" w:eastAsia="Arial" w:hAnsi="Arial"/>
          <w:sz w:val="19"/>
          <w:szCs w:val="19"/>
          <w:color w:val="auto"/>
        </w:rPr>
        <w:t>Wellington Management, in its capacity as investment adviser, may be deemed to beneficially own 18,023,975 shares of the Issuer which are held of record by clients of Wellington Management.</w:t>
      </w:r>
    </w:p>
    <w:p>
      <w:pPr>
        <w:spacing w:after="0" w:line="24"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5.79%</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98"/>
              </w:rPr>
              <w:t>5,183,416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18,023,975</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2014</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2019-12-05T02:50:59Z</dcterms:created>
  <dcterms:modified xsi:type="dcterms:W3CDTF">2019-12-05T02:50:59Z</dcterms:modified>
</cp:coreProperties>
</file>