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25, 2025</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31" w:lineRule="exact"/>
        <w:rPr>
          <w:sz w:val="24"/>
          <w:szCs w:val="24"/>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Wilmington,</w:t>
      </w:r>
      <w:r>
        <w:rPr>
          <w:sz w:val="20"/>
          <w:szCs w:val="20"/>
          <w:color w:val="auto"/>
        </w:rPr>
        <w:tab/>
      </w:r>
      <w:r>
        <w:rPr>
          <w:rFonts w:ascii="Times New Roman" w:cs="Times New Roman" w:eastAsia="Times New Roman" w:hAnsi="Times New Roman"/>
          <w:sz w:val="18"/>
          <w:szCs w:val="18"/>
          <w:b w:val="1"/>
          <w:bCs w:val="1"/>
          <w:color w:val="auto"/>
        </w:rPr>
        <w:t>MA</w:t>
      </w:r>
    </w:p>
    <w:p>
      <w:pPr>
        <w:spacing w:after="0" w:line="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400" w:type="dxa"/>
            <w:vAlign w:val="bottom"/>
            <w:gridSpan w:val="2"/>
            <w:vMerge w:val="continue"/>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94" w:lineRule="exact"/>
        <w:rPr>
          <w:sz w:val="20"/>
          <w:szCs w:val="20"/>
          <w:color w:val="auto"/>
        </w:rPr>
      </w:pPr>
    </w:p>
    <w:p>
      <w:pPr>
        <w:ind w:right="620" w:firstLine="405"/>
        <w:spacing w:after="0" w:line="312" w:lineRule="auto"/>
        <w:rPr>
          <w:sz w:val="20"/>
          <w:szCs w:val="20"/>
          <w:color w:val="auto"/>
        </w:rPr>
      </w:pPr>
      <w:r>
        <w:rPr>
          <w:rFonts w:ascii="Times New Roman" w:cs="Times New Roman" w:eastAsia="Times New Roman" w:hAnsi="Times New Roman"/>
          <w:sz w:val="17"/>
          <w:szCs w:val="17"/>
          <w:color w:val="auto"/>
        </w:rPr>
        <w:t>On November 25, 2025, Analog Devices, Inc. (the “Registrant”) announced its financial results for its fourth quarter and fiscal year ended November 1, 2025. The full text of the press release issued by the Registrant concerning the foregoing results is furnished herewith as Exhibit 99.1.</w:t>
      </w:r>
    </w:p>
    <w:p>
      <w:pPr>
        <w:spacing w:after="0" w:line="5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herein and in Exhibit 99.1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200" w:lineRule="exact"/>
        <w:rPr>
          <w:sz w:val="20"/>
          <w:szCs w:val="20"/>
          <w:color w:val="auto"/>
        </w:rPr>
      </w:pPr>
    </w:p>
    <w:p>
      <w:pPr>
        <w:spacing w:after="0" w:line="24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Press release </w:t>
            </w:r>
            <w:r>
              <w:rPr>
                <w:rFonts w:ascii="Times New Roman" w:cs="Times New Roman" w:eastAsia="Times New Roman" w:hAnsi="Times New Roman"/>
                <w:sz w:val="18"/>
                <w:szCs w:val="18"/>
                <w:color w:val="000000"/>
              </w:rPr>
              <w:t>dated November 25, 2025.</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0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2025</w:t>
            </w:r>
          </w:p>
        </w:tc>
        <w:tc>
          <w:tcPr>
            <w:tcW w:w="72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34"/>
        </w:trPr>
        <w:tc>
          <w:tcPr>
            <w:tcW w:w="396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9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62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w:t>
      </w:r>
    </w:p>
    <w:p>
      <w:pPr>
        <w:ind w:left="6620"/>
        <w:spacing w:after="0"/>
        <w:rPr>
          <w:sz w:val="20"/>
          <w:szCs w:val="20"/>
          <w:color w:val="auto"/>
        </w:rPr>
      </w:pPr>
      <w:r>
        <w:rPr>
          <w:rFonts w:ascii="Times New Roman" w:cs="Times New Roman" w:eastAsia="Times New Roman" w:hAnsi="Times New Roman"/>
          <w:sz w:val="18"/>
          <w:szCs w:val="18"/>
          <w:color w:val="auto"/>
        </w:rPr>
        <w:t>Officer and Corporate Secretary</w:t>
      </w:r>
    </w:p>
    <w:p>
      <w:pPr>
        <w:sectPr>
          <w:pgSz w:w="11900" w:h="16838" w:orient="portrait"/>
          <w:cols w:equalWidth="0" w:num="1">
            <w:col w:w="11200"/>
          </w:cols>
          <w:pgMar w:left="320" w:top="98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Strong Fourth Quarter and Fiscal 2025 Financial Results</w:t>
      </w:r>
    </w:p>
    <w:p>
      <w:pPr>
        <w:spacing w:after="0" w:line="89" w:lineRule="exact"/>
        <w:rPr>
          <w:sz w:val="20"/>
          <w:szCs w:val="20"/>
          <w:color w:val="auto"/>
        </w:rPr>
      </w:pPr>
    </w:p>
    <w:p>
      <w:pPr>
        <w:ind w:left="660" w:right="24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revenue of $3.08 billion, with year-over-year growth across all end markets, led by Communications and Industrial</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2025 revenue of $11.0 billion, up 17% versus 2024</w:t>
      </w:r>
    </w:p>
    <w:p>
      <w:pPr>
        <w:spacing w:after="0" w:line="84" w:lineRule="exact"/>
        <w:rPr>
          <w:rFonts w:ascii="Times New Roman" w:cs="Times New Roman" w:eastAsia="Times New Roman" w:hAnsi="Times New Roman"/>
          <w:sz w:val="22"/>
          <w:szCs w:val="22"/>
          <w:color w:val="auto"/>
        </w:rPr>
      </w:pPr>
    </w:p>
    <w:p>
      <w:pPr>
        <w:ind w:left="660" w:right="110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2025 operating cash flow of $4.8 billion and free cash flow of $4.3 billion or 44% and 39% of revenue, respectively</w:t>
      </w:r>
    </w:p>
    <w:p>
      <w:pPr>
        <w:spacing w:after="0" w:line="22" w:lineRule="exact"/>
        <w:rPr>
          <w:rFonts w:ascii="Times New Roman" w:cs="Times New Roman" w:eastAsia="Times New Roman" w:hAnsi="Times New Roman"/>
          <w:sz w:val="22"/>
          <w:szCs w:val="22"/>
          <w:color w:val="auto"/>
        </w:rPr>
      </w:pPr>
    </w:p>
    <w:p>
      <w:pPr>
        <w:ind w:left="660" w:right="4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96% of free cash flow to shareholders in fiscal 2025, including $2.2 billion of share repurchases and $1.9 billion of dividends</w:t>
      </w:r>
    </w:p>
    <w:p>
      <w:pPr>
        <w:spacing w:after="0" w:line="5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22"/>
          <w:szCs w:val="22"/>
          <w:b w:val="1"/>
          <w:bCs w:val="1"/>
          <w:color w:val="auto"/>
        </w:rPr>
        <w:t>WILMINGTON, Mass.--November 25, 2025--</w:t>
      </w:r>
      <w:r>
        <w:rPr>
          <w:rFonts w:ascii="Times New Roman" w:cs="Times New Roman" w:eastAsia="Times New Roman" w:hAnsi="Times New Roman"/>
          <w:sz w:val="22"/>
          <w:szCs w:val="22"/>
          <w:color w:val="auto"/>
        </w:rPr>
        <w:t>Analog Devices, Inc. (Nasdaq: ADI), a global semiconductor leader,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financial results for its fiscal fourth quarter and fiscal year 2025, which ended November 1, 2025.</w:t>
      </w:r>
    </w:p>
    <w:p>
      <w:pPr>
        <w:spacing w:after="0" w:line="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1"/>
          <w:szCs w:val="21"/>
          <w:color w:val="auto"/>
        </w:rPr>
        <w:t>“ADI’s strong fourth quarter capped a robust year of both cyclical and idiosyncratic growth,” said Vincent Roche, CEO and Chair. “These results reflect the strength and resilience of our business model, and our intense commitment to leveraging superior technology and domain expertise to solve our customers’ toughest problems. Our keen focus on our customers’ market success has enabled us to build a deep trust that pays dividends in the form of strong, profitable growth and a fast-growing design pipeline. As such, we remain firmly confident in our ability to deliver sustained, long-term value for shareholders.”</w:t>
      </w:r>
    </w:p>
    <w:p>
      <w:pPr>
        <w:spacing w:after="0" w:line="6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1"/>
          <w:szCs w:val="21"/>
          <w:color w:val="auto"/>
        </w:rPr>
        <w:t>“Healthy bookings trends continued in the fourth quarter with growth in Industrial and notable strength in our Communications market. While macro uncertainty will likely influence the shape of our fiscal 2026, we believe we are well positioned to continue capitalizing on the ongoing cyclical recovery and our secular growth opportunities,” said Richard Puccio, CFO.</w:t>
      </w:r>
    </w:p>
    <w:p>
      <w:pPr>
        <w:sectPr>
          <w:pgSz w:w="11900" w:h="16838" w:orient="portrait"/>
          <w:cols w:equalWidth="0" w:num="1">
            <w:col w:w="11240"/>
          </w:cols>
          <w:pgMar w:left="320" w:top="891"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for the Fourth Quarter and Fiscal Year 2025</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167640</wp:posOffset>
            </wp:positionV>
            <wp:extent cx="4877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ectPr>
          <w:pgSz w:w="11900" w:h="16838" w:orient="portrait"/>
          <w:cols w:equalWidth="0" w:num="1">
            <w:col w:w="11140"/>
          </w:cols>
          <w:pgMar w:left="380" w:top="891" w:right="379" w:bottom="1440" w:gutter="0" w:footer="0" w:header="0"/>
        </w:sectPr>
      </w:pPr>
    </w:p>
    <w:p>
      <w:pPr>
        <w:spacing w:after="0" w:line="2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19685</wp:posOffset>
            </wp:positionV>
            <wp:extent cx="2366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3580"/>
        <w:spacing w:after="0"/>
        <w:tabs>
          <w:tab w:leader="none" w:pos="4880" w:val="left"/>
          <w:tab w:leader="none" w:pos="6320" w:val="left"/>
        </w:tabs>
        <w:rPr>
          <w:sz w:val="20"/>
          <w:szCs w:val="20"/>
          <w:color w:val="auto"/>
        </w:rPr>
      </w:pPr>
      <w:r>
        <w:rPr>
          <w:rFonts w:ascii="Times New Roman" w:cs="Times New Roman" w:eastAsia="Times New Roman" w:hAnsi="Times New Roman"/>
          <w:sz w:val="18"/>
          <w:szCs w:val="18"/>
          <w:b w:val="1"/>
          <w:bCs w:val="1"/>
          <w:color w:val="auto"/>
        </w:rPr>
        <w:t>Nov. 1, 2025</w:t>
      </w:r>
      <w:r>
        <w:rPr>
          <w:sz w:val="20"/>
          <w:szCs w:val="20"/>
          <w:color w:val="auto"/>
        </w:rPr>
        <w:tab/>
      </w:r>
      <w:r>
        <w:rPr>
          <w:rFonts w:ascii="Times New Roman" w:cs="Times New Roman" w:eastAsia="Times New Roman" w:hAnsi="Times New Roman"/>
          <w:sz w:val="18"/>
          <w:szCs w:val="18"/>
          <w:b w:val="1"/>
          <w:bCs w:val="1"/>
          <w:color w:val="auto"/>
        </w:rPr>
        <w:t>Nov. 2, 2024</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19685</wp:posOffset>
            </wp:positionV>
            <wp:extent cx="2425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 w:leader="none" w:pos="2800" w:val="left"/>
        </w:tabs>
        <w:rPr>
          <w:sz w:val="20"/>
          <w:szCs w:val="20"/>
          <w:color w:val="auto"/>
        </w:rPr>
      </w:pPr>
      <w:r>
        <w:rPr>
          <w:rFonts w:ascii="Times New Roman" w:cs="Times New Roman" w:eastAsia="Times New Roman" w:hAnsi="Times New Roman"/>
          <w:sz w:val="18"/>
          <w:szCs w:val="18"/>
          <w:b w:val="1"/>
          <w:bCs w:val="1"/>
          <w:color w:val="auto"/>
        </w:rPr>
        <w:t>Nov. 1, 2025</w:t>
      </w:r>
      <w:r>
        <w:rPr>
          <w:sz w:val="20"/>
          <w:szCs w:val="20"/>
          <w:color w:val="auto"/>
        </w:rPr>
        <w:tab/>
      </w:r>
      <w:r>
        <w:rPr>
          <w:rFonts w:ascii="Times New Roman" w:cs="Times New Roman" w:eastAsia="Times New Roman" w:hAnsi="Times New Roman"/>
          <w:sz w:val="18"/>
          <w:szCs w:val="18"/>
          <w:b w:val="1"/>
          <w:bCs w:val="1"/>
          <w:color w:val="auto"/>
        </w:rPr>
        <w:t>Nov. 2, 2024</w:t>
      </w:r>
      <w:r>
        <w:rPr>
          <w:sz w:val="20"/>
          <w:szCs w:val="20"/>
          <w:color w:val="auto"/>
        </w:rPr>
        <w:tab/>
      </w:r>
      <w:r>
        <w:rPr>
          <w:rFonts w:ascii="Times New Roman" w:cs="Times New Roman" w:eastAsia="Times New Roman" w:hAnsi="Times New Roman"/>
          <w:sz w:val="17"/>
          <w:szCs w:val="17"/>
          <w:b w:val="1"/>
          <w:bCs w:val="1"/>
          <w:color w:val="auto"/>
        </w:rPr>
        <w:t>Change</w:t>
      </w:r>
    </w:p>
    <w:p>
      <w:pPr>
        <w:spacing w:after="0" w:line="31" w:lineRule="exact"/>
        <w:rPr>
          <w:sz w:val="20"/>
          <w:szCs w:val="20"/>
          <w:color w:val="auto"/>
        </w:rPr>
      </w:pPr>
    </w:p>
    <w:p>
      <w:pPr>
        <w:sectPr>
          <w:pgSz w:w="11900" w:h="16838" w:orient="portrait"/>
          <w:cols w:equalWidth="0" w:num="2">
            <w:col w:w="6940" w:space="500"/>
            <w:col w:w="3700"/>
          </w:cols>
          <w:pgMar w:left="380" w:top="891"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2,443</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11,020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9,427</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6,773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5,381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 bps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bps</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 bps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bps</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Adjusted Results</w:t>
      </w:r>
      <w:r>
        <w:rPr>
          <w:rFonts w:ascii="Times New Roman" w:cs="Times New Roman" w:eastAsia="Times New Roman" w:hAnsi="Times New Roman"/>
          <w:sz w:val="28"/>
          <w:szCs w:val="28"/>
          <w:b w:val="1"/>
          <w:bCs w:val="1"/>
          <w:color w:val="auto"/>
          <w:vertAlign w:val="superscript"/>
        </w:rPr>
        <w:t>(2)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6,404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4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67.9 %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bps</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67.9 %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1,338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3,853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4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bps</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40.9 %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2.26</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6.38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gridSpan w:val="4"/>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left="3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Nov. 1, 2025</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center"/>
              <w:ind w:left="4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Nov. 1, 2025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spacing w:after="0"/>
              <w:rPr>
                <w:sz w:val="23"/>
                <w:szCs w:val="23"/>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4"/>
          </w:tcPr>
          <w:p>
            <w:pPr>
              <w:spacing w:after="0"/>
              <w:rPr>
                <w:sz w:val="22"/>
                <w:szCs w:val="22"/>
                <w:color w:val="auto"/>
              </w:rPr>
            </w:pPr>
          </w:p>
        </w:tc>
        <w:tc>
          <w:tcPr>
            <w:tcW w:w="200" w:type="dxa"/>
            <w:vAlign w:val="bottom"/>
          </w:tcPr>
          <w:p>
            <w:pPr>
              <w:spacing w:after="0"/>
              <w:rPr>
                <w:sz w:val="22"/>
                <w:szCs w:val="22"/>
                <w:color w:val="auto"/>
              </w:rPr>
            </w:pPr>
          </w:p>
        </w:tc>
        <w:tc>
          <w:tcPr>
            <w:tcW w:w="22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6"/>
              </w:rPr>
              <w:t>Cash Return</w:t>
            </w: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Trailing Twelve Months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020" w:type="dxa"/>
            <w:vAlign w:val="bottom"/>
            <w:gridSpan w:val="2"/>
            <w:vMerge w:val="restart"/>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Nov. 1, 2025</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Nov. 1, 2025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2020" w:type="dxa"/>
            <w:vAlign w:val="bottom"/>
            <w:tcBorders>
              <w:bottom w:val="single" w:sz="8" w:color="CCEEFF"/>
            </w:tcBorders>
            <w:gridSpan w:val="2"/>
            <w:vMerge w:val="continue"/>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5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(1,167)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hanging="247"/>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and/or computation of the individual amounts may not equal the total due to rounding.</w:t>
      </w:r>
    </w:p>
    <w:p>
      <w:pPr>
        <w:spacing w:after="0" w:line="49" w:lineRule="exact"/>
        <w:rPr>
          <w:rFonts w:ascii="Times New Roman" w:cs="Times New Roman" w:eastAsia="Times New Roman" w:hAnsi="Times New Roman"/>
          <w:sz w:val="18"/>
          <w:szCs w:val="18"/>
          <w:color w:val="auto"/>
        </w:rPr>
      </w:pPr>
    </w:p>
    <w:p>
      <w:pPr>
        <w:ind w:left="20" w:right="400" w:hanging="7"/>
        <w:spacing w:after="0" w:line="282"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non-GAAP financial measures to their most directly comparable GAAP financial measures are provided in the financial tables included in this press release. See also the "Non-GAAP Financial Information" section for additional information.</w:t>
      </w:r>
    </w:p>
    <w:p>
      <w:pPr>
        <w:sectPr>
          <w:pgSz w:w="11900" w:h="16838" w:orient="portrait"/>
          <w:cols w:equalWidth="0" w:num="1">
            <w:col w:w="11140"/>
          </w:cols>
          <w:pgMar w:left="380" w:top="891"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First Quarter of Fiscal Year 2026</w:t>
      </w:r>
    </w:p>
    <w:p>
      <w:pPr>
        <w:spacing w:after="0" w:line="2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For the first quarter of fiscal 2026, we are forecasting revenue of $3.1 billion, +/- $100 million. At the midpoint of this revenue outlook, we expect reported operating margin of approximately 31.0%, +/- 130 bps, and adjusted operating margin of approximately 43.5%, +/- 100 bps. We are planning for reported EPS to be $1.60, +/- $0.10, and adjusted EPS to be $2.29, +/-$0.10.</w:t>
      </w:r>
    </w:p>
    <w:p>
      <w:pPr>
        <w:spacing w:after="0" w:line="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Our first quarter fiscal 2026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release. See also the “Non-GAAP Financial Information” section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51"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21"/>
          <w:szCs w:val="21"/>
          <w:color w:val="auto"/>
        </w:rPr>
        <w:t>The ADI Board of Directors has declared a quarterly cash dividend of $0.99 per outstanding share of common stock. The dividend will be paid on December 22, 2025 to all shareholders of record at the close of business on December 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Tuesday, November 25, 2025 at 10:00 am ET</w:t>
      </w:r>
    </w:p>
    <w:p>
      <w:pPr>
        <w:spacing w:after="0" w:line="26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ADI will host a conference call to discuss our fourth quarter and fiscal 2025 results and short-term outlook today, beginning at 10:00 am ET. Investors may join via webcast, accessible at investor.analog.com.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U.S.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financial measures to their most directly comparable GAAP financial measures are provided in the financial tables included in this release.</w:t>
      </w:r>
    </w:p>
    <w:p>
      <w:pPr>
        <w:spacing w:after="0" w:line="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57" w:lineRule="auto"/>
        <w:rPr>
          <w:sz w:val="20"/>
          <w:szCs w:val="20"/>
          <w:color w:val="auto"/>
        </w:rPr>
      </w:pPr>
      <w:r>
        <w:rPr>
          <w:rFonts w:ascii="Times New Roman" w:cs="Times New Roman" w:eastAsia="Times New Roman" w:hAnsi="Times New Roman"/>
          <w:sz w:val="22"/>
          <w:szCs w:val="22"/>
          <w:color w:val="auto"/>
        </w:rPr>
        <w:t>Management also believes that free cash flow, a non-GAAP liquidity measure, is useful both internally and to investors because it is indicative of the Company's ability to pay dividends, purchase common stock, make investments and fund acquisitions, and in the absence of refinancings, to repay its debt obligations.</w:t>
      </w:r>
    </w:p>
    <w:p>
      <w:pPr>
        <w:spacing w:after="0" w:line="5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nonoperating expense (income), adjusted income before income taxes, adjusted provision for income taxes, adjusted tax rate, adjusted diluted earnings per share (EPS), free cash flow, and free cash flow revenue percentage.</w:t>
      </w:r>
    </w:p>
    <w:p>
      <w:pPr>
        <w:spacing w:after="0" w:line="38"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are described further below. 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jc w:val="both"/>
        <w:ind w:right="840"/>
        <w:spacing w:after="0" w:line="230"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 Adjusted operating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percentage represents adjusted operating expenses divided by revenue.</w:t>
      </w:r>
    </w:p>
    <w:p>
      <w:pPr>
        <w:spacing w:after="0" w:line="67"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22"/>
          <w:szCs w:val="22"/>
          <w:color w:val="auto"/>
        </w:rPr>
        <w:t xml:space="preserve">Adjusted operating income is defined as operating income, determined in accordance with GAAP, excluding: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 Adjusted operating margin represents adjusted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divided by revenue.</w:t>
      </w:r>
    </w:p>
    <w:p>
      <w:pPr>
        <w:spacing w:after="0" w:line="7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2"/>
          <w:szCs w:val="22"/>
          <w:color w:val="auto"/>
        </w:rPr>
        <w:t xml:space="preserve">Adjusted nonoperating expense (income) is defined as nonoperating expense (income),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is described further below.</w:t>
      </w:r>
    </w:p>
    <w:p>
      <w:pPr>
        <w:spacing w:after="0" w:line="1" w:lineRule="exact"/>
        <w:rPr>
          <w:sz w:val="20"/>
          <w:szCs w:val="20"/>
          <w:color w:val="auto"/>
        </w:rPr>
      </w:pPr>
    </w:p>
    <w:p>
      <w:pPr>
        <w:ind w:right="900"/>
        <w:spacing w:after="0" w:line="253"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and s</w:t>
      </w:r>
      <w:r>
        <w:rPr>
          <w:rFonts w:ascii="Times New Roman" w:cs="Times New Roman" w:eastAsia="Times New Roman" w:hAnsi="Times New Roman"/>
          <w:sz w:val="22"/>
          <w:szCs w:val="22"/>
          <w:i w:val="1"/>
          <w:iCs w:val="1"/>
          <w:color w:val="auto"/>
        </w:rPr>
        <w:t>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2"/>
          <w:szCs w:val="22"/>
          <w:color w:val="auto"/>
        </w:rPr>
        <w:t xml:space="preserve">Adjusted diluted EPS is defined as diluted EPS,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tax related items</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p>
    <w:p>
      <w:pPr>
        <w:spacing w:after="0" w:line="1"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revenue percentage represents free cash flow divided by revenue.</w:t>
      </w:r>
    </w:p>
    <w:p>
      <w:pPr>
        <w:spacing w:after="0" w:line="57" w:lineRule="exact"/>
        <w:rPr>
          <w:sz w:val="20"/>
          <w:szCs w:val="20"/>
          <w:color w:val="auto"/>
        </w:rPr>
      </w:pPr>
    </w:p>
    <w:p>
      <w:pPr>
        <w:ind w:left="660" w:right="60"/>
        <w:spacing w:after="0" w:line="239" w:lineRule="auto"/>
        <w:rPr>
          <w:sz w:val="20"/>
          <w:szCs w:val="20"/>
          <w:color w:val="auto"/>
        </w:rPr>
      </w:pP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2"/>
          <w:szCs w:val="22"/>
          <w:color w:val="auto"/>
        </w:rPr>
        <w:t>: Expenses incurred as a result of current and prior period acquisitions and primarily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expenses associated with the fair value adjustments to debt,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Integrated Products, Inc. (Maxim) acquisition. We excluded these costs from our non-GAAP measures because they relate to specific transactions and are not reflective of our ongoing financial performance.</w:t>
      </w:r>
    </w:p>
    <w:p>
      <w:pPr>
        <w:spacing w:after="0" w:line="63" w:lineRule="exact"/>
        <w:rPr>
          <w:sz w:val="20"/>
          <w:szCs w:val="20"/>
          <w:color w:val="auto"/>
        </w:rPr>
      </w:pPr>
    </w:p>
    <w:p>
      <w:pPr>
        <w:jc w:val="both"/>
        <w:ind w:left="660" w:right="180"/>
        <w:spacing w:after="0" w:line="232"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2"/>
          <w:szCs w:val="22"/>
          <w:color w:val="auto"/>
        </w:rPr>
        <w:t>: Expenses, net, incurred as part of the integration of Maxim, in connection with facility closures,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consolidation of manufacturing facilities, severance, other accelerated stock-based compensation expense and other cost reduction efforts or reorganizational initiatives. We</w:t>
      </w:r>
    </w:p>
    <w:p>
      <w:pPr>
        <w:sectPr>
          <w:pgSz w:w="11900" w:h="16838" w:orient="portrait"/>
          <w:cols w:equalWidth="0" w:num="1">
            <w:col w:w="11220"/>
          </w:cols>
          <w:pgMar w:left="320" w:top="990" w:right="359" w:bottom="1440" w:gutter="0" w:footer="0" w:header="0"/>
        </w:sectPr>
      </w:pPr>
    </w:p>
    <w:bookmarkStart w:id="7" w:name="page8"/>
    <w:bookmarkEnd w:id="7"/>
    <w:p>
      <w:pPr>
        <w:ind w:left="660" w:right="240"/>
        <w:spacing w:after="0" w:line="271" w:lineRule="auto"/>
        <w:rPr>
          <w:sz w:val="20"/>
          <w:szCs w:val="20"/>
          <w:color w:val="auto"/>
        </w:rPr>
      </w:pPr>
      <w:r>
        <w:rPr>
          <w:rFonts w:ascii="Times New Roman" w:cs="Times New Roman" w:eastAsia="Times New Roman" w:hAnsi="Times New Roman"/>
          <w:sz w:val="22"/>
          <w:szCs w:val="22"/>
          <w:color w:val="auto"/>
        </w:rPr>
        <w:t>excluded these expenses from our non-GAAP measures because apart from ongoing expense savings as a result of such items, these expenses have no direct correlation to the operation of our business in the future.</w:t>
      </w:r>
    </w:p>
    <w:p>
      <w:pPr>
        <w:spacing w:after="0" w:line="29" w:lineRule="exact"/>
        <w:rPr>
          <w:sz w:val="20"/>
          <w:szCs w:val="20"/>
          <w:color w:val="auto"/>
        </w:rPr>
      </w:pPr>
    </w:p>
    <w:p>
      <w:pPr>
        <w:ind w:left="660"/>
        <w:spacing w:after="0" w:line="247" w:lineRule="auto"/>
        <w:rPr>
          <w:sz w:val="20"/>
          <w:szCs w:val="20"/>
          <w:color w:val="auto"/>
        </w:rPr>
      </w:pPr>
      <w:r>
        <w:rPr>
          <w:rFonts w:ascii="Times New Roman" w:cs="Times New Roman" w:eastAsia="Times New Roman" w:hAnsi="Times New Roman"/>
          <w:sz w:val="27"/>
          <w:szCs w:val="27"/>
          <w:i w:val="1"/>
          <w:iCs w:val="1"/>
          <w:color w:val="auto"/>
          <w:vertAlign w:val="superscript"/>
        </w:rPr>
        <w:t>3</w:t>
      </w:r>
      <w:r>
        <w:rPr>
          <w:rFonts w:ascii="Times New Roman" w:cs="Times New Roman" w:eastAsia="Times New Roman" w:hAnsi="Times New Roman"/>
          <w:sz w:val="21"/>
          <w:szCs w:val="21"/>
          <w:i w:val="1"/>
          <w:iCs w:val="1"/>
          <w:color w:val="auto"/>
        </w:rPr>
        <w:t>Tax Related Items</w:t>
      </w:r>
      <w:r>
        <w:rPr>
          <w:rFonts w:ascii="Times New Roman" w:cs="Times New Roman" w:eastAsia="Times New Roman" w:hAnsi="Times New Roman"/>
          <w:sz w:val="21"/>
          <w:szCs w:val="21"/>
          <w:color w:val="auto"/>
        </w:rPr>
        <w:t>: Income tax effect of the non-GAAP items discussed above, deferred tax expense related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remeasurement of GILTI-related deferred tax assets and liabilities attributable to the One Big Beautiful Bill Act and certain other income tax expenses associated with prior periods. We excluded the income tax effect of these tax related items from our non-GAAP measures because they are not associated with the tax expense on our current operating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 Inc.</w:t>
      </w:r>
    </w:p>
    <w:p>
      <w:pPr>
        <w:spacing w:after="0" w:line="26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AI, and software technologies into solutions that help drive advancements in automation and robotics, mobility, energy and data centers, and healthcare, combat climate change, and reliably connect humans and the world. With revenue of more than $11 billion in FY25, ADI ensures today’s innovators stay Ahead of What’s Possible. Learn more at www.analog.com and on LinkedIn and Twitter (X).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24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which address a variety of subjects including, for example, our statements regarding our 2026 financial performance; expected revenue, operating margin, nonoperating expenses, tax rate, earnings per share, free cash flow returns, and other financial results; expected market and technology trends; market size, market share gains, market position, and growth opportunities; economic and trade uncertainty, tariffs, geopolitical conditions, demand, and other market conditions; business cycles and supply chains; capital expenditures and investments, including those related to digital, software, and artificial intelligence; our opportunity pipeline; expected product solutions, offerings, technologies, capabilities, and applications, including those that may incorporate, or be based upon, software or artificial intelligence technology; the value and importance of, and other benefits related to, our product solutions, offerings, and technologies to our customers, including those that may incorporate, or be based upon, software or artificial intelligence technology; future dividends and share repurchases;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that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w:t>
      </w:r>
    </w:p>
    <w:p>
      <w:pPr>
        <w:sectPr>
          <w:pgSz w:w="11900" w:h="16838" w:orient="portrait"/>
          <w:cols w:equalWidth="0" w:num="1">
            <w:col w:w="11240"/>
          </w:cols>
          <w:pgMar w:left="320" w:top="990"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21"/>
          <w:szCs w:val="21"/>
          <w:i w:val="1"/>
          <w:iCs w:val="1"/>
          <w:color w:val="auto"/>
        </w:rPr>
        <w:t>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194"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140"/>
          </w:cols>
          <w:pgMar w:left="320" w:top="891"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1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18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Nov. 2, 2024</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1,134,300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4,246,229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4,045,814</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5,381,343</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1,487,863</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1,068,640</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754,784</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37,258</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3,840,982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3,348,545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2,032,798</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322,227</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(78,817)</w:t>
            </w:r>
          </w:p>
        </w:tc>
      </w:tr>
      <w:tr>
        <w:trPr>
          <w:trHeight w:val="230"/>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255,458</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1,777,340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142,067</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2,267,342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1,635,273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496,166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498,697</w:t>
            </w:r>
          </w:p>
        </w:tc>
      </w:tr>
      <w:tr>
        <w:trPr>
          <w:trHeight w:val="257"/>
        </w:trPr>
        <w:tc>
          <w:tcPr>
            <w:tcW w:w="5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bl>
    <w:p>
      <w:pPr>
        <w:sectPr>
          <w:pgSz w:w="11900" w:h="16838" w:orient="portrait"/>
          <w:cols w:equalWidth="0" w:num="1">
            <w:col w:w="11060"/>
          </w:cols>
          <w:pgMar w:left="420" w:top="887"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8"/>
                <w:szCs w:val="18"/>
                <w:b w:val="1"/>
                <w:bCs w:val="1"/>
                <w:color w:val="auto"/>
              </w:rPr>
              <w:t>Nov. 2, 2024</w:t>
            </w:r>
          </w:p>
        </w:tc>
      </w:tr>
      <w:tr>
        <w:trPr>
          <w:trHeight w:val="18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2,499,406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1,991,342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1,152,915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371,822</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1,436,075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1,336,331</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1,656,323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1,447,687</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337,472</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7,108,061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5,484,654</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3,315,696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3,415,550</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26,945,180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26,909,775</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8,013,815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9,585,464</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2,083,752</w:t>
            </w: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742,858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749,082</w:t>
            </w:r>
          </w:p>
        </w:tc>
      </w:tr>
      <w:tr>
        <w:trPr>
          <w:trHeight w:val="19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40,884,651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42,743,623</w:t>
            </w:r>
          </w:p>
        </w:tc>
      </w:tr>
      <w:tr>
        <w:trPr>
          <w:trHeight w:val="203"/>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47,992,712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48,228,277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487,457</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447,379</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current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399,636</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paper notes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547,738</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1,645,032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1,106,070</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3,245,801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2,988,280</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8,145,066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6,634,313</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2,624,392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260,486</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544,489</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10,931,156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10,063,680</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$1.00 par value, 471,934 shares authorized, none outstanding</w:t>
            </w: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$0.16 2/3 par value, 1,200,000,000 shares authorized, 489,654,097 shares outstanding (496,296,854 on November 2, 2024)</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82,718</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23,349,185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25,082,243</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10,196,612</w:t>
            </w: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(154,582)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(185,256)</w:t>
            </w:r>
          </w:p>
        </w:tc>
      </w:tr>
      <w:tr>
        <w:trPr>
          <w:trHeight w:val="19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33,815,755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35,176,317</w:t>
            </w:r>
          </w:p>
        </w:tc>
      </w:tr>
      <w:tr>
        <w:trPr>
          <w:trHeight w:val="203"/>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47,992,712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48,228,277</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177165</wp:posOffset>
            </wp:positionV>
            <wp:extent cx="3711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p>
      <w:pPr>
        <w:spacing w:after="0" w:line="28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19685</wp:posOffset>
            </wp:positionV>
            <wp:extent cx="1817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ind w:left="556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Nov. 1, 2025</w:t>
      </w:r>
      <w:r>
        <w:rPr>
          <w:sz w:val="20"/>
          <w:szCs w:val="20"/>
          <w:color w:val="auto"/>
        </w:rPr>
        <w:tab/>
      </w:r>
      <w:r>
        <w:rPr>
          <w:rFonts w:ascii="Times New Roman" w:cs="Times New Roman" w:eastAsia="Times New Roman" w:hAnsi="Times New Roman"/>
          <w:sz w:val="17"/>
          <w:szCs w:val="17"/>
          <w:b w:val="1"/>
          <w:bCs w:val="1"/>
          <w:color w:val="auto"/>
        </w:rPr>
        <w:t>Nov. 2, 2024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19685</wp:posOffset>
            </wp:positionV>
            <wp:extent cx="1825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Nov. 1, 2025</w:t>
      </w:r>
      <w:r>
        <w:rPr>
          <w:sz w:val="20"/>
          <w:szCs w:val="20"/>
          <w:color w:val="auto"/>
        </w:rPr>
        <w:tab/>
      </w:r>
      <w:r>
        <w:rPr>
          <w:rFonts w:ascii="Times New Roman" w:cs="Times New Roman" w:eastAsia="Times New Roman" w:hAnsi="Times New Roman"/>
          <w:sz w:val="17"/>
          <w:szCs w:val="17"/>
          <w:b w:val="1"/>
          <w:bCs w:val="1"/>
          <w:color w:val="auto"/>
        </w:rPr>
        <w:t>Nov. 2, 2024</w:t>
      </w:r>
    </w:p>
    <w:p>
      <w:pPr>
        <w:spacing w:after="0" w:line="31" w:lineRule="exact"/>
        <w:rPr>
          <w:sz w:val="20"/>
          <w:szCs w:val="20"/>
          <w:color w:val="auto"/>
        </w:rPr>
      </w:pPr>
    </w:p>
    <w:p>
      <w:pPr>
        <w:sectPr>
          <w:pgSz w:w="11900" w:h="16838" w:orient="portrait"/>
          <w:cols w:equalWidth="0" w:num="2">
            <w:col w:w="7980" w:space="540"/>
            <w:col w:w="2660"/>
          </w:cols>
          <w:pgMar w:left="360" w:top="887" w:right="3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787,739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478,072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2,267,342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1,635,273</w:t>
            </w:r>
          </w:p>
        </w:tc>
      </w:tr>
      <w:tr>
        <w:trPr>
          <w:trHeight w:val="176"/>
        </w:trPr>
        <w:tc>
          <w:tcPr>
            <w:tcW w:w="53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97,241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406,801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362,771</w:t>
            </w:r>
          </w:p>
        </w:tc>
      </w:tr>
      <w:tr>
        <w:trPr>
          <w:trHeight w:val="22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389,865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423,220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1,592,044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1,741,545</w:t>
            </w:r>
          </w:p>
        </w:tc>
      </w:tr>
      <w:tr>
        <w:trPr>
          <w:trHeight w:val="230"/>
        </w:trPr>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321,560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262,710</w:t>
            </w:r>
          </w:p>
        </w:tc>
      </w:tr>
      <w:tr>
        <w:trPr>
          <w:trHeight w:val="22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(367,563)</w:t>
            </w:r>
          </w:p>
        </w:tc>
      </w:tr>
      <w:tr>
        <w:trPr>
          <w:trHeight w:val="229"/>
        </w:trPr>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23,050</w:t>
            </w:r>
          </w:p>
        </w:tc>
      </w:tr>
      <w:tr>
        <w:trPr>
          <w:trHeight w:val="230"/>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489,016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481,009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194,743</w:t>
            </w:r>
          </w:p>
        </w:tc>
      </w:tr>
      <w:tr>
        <w:trPr>
          <w:trHeight w:val="223"/>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913,071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572,745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2,544,860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2,217,256</w:t>
            </w: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1,700,810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1,050,817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4,812,202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3,852,529</w:t>
            </w:r>
          </w:p>
        </w:tc>
      </w:tr>
      <w:tr>
        <w:trPr>
          <w:trHeight w:val="223"/>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 of revenue</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(438,901)</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372,778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69,279</w:t>
            </w:r>
          </w:p>
        </w:tc>
      </w:tr>
      <w:tr>
        <w:trPr>
          <w:trHeight w:val="229"/>
        </w:trPr>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(533,552)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(730,463)</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for acquisitions, net of cash acquired</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(1,321,521)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(1,104,858)</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debt</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1,490,785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1,087,856</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repayments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(399,998)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(499,966)</w:t>
            </w: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commercial paper notes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2,595,183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2,474,948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9,462,691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10,184,439</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commercial paper notes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(2,697,209)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(2,474,652)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(9,563,790)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(10,183,925)</w:t>
            </w:r>
          </w:p>
        </w:tc>
      </w:tr>
      <w:tr>
        <w:trPr>
          <w:trHeight w:val="23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(486,892)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(456,756)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(1,924,413)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(1,795,459)</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(680,472)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(2,164,638)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(615,590)</w:t>
            </w:r>
          </w:p>
        </w:tc>
      </w:tr>
      <w:tr>
        <w:trPr>
          <w:trHeight w:val="23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121,215</w:t>
            </w:r>
          </w:p>
        </w:tc>
      </w:tr>
      <w:tr>
        <w:trPr>
          <w:trHeight w:val="229"/>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(12,960)</w:t>
            </w:r>
          </w:p>
        </w:tc>
      </w:tr>
      <w:tr>
        <w:trPr>
          <w:trHeight w:val="223"/>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(1,297,290)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(1,053,893)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(2,982,617)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(1,714,390)</w:t>
            </w: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1,033,281</w:t>
            </w:r>
          </w:p>
        </w:tc>
      </w:tr>
      <w:tr>
        <w:trPr>
          <w:trHeight w:val="229"/>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2,321,191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2,106,032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1,991,342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958,061</w:t>
            </w:r>
          </w:p>
        </w:tc>
      </w:tr>
      <w:tr>
        <w:trPr>
          <w:trHeight w:val="248"/>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2,499,406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1,991,342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2,499,406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1,991,342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tbl>
      <w:tblPr>
        <w:tblLayout w:type="fixed"/>
        <w:tblInd w:w="4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 1, 2025</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Nov. 2, 2024</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1,426,527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1,060,763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852,246</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717,338</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407,543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389,801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7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285,157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3,076,117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2,443,205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 1, 2025</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Nov. 2, 2024</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4,929,409</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4,290,324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3,277,865</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2,837,522</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1,434,568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1,377,865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7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1,091,431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11,019,707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9,427,157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sum of the individual percentages may not equal the total due to rounding.</w:t>
      </w:r>
    </w:p>
    <w:p>
      <w:pPr>
        <w:sectPr>
          <w:pgSz w:w="11900" w:h="16838" w:orient="portrait"/>
          <w:cols w:equalWidth="0" w:num="1">
            <w:col w:w="11240"/>
          </w:cols>
          <w:pgMar w:left="320" w:top="88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220" w:type="dxa"/>
            <w:vAlign w:val="bottom"/>
          </w:tcPr>
          <w:p>
            <w:pPr>
              <w:spacing w:after="0"/>
              <w:rPr>
                <w:sz w:val="19"/>
                <w:szCs w:val="19"/>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22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1,941,817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1,416,128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6,773,478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5,381,343</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margin percentage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204,748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243,667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867,613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1,022,488</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2,146,565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1,659,795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7,641,091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6,403,831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996,605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846,736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3,840,982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3,348,545</w:t>
            </w:r>
          </w:p>
        </w:tc>
        <w:tc>
          <w:tcPr>
            <w:tcW w:w="0" w:type="dxa"/>
            <w:vAlign w:val="bottom"/>
          </w:tcPr>
          <w:p>
            <w:pPr>
              <w:spacing w:after="0"/>
              <w:rPr>
                <w:sz w:val="1"/>
                <w:szCs w:val="1"/>
                <w:color w:val="auto"/>
              </w:rPr>
            </w:pPr>
          </w:p>
        </w:tc>
      </w:tr>
      <w:tr>
        <w:trPr>
          <w:trHeight w:val="229"/>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 of revenue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(188,013)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(188,821)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(752,058)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(760,325)</w:t>
            </w:r>
          </w:p>
        </w:tc>
        <w:tc>
          <w:tcPr>
            <w:tcW w:w="0" w:type="dxa"/>
            <w:vAlign w:val="bottom"/>
          </w:tcPr>
          <w:p>
            <w:pPr>
              <w:spacing w:after="0"/>
              <w:rPr>
                <w:sz w:val="1"/>
                <w:szCs w:val="1"/>
                <w:color w:val="auto"/>
              </w:rPr>
            </w:pPr>
          </w:p>
        </w:tc>
      </w:tr>
      <w:tr>
        <w:trPr>
          <w:trHeight w:val="22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(37,258)</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808,592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655,056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3,018,944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2,550,962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Adjusted operating expenses percentage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945,212</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569,392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2,932,496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2,032,798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392,761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1,619,671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1,782,813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37,258</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1,337,973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1,004,739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4,622,147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3,852,869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255,458</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nonoperating expense (income)</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60,162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55,214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228,984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264,058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887,200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2,712,112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1,777,340</w:t>
            </w:r>
          </w:p>
        </w:tc>
        <w:tc>
          <w:tcPr>
            <w:tcW w:w="0" w:type="dxa"/>
            <w:vAlign w:val="bottom"/>
          </w:tcPr>
          <w:p>
            <w:pPr>
              <w:spacing w:after="0"/>
              <w:rPr>
                <w:sz w:val="1"/>
                <w:szCs w:val="1"/>
                <w:color w:val="auto"/>
              </w:rPr>
            </w:pPr>
          </w:p>
        </w:tc>
      </w:tr>
      <w:tr>
        <w:trPr>
          <w:trHeight w:val="23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390,611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1,611,071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1,774,213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37,258</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1,277,811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949,525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4,393,163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3,588,811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99,461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38,256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444,770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142,067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Tax related items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62,616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76,702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78,396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265,697</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162,077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407,764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Adjusted tax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related items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sum of the individual per share amounts may not equal the total due to rounding.</w:t>
      </w:r>
    </w:p>
    <w:p>
      <w:pPr>
        <w:sectPr>
          <w:pgSz w:w="11900" w:h="16838" w:orient="portrait"/>
          <w:cols w:equalWidth="0" w:num="1">
            <w:col w:w="11220"/>
          </w:cols>
          <w:pgMar w:left="320" w:top="684" w:right="35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5"/>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Nov. 1, 2025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 2, 2025</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 1, 2025</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2,880,348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2,640,068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2,423,174</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4,812,202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1,700,810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1,165,105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819,478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1,126,809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(533,552)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(215,153)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(79,153)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(90,268)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(148,978)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4,278,650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1,485,657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1,085,952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977,831</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ectPr>
          <w:pgSz w:w="11900" w:h="16838" w:orient="portrait"/>
          <w:cols w:equalWidth="0" w:num="1">
            <w:col w:w="11100"/>
          </w:cols>
          <w:pgMar w:left="400" w:top="887" w:right="3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b w:val="1"/>
                <w:bCs w:val="1"/>
                <w:color w:val="242424"/>
              </w:rPr>
              <w:t>Three Months Ending January 31, 2026</w:t>
            </w:r>
          </w:p>
        </w:tc>
      </w:tr>
      <w:tr>
        <w:trPr>
          <w:trHeight w:val="223"/>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42424"/>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42424"/>
                <w:w w:val="99"/>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$100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$100 Million)</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43.5% (1)</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(+/-130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bps)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Tax rate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- 14%</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- 14% (2)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Earnings per share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$2.29 (3)</w:t>
            </w:r>
          </w:p>
        </w:tc>
      </w:tr>
      <w:tr>
        <w:trPr>
          <w:trHeight w:val="229"/>
        </w:trPr>
        <w:tc>
          <w:tcPr>
            <w:tcW w:w="458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r>
    </w:tbl>
    <w:p>
      <w:pPr>
        <w:spacing w:after="0" w:line="319" w:lineRule="exact"/>
        <w:rPr>
          <w:sz w:val="20"/>
          <w:szCs w:val="20"/>
          <w:color w:val="auto"/>
        </w:rPr>
      </w:pPr>
    </w:p>
    <w:p>
      <w:pPr>
        <w:ind w:right="22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$389 million of adjustments related to acquisition related expenses, as defined in the Non-GAAP Financial Information section of this press release.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 million of tax effects associated with the adjustments for acquisition related expenses noted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$0.69 of adjustments related to the net impact of acquisition related expenses and the tax effects on those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Ambrosi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781-461-3282</w:t>
      </w:r>
    </w:p>
    <w:p>
      <w:pPr>
        <w:spacing w:after="0" w:line="230" w:lineRule="auto"/>
        <w:rPr>
          <w:sz w:val="20"/>
          <w:szCs w:val="20"/>
          <w:color w:val="auto"/>
        </w:rPr>
      </w:pPr>
      <w:r>
        <w:rPr>
          <w:rFonts w:ascii="Times New Roman" w:cs="Times New Roman" w:eastAsia="Times New Roman" w:hAnsi="Times New Roman"/>
          <w:sz w:val="22"/>
          <w:szCs w:val="22"/>
          <w:color w:val="auto"/>
        </w:rPr>
        <w:t>Senior Director,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2025-11-25T06:11:07Z</dcterms:created>
  <dcterms:modified xsi:type="dcterms:W3CDTF">2025-11-25T06:11:07Z</dcterms:modified>
</cp:coreProperties>
</file>