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446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4639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Sacks Anelise Angelino</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ONE ANALOG WAY</w:t>
            </w:r>
          </w:p>
        </w:tc>
        <w:tc>
          <w:tcPr>
            <w:tcW w:w="160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01887</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ANALOG DEVICES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ADI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220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EVP, Chief Customer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1"/>
        </w:trPr>
        <w:tc>
          <w:tcPr>
            <w:tcW w:w="2280" w:type="dxa"/>
            <w:vAlign w:val="bottom"/>
            <w:gridSpan w:val="2"/>
          </w:tcPr>
          <w:p>
            <w:pPr>
              <w:ind w:left="80"/>
              <w:spacing w:after="0" w:line="181" w:lineRule="exact"/>
              <w:rPr>
                <w:sz w:val="20"/>
                <w:szCs w:val="20"/>
                <w:color w:val="auto"/>
              </w:rPr>
            </w:pPr>
            <w:r>
              <w:rPr>
                <w:rFonts w:ascii="Times New Roman" w:cs="Times New Roman" w:eastAsia="Times New Roman" w:hAnsi="Times New Roman"/>
                <w:sz w:val="17"/>
                <w:szCs w:val="17"/>
                <w:color w:val="0000FF"/>
              </w:rPr>
              <w:t>03/19/2024</w:t>
            </w:r>
          </w:p>
        </w:tc>
        <w:tc>
          <w:tcPr>
            <w:tcW w:w="1560" w:type="dxa"/>
            <w:vAlign w:val="bottom"/>
          </w:tcPr>
          <w:p>
            <w:pPr>
              <w:spacing w:after="0"/>
              <w:rPr>
                <w:sz w:val="15"/>
                <w:szCs w:val="15"/>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80" w:type="dxa"/>
            <w:vAlign w:val="bottom"/>
            <w:gridSpan w:val="3"/>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of Securities</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78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2,616</w:t>
            </w:r>
          </w:p>
        </w:tc>
        <w:tc>
          <w:tcPr>
            <w:tcW w:w="680" w:type="dxa"/>
            <w:vAlign w:val="bottom"/>
          </w:tcPr>
          <w:p>
            <w:pPr>
              <w:spacing w:after="0"/>
              <w:rPr>
                <w:sz w:val="15"/>
                <w:szCs w:val="15"/>
                <w:color w:val="auto"/>
              </w:rPr>
            </w:pPr>
          </w:p>
        </w:tc>
        <w:tc>
          <w:tcPr>
            <w:tcW w:w="940" w:type="dxa"/>
            <w:vAlign w:val="bottom"/>
            <w:vMerge w:val="restart"/>
          </w:tcPr>
          <w:p>
            <w:pPr>
              <w:jc w:val="center"/>
              <w:ind w:right="181"/>
              <w:spacing w:after="0"/>
              <w:rPr>
                <w:sz w:val="20"/>
                <w:szCs w:val="20"/>
                <w:color w:val="auto"/>
              </w:rPr>
            </w:pPr>
            <w:r>
              <w:rPr>
                <w:rFonts w:ascii="Times New Roman" w:cs="Times New Roman" w:eastAsia="Times New Roman" w:hAnsi="Times New Roman"/>
                <w:sz w:val="13"/>
                <w:szCs w:val="13"/>
                <w:color w:val="0000FF"/>
              </w:rPr>
              <w:t>5,232</w:t>
            </w:r>
            <w:r>
              <w:rPr>
                <w:rFonts w:ascii="Times New Roman" w:cs="Times New Roman" w:eastAsia="Times New Roman" w:hAnsi="Times New Roman"/>
                <w:sz w:val="21"/>
                <w:szCs w:val="21"/>
                <w:color w:val="008000"/>
                <w:vertAlign w:val="superscript"/>
              </w:rPr>
              <w:t>(2)</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Stock-$.16-</w:t>
            </w:r>
          </w:p>
        </w:tc>
        <w:tc>
          <w:tcPr>
            <w:tcW w:w="54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2/3 value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Comm</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7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6"/>
              </w:rPr>
              <w:t>Stock -</w:t>
            </w:r>
          </w:p>
        </w:tc>
        <w:tc>
          <w:tcPr>
            <w:tcW w:w="540" w:type="dxa"/>
            <w:vAlign w:val="bottom"/>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572</w:t>
            </w:r>
          </w:p>
        </w:tc>
        <w:tc>
          <w:tcPr>
            <w:tcW w:w="680" w:type="dxa"/>
            <w:vAlign w:val="bottom"/>
          </w:tcPr>
          <w:p>
            <w:pPr>
              <w:spacing w:after="0"/>
              <w:rPr>
                <w:sz w:val="5"/>
                <w:szCs w:val="5"/>
                <w:color w:val="auto"/>
              </w:rPr>
            </w:pPr>
          </w:p>
        </w:tc>
        <w:tc>
          <w:tcPr>
            <w:tcW w:w="940" w:type="dxa"/>
            <w:vAlign w:val="bottom"/>
            <w:vMerge w:val="restart"/>
          </w:tcPr>
          <w:p>
            <w:pPr>
              <w:jc w:val="center"/>
              <w:ind w:right="221"/>
              <w:spacing w:after="0" w:line="207" w:lineRule="exact"/>
              <w:rPr>
                <w:sz w:val="20"/>
                <w:szCs w:val="20"/>
                <w:color w:val="auto"/>
              </w:rPr>
            </w:pPr>
            <w:r>
              <w:rPr>
                <w:rFonts w:ascii="Times New Roman" w:cs="Times New Roman" w:eastAsia="Times New Roman" w:hAnsi="Times New Roman"/>
                <w:sz w:val="13"/>
                <w:szCs w:val="13"/>
                <w:color w:val="0000FF"/>
              </w:rPr>
              <w:t>573</w:t>
            </w:r>
            <w:r>
              <w:rPr>
                <w:rFonts w:ascii="Times New Roman" w:cs="Times New Roman" w:eastAsia="Times New Roman" w:hAnsi="Times New Roman"/>
                <w:sz w:val="21"/>
                <w:szCs w:val="21"/>
                <w:color w:val="008000"/>
                <w:vertAlign w:val="superscript"/>
              </w:rPr>
              <w:t>(4)</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$.16-2/3</w:t>
            </w:r>
          </w:p>
        </w:tc>
        <w:tc>
          <w:tcPr>
            <w:tcW w:w="5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to the Reporting Person on April 4, 2022, vest in equal installments on the first, second, third and fourth anniversaries of March 15, 2022. Upon each vesting date, each vested RSU shall automatically convert into one (1) share of common stock.</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inadvertently reported that, after vesting of these RSUs, the Reporting Person beneficially owned 7,848 derivative securities. As reported in this Form 4/A, the Reporting Person beneficially owned 5,232 derivative securities after vesting of these RSUs.</w:t>
      </w:r>
    </w:p>
    <w:p>
      <w:pPr>
        <w:spacing w:after="0" w:line="17"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to the Reporting Person on March 15, 2021 (the "Grant Date") vest in equal installments on the first, second, third and fourth anniversaries of the Grant Date. Upon the vesting date, each vested RSU shall automatically convert into one (1) share of common stock of the Company.</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19, 2024, the Reporting Person filed a Form 4 that inadvertently reported that, after vesting of these RSUs, the Reporting Person beneficially owned 1,145 derivative securities. As reported in this Form 4/A, the Reporting Person beneficially owned 573 derivative securities after vesting of these RSUs.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Shelly Shaw, General</w:t>
            </w:r>
          </w:p>
        </w:tc>
        <w:tc>
          <w:tcPr>
            <w:tcW w:w="560" w:type="dxa"/>
            <w:vAlign w:val="bottom"/>
            <w:gridSpan w:val="2"/>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03/20/2024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Counsel, by Power of Attorney</w:t>
            </w: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8096"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2024-03-20T15:39:36Z</dcterms:created>
  <dcterms:modified xsi:type="dcterms:W3CDTF">2024-03-20T15:39:36Z</dcterms:modified>
</cp:coreProperties>
</file>