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5,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314" w:right="239" w:bottom="1440" w:gutter="0" w:footer="0" w:header="0"/>
        </w:sectPr>
      </w:pPr>
    </w:p>
    <w:p>
      <w:pPr>
        <w:spacing w:after="0" w:line="41"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200" w:space="580"/>
            <w:col w:w="464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No. 1-7819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00" w:type="dxa"/>
        <w:tblCellMar>
          <w:top w:w="0" w:type="dxa"/>
          <w:left w:w="0" w:type="dxa"/>
          <w:bottom w:w="0" w:type="dxa"/>
          <w:right w:w="0" w:type="dxa"/>
        </w:tblCellMar>
      </w:tblPr>
      <w:tr>
        <w:trPr>
          <w:trHeight w:val="218"/>
        </w:trPr>
        <w:tc>
          <w:tcPr>
            <w:tcW w:w="6620" w:type="dxa"/>
            <w:vAlign w:val="bottom"/>
          </w:tcPr>
          <w:p>
            <w:pPr>
              <w:jc w:val="center"/>
              <w:ind w:right="3825"/>
              <w:spacing w:after="0"/>
              <w:rPr>
                <w:sz w:val="20"/>
                <w:szCs w:val="20"/>
                <w:color w:val="auto"/>
              </w:rPr>
            </w:pPr>
            <w:r>
              <w:rPr>
                <w:rFonts w:ascii="Arial" w:cs="Arial" w:eastAsia="Arial" w:hAnsi="Arial"/>
                <w:sz w:val="18"/>
                <w:szCs w:val="18"/>
                <w:b w:val="1"/>
                <w:bCs w:val="1"/>
                <w:color w:val="auto"/>
                <w:w w:val="83"/>
              </w:rPr>
              <w:t>Massachusetts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04-2348234</w:t>
            </w:r>
          </w:p>
        </w:tc>
      </w:tr>
      <w:tr>
        <w:trPr>
          <w:trHeight w:val="149"/>
        </w:trPr>
        <w:tc>
          <w:tcPr>
            <w:tcW w:w="6620" w:type="dxa"/>
            <w:vAlign w:val="bottom"/>
          </w:tcPr>
          <w:p>
            <w:pPr>
              <w:jc w:val="center"/>
              <w:ind w:right="382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82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620" w:type="dxa"/>
            <w:vAlign w:val="bottom"/>
          </w:tcPr>
          <w:p>
            <w:pPr>
              <w:jc w:val="center"/>
              <w:ind w:right="3805"/>
              <w:spacing w:after="0"/>
              <w:rPr>
                <w:sz w:val="20"/>
                <w:szCs w:val="20"/>
                <w:color w:val="auto"/>
              </w:rPr>
            </w:pPr>
            <w:r>
              <w:rPr>
                <w:rFonts w:ascii="Arial" w:cs="Arial" w:eastAsia="Arial" w:hAnsi="Arial"/>
                <w:sz w:val="18"/>
                <w:szCs w:val="18"/>
                <w:b w:val="1"/>
                <w:bCs w:val="1"/>
                <w:color w:val="auto"/>
                <w:w w:val="88"/>
              </w:rPr>
              <w:t>One Technology Way, Norwood, MA</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02062-9106</w:t>
            </w:r>
          </w:p>
        </w:tc>
      </w:tr>
      <w:tr>
        <w:trPr>
          <w:trHeight w:val="174"/>
        </w:trPr>
        <w:tc>
          <w:tcPr>
            <w:tcW w:w="6620" w:type="dxa"/>
            <w:vAlign w:val="bottom"/>
          </w:tcPr>
          <w:p>
            <w:pPr>
              <w:jc w:val="center"/>
              <w:ind w:right="382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620" w:type="dxa"/>
            <w:vAlign w:val="bottom"/>
          </w:tcPr>
          <w:p>
            <w:pPr>
              <w:jc w:val="center"/>
              <w:ind w:left="1725"/>
              <w:spacing w:after="0"/>
              <w:rPr>
                <w:sz w:val="20"/>
                <w:szCs w:val="20"/>
                <w:color w:val="auto"/>
              </w:rPr>
            </w:pPr>
            <w:r>
              <w:rPr>
                <w:rFonts w:ascii="Arial" w:cs="Arial" w:eastAsia="Arial" w:hAnsi="Arial"/>
                <w:sz w:val="18"/>
                <w:szCs w:val="18"/>
                <w:b w:val="1"/>
                <w:bCs w:val="1"/>
                <w:color w:val="auto"/>
                <w:w w:val="89"/>
              </w:rPr>
              <w:t>(781) 329-4700</w:t>
            </w:r>
          </w:p>
        </w:tc>
        <w:tc>
          <w:tcPr>
            <w:tcW w:w="1100" w:type="dxa"/>
            <w:vAlign w:val="bottom"/>
          </w:tcPr>
          <w:p>
            <w:pPr>
              <w:spacing w:after="0"/>
              <w:rPr>
                <w:sz w:val="24"/>
                <w:szCs w:val="24"/>
                <w:color w:val="auto"/>
              </w:rPr>
            </w:pPr>
          </w:p>
        </w:tc>
      </w:tr>
      <w:tr>
        <w:trPr>
          <w:trHeight w:val="174"/>
        </w:trPr>
        <w:tc>
          <w:tcPr>
            <w:tcW w:w="6620" w:type="dxa"/>
            <w:vAlign w:val="bottom"/>
          </w:tcPr>
          <w:p>
            <w:pPr>
              <w:jc w:val="center"/>
              <w:ind w:left="172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11"/>
        </w:trPr>
        <w:tc>
          <w:tcPr>
            <w:tcW w:w="6620" w:type="dxa"/>
            <w:vAlign w:val="bottom"/>
          </w:tcPr>
          <w:p>
            <w:pPr>
              <w:jc w:val="center"/>
              <w:ind w:left="172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4"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8440" w:space="160"/>
            <w:col w:w="340" w:space="80"/>
            <w:col w:w="160" w:space="180"/>
            <w:col w:w="2060"/>
          </w:cols>
          <w:pgMar w:left="240" w:top="314"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May 5, 2012 there were 298,337,925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34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200" w:type="dxa"/>
            <w:vAlign w:val="bottom"/>
            <w:gridSpan w:val="3"/>
          </w:tcPr>
          <w:p>
            <w:pPr>
              <w:spacing w:after="0"/>
              <w:rPr>
                <w:sz w:val="20"/>
                <w:szCs w:val="20"/>
                <w:color w:val="auto"/>
              </w:rPr>
            </w:pPr>
            <w:r>
              <w:rPr>
                <w:rFonts w:ascii="Arial" w:cs="Arial" w:eastAsia="Arial" w:hAnsi="Arial"/>
                <w:sz w:val="18"/>
                <w:szCs w:val="18"/>
                <w:color w:val="auto"/>
              </w:rPr>
              <w:t>ANALOG DEVICES, INC.</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CONDENSED CONSOLIDATED STATEMENTS OF 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w w:val="89"/>
              </w:rPr>
              <w:t>(Unaudited)</w:t>
            </w:r>
          </w:p>
        </w:tc>
        <w:tc>
          <w:tcPr>
            <w:tcW w:w="6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3"/>
          </w:tcPr>
          <w:p>
            <w:pPr>
              <w:spacing w:after="0"/>
              <w:rPr>
                <w:sz w:val="20"/>
                <w:szCs w:val="20"/>
                <w:color w:val="auto"/>
              </w:rPr>
            </w:pPr>
            <w:r>
              <w:rPr>
                <w:rFonts w:ascii="Arial" w:cs="Arial" w:eastAsia="Arial" w:hAnsi="Arial"/>
                <w:sz w:val="18"/>
                <w:szCs w:val="18"/>
                <w:color w:val="auto"/>
              </w:rPr>
              <w:t>(thousands, except per share amounts)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5, 2012</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April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63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675,094</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790,780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234,639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256,566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440,455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534,214</w:t>
            </w:r>
          </w:p>
        </w:tc>
        <w:tc>
          <w:tcPr>
            <w:tcW w:w="0" w:type="dxa"/>
            <w:vAlign w:val="bottom"/>
          </w:tcPr>
          <w:p>
            <w:pPr>
              <w:spacing w:after="0"/>
              <w:rPr>
                <w:sz w:val="1"/>
                <w:szCs w:val="1"/>
                <w:color w:val="auto"/>
              </w:rPr>
            </w:pPr>
          </w:p>
        </w:tc>
      </w:tr>
      <w:tr>
        <w:trPr>
          <w:trHeight w:val="323"/>
        </w:trPr>
        <w:tc>
          <w:tcPr>
            <w:tcW w:w="72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(1)</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127,537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130,460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 (1)</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227,529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235,728</w:t>
            </w:r>
          </w:p>
        </w:tc>
        <w:tc>
          <w:tcPr>
            <w:tcW w:w="0" w:type="dxa"/>
            <w:vAlign w:val="bottom"/>
          </w:tcPr>
          <w:p>
            <w:pPr>
              <w:spacing w:after="0"/>
              <w:rPr>
                <w:sz w:val="1"/>
                <w:szCs w:val="1"/>
                <w:color w:val="auto"/>
              </w:rPr>
            </w:pPr>
          </w:p>
        </w:tc>
      </w:tr>
      <w:tr>
        <w:trPr>
          <w:trHeight w:val="322"/>
        </w:trPr>
        <w:tc>
          <w:tcPr>
            <w:tcW w:w="7200" w:type="dxa"/>
            <w:vAlign w:val="bottom"/>
            <w:gridSpan w:val="3"/>
          </w:tcPr>
          <w:p>
            <w:pPr>
              <w:spacing w:after="0"/>
              <w:rPr>
                <w:sz w:val="20"/>
                <w:szCs w:val="20"/>
                <w:color w:val="auto"/>
              </w:rPr>
            </w:pPr>
            <w:r>
              <w:rPr>
                <w:rFonts w:ascii="Arial" w:cs="Arial" w:eastAsia="Arial" w:hAnsi="Arial"/>
                <w:sz w:val="18"/>
                <w:szCs w:val="18"/>
                <w:color w:val="auto"/>
              </w:rPr>
              <w:t>Operating income from continuing operations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212,926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298,486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6,890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(1,451)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211,454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296,756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80" w:type="dxa"/>
            <w:vAlign w:val="bottom"/>
            <w:gridSpan w:val="2"/>
          </w:tcPr>
          <w:p>
            <w:pPr>
              <w:spacing w:after="0"/>
              <w:rPr>
                <w:sz w:val="9"/>
                <w:szCs w:val="9"/>
                <w:color w:val="auto"/>
              </w:rPr>
            </w:pPr>
          </w:p>
        </w:tc>
        <w:tc>
          <w:tcPr>
            <w:tcW w:w="2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8"/>
                <w:szCs w:val="18"/>
                <w:color w:val="auto"/>
                <w:w w:val="92"/>
              </w:rPr>
              <w:t>Net income</w:t>
            </w:r>
          </w:p>
        </w:tc>
        <w:tc>
          <w:tcPr>
            <w:tcW w:w="6340" w:type="dxa"/>
            <w:vAlign w:val="bottom"/>
          </w:tcPr>
          <w:p>
            <w:pPr>
              <w:spacing w:after="0"/>
              <w:rPr>
                <w:sz w:val="19"/>
                <w:szCs w:val="19"/>
                <w:color w:val="auto"/>
              </w:rPr>
            </w:pPr>
          </w:p>
        </w:tc>
        <w:tc>
          <w:tcPr>
            <w:tcW w:w="2280" w:type="dxa"/>
            <w:vAlign w:val="bottom"/>
            <w:gridSpan w:val="2"/>
          </w:tcPr>
          <w:p>
            <w:pPr>
              <w:ind w:left="2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162,899</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298,130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299,923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305,921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309,619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3"/>
            <w:vMerge w:val="continue"/>
          </w:tcPr>
          <w:p>
            <w:pPr>
              <w:spacing w:after="0"/>
              <w:rPr>
                <w:sz w:val="18"/>
                <w:szCs w:val="18"/>
                <w:color w:val="auto"/>
              </w:rPr>
            </w:pPr>
          </w:p>
        </w:tc>
        <w:tc>
          <w:tcPr>
            <w:tcW w:w="2280" w:type="dxa"/>
            <w:vAlign w:val="bottom"/>
            <w:gridSpan w:val="2"/>
          </w:tcPr>
          <w:p>
            <w:pPr>
              <w:ind w:left="2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28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(1) Includes stock-based compensation expense as follows: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4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w:t>
            </w:r>
          </w:p>
        </w:tc>
        <w:tc>
          <w:tcPr>
            <w:tcW w:w="228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tcPr>
          <w:p>
            <w:pPr>
              <w:ind w:left="2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5,162</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marketing, general and administrative</w:t>
            </w:r>
          </w:p>
        </w:tc>
        <w:tc>
          <w:tcPr>
            <w:tcW w:w="228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color w:val="auto"/>
                <w:w w:val="93"/>
              </w:rPr>
              <w:t>May 5, 2012</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April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1,323,152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1,519,284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Cost of sales (1)</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849,845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1,016,387</w:t>
            </w: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Research and development (1)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251,915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Selling, marketing, general and administrative (1)</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199,037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Special charge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453,547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458,495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396,298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(7,315)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391,540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555,576</w:t>
            </w:r>
          </w:p>
        </w:tc>
        <w:tc>
          <w:tcPr>
            <w:tcW w:w="0" w:type="dxa"/>
            <w:vAlign w:val="bottom"/>
          </w:tcPr>
          <w:p>
            <w:pPr>
              <w:spacing w:after="0"/>
              <w:rPr>
                <w:sz w:val="1"/>
                <w:szCs w:val="1"/>
                <w:color w:val="auto"/>
              </w:rPr>
            </w:pPr>
          </w:p>
        </w:tc>
      </w:tr>
      <w:tr>
        <w:trPr>
          <w:trHeight w:val="331"/>
        </w:trPr>
        <w:tc>
          <w:tcPr>
            <w:tcW w:w="94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89,259</w:t>
            </w: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302,281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tax</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302,281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 basic</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297,959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299,570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305,726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from continuing operations</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0.99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and paid per share</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 Includes stock-based compensation expense as follows: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Cost of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3,478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11,047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Selling, marketing, general and administrative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10,907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color w:val="auto"/>
                <w:w w:val="93"/>
              </w:rPr>
              <w:t>May 5, 2012</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4"/>
              </w:rPr>
              <w:t>October 29, 2011</w:t>
            </w: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322"/>
        </w:trPr>
        <w:tc>
          <w:tcPr>
            <w:tcW w:w="6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695,066</w:t>
            </w:r>
          </w:p>
        </w:tc>
        <w:tc>
          <w:tcPr>
            <w:tcW w:w="220" w:type="dxa"/>
            <w:vAlign w:val="bottom"/>
          </w:tcPr>
          <w:p>
            <w:pPr>
              <w:spacing w:after="0"/>
              <w:rPr>
                <w:sz w:val="24"/>
                <w:szCs w:val="24"/>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1,405,100</w:t>
            </w:r>
          </w:p>
        </w:tc>
        <w:tc>
          <w:tcPr>
            <w:tcW w:w="100" w:type="dxa"/>
            <w:vAlign w:val="bottom"/>
          </w:tcPr>
          <w:p>
            <w:pPr>
              <w:spacing w:after="0"/>
              <w:rPr>
                <w:sz w:val="24"/>
                <w:szCs w:val="24"/>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3,057,559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2,187,362</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330,282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348,416</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Raw materials</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Work in process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170,398</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Finished goods</w:t>
            </w:r>
          </w:p>
        </w:tc>
        <w:tc>
          <w:tcPr>
            <w:tcW w:w="2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96,598</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295,081</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Deferred tax assets</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82,171</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46,216</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4,522,529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4,386,348</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 and buildings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430,453</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Machinery and equipment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1,645,834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1,606,150</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equipment</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51,960</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2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48,338</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2,184,654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2,136,901</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1,705,695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1,658,062</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plant and equipment</w:t>
            </w:r>
          </w:p>
        </w:tc>
        <w:tc>
          <w:tcPr>
            <w:tcW w:w="2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478,839</w:t>
            </w:r>
          </w:p>
        </w:tc>
        <w:tc>
          <w:tcPr>
            <w:tcW w:w="100" w:type="dxa"/>
            <w:vAlign w:val="bottom"/>
            <w:shd w:val="clear" w:color="auto" w:fill="CCEEFF"/>
          </w:tcPr>
          <w:p>
            <w:pPr>
              <w:spacing w:after="0"/>
              <w:rPr>
                <w:sz w:val="18"/>
                <w:szCs w:val="18"/>
                <w:color w:val="auto"/>
              </w:rPr>
            </w:pPr>
          </w:p>
        </w:tc>
      </w:tr>
      <w:tr>
        <w:trPr>
          <w:trHeight w:val="221"/>
        </w:trPr>
        <w:tc>
          <w:tcPr>
            <w:tcW w:w="628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26,410</w:t>
            </w:r>
          </w:p>
        </w:tc>
        <w:tc>
          <w:tcPr>
            <w:tcW w:w="100" w:type="dxa"/>
            <w:vAlign w:val="bottom"/>
          </w:tcPr>
          <w:p>
            <w:pPr>
              <w:spacing w:after="0"/>
              <w:rPr>
                <w:sz w:val="19"/>
                <w:szCs w:val="19"/>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280,210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275,087</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Deferred tax assets</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37,645</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58,155</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Total other assets</w:t>
            </w: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411,002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412,448</w:t>
            </w:r>
          </w:p>
        </w:tc>
        <w:tc>
          <w:tcPr>
            <w:tcW w:w="100" w:type="dxa"/>
            <w:vAlign w:val="bottom"/>
          </w:tcPr>
          <w:p>
            <w:pPr>
              <w:spacing w:after="0"/>
              <w:rPr>
                <w:sz w:val="19"/>
                <w:szCs w:val="19"/>
                <w:color w:val="auto"/>
              </w:rPr>
            </w:pPr>
          </w:p>
        </w:tc>
      </w:tr>
      <w:tr>
        <w:trPr>
          <w:trHeight w:val="28"/>
        </w:trPr>
        <w:tc>
          <w:tcPr>
            <w:tcW w:w="6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5,412,490</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5,277,635</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0" w:firstLine="8"/>
        <w:spacing w:after="0" w:line="430"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$2,318 and $2,431 related to stock-based compensation at May 5, 2012 and October 29, 2011, respectively. See accompanying notes.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color w:val="auto"/>
                <w:w w:val="93"/>
              </w:rPr>
              <w:t>May 5, 2012</w:t>
            </w:r>
          </w:p>
        </w:tc>
        <w:tc>
          <w:tcPr>
            <w:tcW w:w="1060" w:type="dxa"/>
            <w:vAlign w:val="bottom"/>
            <w:gridSpan w:val="3"/>
          </w:tcPr>
          <w:p>
            <w:pPr>
              <w:ind w:left="20"/>
              <w:spacing w:after="0"/>
              <w:rPr>
                <w:sz w:val="20"/>
                <w:szCs w:val="20"/>
                <w:color w:val="auto"/>
              </w:rPr>
            </w:pPr>
            <w:r>
              <w:rPr>
                <w:rFonts w:ascii="Arial" w:cs="Arial" w:eastAsia="Arial" w:hAnsi="Arial"/>
                <w:sz w:val="14"/>
                <w:szCs w:val="14"/>
                <w:color w:val="auto"/>
                <w:w w:val="94"/>
              </w:rPr>
              <w:t>October 29,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5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125,746</w:t>
            </w:r>
          </w:p>
        </w:tc>
        <w:tc>
          <w:tcPr>
            <w:tcW w:w="4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113,056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Income taxes payable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149,187</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558,574</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847,983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871,876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28,393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50,853</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Total non-current liabilities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928,776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5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2"/>
              </w:rPr>
              <w:t>Common stock, $0.16 2/3 par value, 1,200,000,000 shares authorized, 298,337,925 shares issued and outstanding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(297,960,718 on October 29, 2011)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49,724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287,840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Retained earnings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3,620,797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3,482,334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(33,221)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3,925,140</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3,795,413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5,412,490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5,277,635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ind w:right="6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color w:val="auto"/>
                <w:w w:val="85"/>
              </w:rPr>
              <w:t>May 5, 2012</w:t>
            </w: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4"/>
              </w:rPr>
              <w:t>April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302,281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Stock-based compensation expense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business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Gain on sale of investments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benefit-stock options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activity</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(82,277)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adjustments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440,789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Purchases of short-term available-for-sale investments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(4,428,475)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(1,658,766)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short-term available-for-sale investments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3,295,587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1,480,687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Sales of short-term available-for-sale investments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261,575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investments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Proceeds related to sale of businesses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(55,426)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Payments for acquisitions, net of cash acquired</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(24,158)</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other assets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420"/>
              <w:spacing w:after="0"/>
              <w:rPr>
                <w:sz w:val="20"/>
                <w:szCs w:val="20"/>
                <w:color w:val="auto"/>
              </w:rPr>
            </w:pPr>
            <w:r>
              <w:rPr>
                <w:rFonts w:ascii="Arial" w:cs="Arial" w:eastAsia="Arial" w:hAnsi="Arial"/>
                <w:sz w:val="18"/>
                <w:szCs w:val="18"/>
                <w:color w:val="auto"/>
              </w:rPr>
              <w:t>Net cash (used for) provided by investing activities</w:t>
            </w: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vMerge w:val="continue"/>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(950,714)</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Proceeds from long-term debt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Early termination of swap agreements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Term loan repayments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payments to shareholders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(163,818)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(122,397)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employee stock plans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Contingent consideration payment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financing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Excess tax benefit-stock options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provided by financing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(199,028)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385,784</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(710,034)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1,405,100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1,894,761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MAY 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29, 2011 and related notes. The results of operations for the interim periods shown in this report are not necessarily indicative of the results that may be expected for the fiscal year ending November 3, 2012 or any future period.</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sold its baseband chipset business and related support operations, or Baseband Chipset Business, to MediaTek Inc., during the first quarter of fiscal 2008. The Company has reflected the financial results of this business as discontinued operations in the condensed consolidated statements of income for all periods presented.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amounts reported in previous years have been reclassified to conform to the fiscal 2012 presentation. Such reclassified amounts are immaterial. The Company has a 52-53 week fiscal year that ends on the Saturday closest to the last day in October. Fiscal 2012 is a 53-week fiscal year and fiscal 2011 was a 52-week fiscal year. The additional week in fiscal 2012 was included in the first quarter ended February 4, 2012. Therefore, the first six months of fiscal 2012 included an additional week of operations as compared to the first six months of fiscal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 w:name="page8"/>
    <w:bookmarkEnd w:id="7"/>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May 5, 2012 and October 29, 2011, the Company had gross deferred revenue of $311.6 million and $309.6 million, respectively, and gross deferred cost of sales of $67.5 million and $76.4 million, respectively. Deferred income on shipments to distributors increased by approximately $10.9 million in the first six months of fiscal 2012 as a result of the Company’s shipments to its distributors exceeding the distributors’ sales to their customers during the same time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during the three- and six-month periods ended May 5, 2012 and April 30, 2011 were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valuation model to calculate the grant-date fair value of stock option awards. The grant-date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restricted stock units represents the value of the Company’s common stock on the date of grant, reduced by the present value of dividends expected to be paid on the Company’s common stock prior to vesting.</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granted during the three- and six-month periods ended May 5, 2012 and April 30, 2011 are as follows:</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0"/>
              </w:rPr>
              <w:t>Stock Options</w:t>
            </w:r>
          </w:p>
        </w:tc>
        <w:tc>
          <w:tcPr>
            <w:tcW w:w="404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2"/>
              </w:rPr>
              <w:t>Three Months Ended</w:t>
            </w:r>
          </w:p>
        </w:tc>
        <w:tc>
          <w:tcPr>
            <w:tcW w:w="4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5"/>
              </w:rPr>
              <w:t>Six Months Ended</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May 5, 2012</w:t>
            </w:r>
          </w:p>
        </w:tc>
        <w:tc>
          <w:tcPr>
            <w:tcW w:w="300" w:type="dxa"/>
            <w:vAlign w:val="bottom"/>
          </w:tcPr>
          <w:p>
            <w:pPr>
              <w:spacing w:after="0"/>
              <w:rPr>
                <w:sz w:val="12"/>
                <w:szCs w:val="12"/>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April 30, 2011</w:t>
            </w:r>
          </w:p>
        </w:tc>
        <w:tc>
          <w:tcPr>
            <w:tcW w:w="780" w:type="dxa"/>
            <w:vAlign w:val="bottom"/>
          </w:tcPr>
          <w:p>
            <w:pPr>
              <w:spacing w:after="0"/>
              <w:rPr>
                <w:sz w:val="12"/>
                <w:szCs w:val="12"/>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May 5, 2012</w:t>
            </w:r>
          </w:p>
        </w:tc>
        <w:tc>
          <w:tcPr>
            <w:tcW w:w="320" w:type="dxa"/>
            <w:vAlign w:val="bottom"/>
          </w:tcPr>
          <w:p>
            <w:pPr>
              <w:spacing w:after="0"/>
              <w:rPr>
                <w:sz w:val="12"/>
                <w:szCs w:val="12"/>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April 30,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 granted (in thousands)*</w:t>
            </w: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2,178</w:t>
            </w:r>
          </w:p>
        </w:tc>
        <w:tc>
          <w:tcPr>
            <w:tcW w:w="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2,227</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1,960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39.77</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39.27</w:t>
            </w: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39.71</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grant-date fair value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7.48</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Assumptions: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Weighted-average expected term (in years)</w:t>
            </w:r>
          </w:p>
        </w:tc>
        <w:tc>
          <w:tcPr>
            <w:tcW w:w="2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Weighted-average expected dividend yield</w:t>
            </w:r>
          </w:p>
        </w:tc>
        <w:tc>
          <w:tcPr>
            <w:tcW w:w="2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20" w:right="100" w:hanging="212"/>
        <w:spacing w:after="0" w:line="25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the Company’s equity award grant date policy the grant date of the Company’s annual equity awards has been the second business day following January 1st in the Company’s first fiscal quarter. In fiscal year 2012, the grant date of the Company’s annual equity awards was changed to March 15th, in the Company’s second fiscal quarter.</w:t>
      </w:r>
    </w:p>
    <w:p>
      <w:pPr>
        <w:spacing w:after="0" w:line="140"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3" w:lineRule="exact"/>
        <w:rPr>
          <w:sz w:val="20"/>
          <w:szCs w:val="20"/>
          <w:color w:val="auto"/>
        </w:rPr>
      </w:pPr>
    </w:p>
    <w:p>
      <w:pPr>
        <w:ind w:right="20" w:firstLine="8"/>
        <w:spacing w:after="0" w:line="302"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 w:name="page9"/>
    <w:bookmarkEnd w:id="8"/>
    <w:p>
      <w:pPr>
        <w:ind w:right="2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May 5, 2012.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paid-in-capital (APIC) Pool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 and six-month periods ended April 30, 2011, the Company had a sufficient APIC pool to provide for any tax deficiencies recorded and as a result, these deficiencies did not affect its results of operations. During the three-month period ended February 4, 2012, the Company recognized $1.8 million of income tax expense resulting from tax shortfalls related to share-based compensation in its condensed consolidated statement of income. During the three-month period ended May 5, 2012, the Company recorded excess tax benefits of $0.3 million. The Company applied these excess tax benefits to the income tax expense previously recorded during the three-month period ended February 4, 2012, resulting in $1.5 million of income tax expense for the six months ended May 5, 2012.</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Activity</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summary of the activity under the Company’s stock option plans as of May 5, 2012 and changes during the three-and six month periods then ended is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Weighted-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Weighted-</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Remaining</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w w:val="94"/>
              </w:rPr>
              <w:t>Activity during the Three Months Ended May 5, 2012</w:t>
            </w:r>
          </w:p>
        </w:tc>
        <w:tc>
          <w:tcPr>
            <w:tcW w:w="2200" w:type="dxa"/>
            <w:vAlign w:val="bottom"/>
            <w:vMerge w:val="restart"/>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w:t>
            </w:r>
          </w:p>
        </w:tc>
        <w:tc>
          <w:tcPr>
            <w:tcW w:w="24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auto"/>
            </w:tcBorders>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0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4"/>
              </w:rPr>
              <w:t>thousands)</w:t>
            </w:r>
          </w:p>
        </w:tc>
        <w:tc>
          <w:tcPr>
            <w:tcW w:w="240" w:type="dxa"/>
            <w:vAlign w:val="bottom"/>
          </w:tcPr>
          <w:p>
            <w:pPr>
              <w:spacing w:after="0"/>
              <w:rPr>
                <w:sz w:val="14"/>
                <w:szCs w:val="14"/>
                <w:color w:val="auto"/>
              </w:rPr>
            </w:pPr>
          </w:p>
        </w:tc>
        <w:tc>
          <w:tcPr>
            <w:tcW w:w="158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6"/>
              </w:rPr>
              <w:t>Price Per Share</w:t>
            </w:r>
          </w:p>
        </w:tc>
        <w:tc>
          <w:tcPr>
            <w:tcW w:w="138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Term in Years</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Options outstanding February 4, 2012</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29,959</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29.88</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Options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2,178</w:t>
            </w:r>
          </w:p>
        </w:tc>
        <w:tc>
          <w:tcPr>
            <w:tcW w:w="32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39.77</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Options forfeited</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28.10</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expired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5, 2012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30,438</w:t>
            </w:r>
          </w:p>
        </w:tc>
        <w:tc>
          <w:tcPr>
            <w:tcW w:w="32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30.88</w:t>
            </w:r>
          </w:p>
        </w:tc>
        <w:tc>
          <w:tcPr>
            <w:tcW w:w="58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$221,543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exercisable at May 5, 2012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$137,506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May 5, 2012 (1)</w:t>
            </w: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30.81</w:t>
            </w:r>
          </w:p>
        </w:tc>
        <w:tc>
          <w:tcPr>
            <w:tcW w:w="580" w:type="dxa"/>
            <w:vAlign w:val="bottom"/>
          </w:tcPr>
          <w:p>
            <w:pPr>
              <w:spacing w:after="0" w:line="20" w:lineRule="exact"/>
              <w:rPr>
                <w:sz w:val="1"/>
                <w:szCs w:val="1"/>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4.7</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$218,788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29,816</w:t>
            </w: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 w:name="page10"/>
    <w:bookmarkEnd w:id="9"/>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4280" w:type="dxa"/>
            <w:vAlign w:val="bottom"/>
            <w:gridSpan w:val="3"/>
          </w:tcPr>
          <w:p>
            <w:pPr>
              <w:jc w:val="center"/>
              <w:ind w:left="2657"/>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3"/>
              </w:rPr>
              <w:t>Activity during the Six Months Ended May 5, 2012</w:t>
            </w:r>
          </w:p>
        </w:tc>
        <w:tc>
          <w:tcPr>
            <w:tcW w:w="31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(in</w:t>
            </w:r>
          </w:p>
        </w:tc>
        <w:tc>
          <w:tcPr>
            <w:tcW w:w="128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68"/>
        </w:trPr>
        <w:tc>
          <w:tcPr>
            <w:tcW w:w="3120" w:type="dxa"/>
            <w:vAlign w:val="bottom"/>
            <w:tcBorders>
              <w:bottom w:val="single" w:sz="8" w:color="auto"/>
            </w:tcBorders>
            <w:vMerge w:val="continue"/>
          </w:tcPr>
          <w:p>
            <w:pPr>
              <w:spacing w:after="0"/>
              <w:rPr>
                <w:sz w:val="14"/>
                <w:szCs w:val="14"/>
                <w:color w:val="auto"/>
              </w:rPr>
            </w:pPr>
          </w:p>
        </w:tc>
        <w:tc>
          <w:tcPr>
            <w:tcW w:w="3160" w:type="dxa"/>
            <w:vAlign w:val="bottom"/>
          </w:tcPr>
          <w:p>
            <w:pPr>
              <w:spacing w:after="0"/>
              <w:rPr>
                <w:sz w:val="14"/>
                <w:szCs w:val="14"/>
                <w:color w:val="auto"/>
              </w:rPr>
            </w:pPr>
          </w:p>
        </w:tc>
        <w:tc>
          <w:tcPr>
            <w:tcW w:w="11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2"/>
              </w:rPr>
              <w:t>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5"/>
              </w:rPr>
              <w:t>Options outstanding October 29, 2011</w:t>
            </w:r>
          </w:p>
        </w:tc>
        <w:tc>
          <w:tcPr>
            <w:tcW w:w="3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34,116</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Options granted</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2,227</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exercised</w:t>
            </w:r>
          </w:p>
        </w:tc>
        <w:tc>
          <w:tcPr>
            <w:tcW w:w="4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Options forfeited</w:t>
            </w:r>
          </w:p>
        </w:tc>
        <w:tc>
          <w:tcPr>
            <w:tcW w:w="4280" w:type="dxa"/>
            <w:vAlign w:val="bottom"/>
            <w:gridSpan w:val="3"/>
          </w:tcPr>
          <w:p>
            <w:pPr>
              <w:jc w:val="right"/>
              <w:ind w:right="340"/>
              <w:spacing w:after="0"/>
              <w:rPr>
                <w:sz w:val="20"/>
                <w:szCs w:val="20"/>
                <w:color w:val="auto"/>
              </w:rPr>
            </w:pPr>
            <w:r>
              <w:rPr>
                <w:rFonts w:ascii="Arial" w:cs="Arial" w:eastAsia="Arial" w:hAnsi="Arial"/>
                <w:sz w:val="18"/>
                <w:szCs w:val="18"/>
                <w:color w:val="auto"/>
              </w:rPr>
              <w:t>(288)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expired</w:t>
            </w:r>
          </w:p>
        </w:tc>
        <w:tc>
          <w:tcPr>
            <w:tcW w:w="3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b w:val="1"/>
                <w:bCs w:val="1"/>
                <w:color w:val="auto"/>
              </w:rPr>
              <w:t>Options outstanding at May 5, 2012</w:t>
            </w:r>
          </w:p>
        </w:tc>
        <w:tc>
          <w:tcPr>
            <w:tcW w:w="3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30,438</w:t>
            </w:r>
          </w:p>
        </w:tc>
        <w:tc>
          <w:tcPr>
            <w:tcW w:w="4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firstLine="456"/>
        <w:spacing w:after="0" w:line="290" w:lineRule="auto"/>
        <w:rPr>
          <w:sz w:val="20"/>
          <w:szCs w:val="20"/>
          <w:color w:val="auto"/>
        </w:rPr>
      </w:pPr>
      <w:r>
        <w:rPr>
          <w:rFonts w:ascii="Arial" w:cs="Arial" w:eastAsia="Arial" w:hAnsi="Arial"/>
          <w:sz w:val="16"/>
          <w:szCs w:val="16"/>
          <w:color w:val="auto"/>
        </w:rPr>
        <w:t>During the three and six months ended May 5, 2012, the total intrinsic value of options exercised (i.e. the difference between the market price at exercise and the price paid by the employee to exercise the options) was $24.4 million and $49.3 million, respectively, and the total amount of proceeds received by the Company from exercise of these options was $38.9 million and $87.8 million, respectively. Proceeds from stock option exercises pursuant to employee stock plans in the Company’s statement of cash flows during the six months ended May 5, 2012 of $87.4 million are net of the value of shares surrendered by employees in certain limited circumstances to satisfy the exercise price of options and employee tax obligations upon vesting of restricted stock units and in connection with the exercise of stock options granted to the Company’s employees under the Company’s equity compensation plans. The withholding amount is based on the Company’s minimum statutory withholding requirement.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and six months ended April 30, 2011, the total intrinsic value of options exercised (i.e. the difference between the market price at exercise and the price paid by the employee to exercise the options) was $23.0 million and $69.7 million, respectively, and the total amount of proceeds received by the Company from exercise of these options was $46.2 million and $148.2 million, respectively. Proceeds from stock option exercises pursuant to employee stock plans in the Company’s statement of cash flows during the six months ended April 30, 2011 of $148.1 million are net of the value of shares surrendered by employees in certain limited circumstances to satisfy the exercise price of options and employee tax obligations upon vesting of restricted stock units and in connection with the exercise of stock options granted to the Company’s employees under the Company’s equity compensation plans. The withholding amount is based on the Company’s minimum statutory withholding requirement.</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summary of the Company’s restricted stock unit award activity as of May 5, 2012 and changes during the three- and six-month periods then ended is presented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Restricted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3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Average Grant-</w:t>
            </w: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Activity during the Three Months Ended May 5, 2012</w:t>
            </w:r>
          </w:p>
        </w:tc>
        <w:tc>
          <w:tcPr>
            <w:tcW w:w="188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148"/>
        </w:trPr>
        <w:tc>
          <w:tcPr>
            <w:tcW w:w="4180" w:type="dxa"/>
            <w:vAlign w:val="bottom"/>
            <w:gridSpan w:val="4"/>
            <w:vMerge w:val="continue"/>
          </w:tcPr>
          <w:p>
            <w:pPr>
              <w:spacing w:after="0"/>
              <w:rPr>
                <w:sz w:val="12"/>
                <w:szCs w:val="12"/>
                <w:color w:val="auto"/>
              </w:rPr>
            </w:pPr>
          </w:p>
        </w:tc>
        <w:tc>
          <w:tcPr>
            <w:tcW w:w="3120" w:type="dxa"/>
            <w:vAlign w:val="bottom"/>
            <w:gridSpan w:val="3"/>
          </w:tcPr>
          <w:p>
            <w:pPr>
              <w:jc w:val="center"/>
              <w:ind w:left="1378"/>
              <w:spacing w:after="0" w:line="148" w:lineRule="exact"/>
              <w:rPr>
                <w:sz w:val="20"/>
                <w:szCs w:val="20"/>
                <w:color w:val="auto"/>
              </w:rPr>
            </w:pPr>
            <w:r>
              <w:rPr>
                <w:rFonts w:ascii="Arial" w:cs="Arial" w:eastAsia="Arial" w:hAnsi="Arial"/>
                <w:sz w:val="14"/>
                <w:szCs w:val="14"/>
                <w:b w:val="1"/>
                <w:bCs w:val="1"/>
                <w:color w:val="auto"/>
                <w:w w:val="84"/>
              </w:rPr>
              <w:t>(in thousands)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9"/>
              </w:rPr>
              <w:t>Restricted stock units outstanding at February 4, 2012</w:t>
            </w:r>
          </w:p>
        </w:tc>
        <w:tc>
          <w:tcPr>
            <w:tcW w:w="18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2,070</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420"/>
              <w:spacing w:after="0"/>
              <w:rPr>
                <w:sz w:val="20"/>
                <w:szCs w:val="20"/>
                <w:color w:val="auto"/>
              </w:rPr>
            </w:pPr>
            <w:r>
              <w:rPr>
                <w:rFonts w:ascii="Arial" w:cs="Arial" w:eastAsia="Arial" w:hAnsi="Arial"/>
                <w:sz w:val="18"/>
                <w:szCs w:val="18"/>
                <w:color w:val="auto"/>
              </w:rPr>
              <w:t>Units 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40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Restrictions lapsed</w:t>
            </w:r>
          </w:p>
        </w:tc>
        <w:tc>
          <w:tcPr>
            <w:tcW w:w="3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3"/>
          </w:tcPr>
          <w:p>
            <w:pPr>
              <w:ind w:left="420"/>
              <w:spacing w:after="0"/>
              <w:rPr>
                <w:sz w:val="20"/>
                <w:szCs w:val="20"/>
                <w:color w:val="auto"/>
              </w:rPr>
            </w:pPr>
            <w:r>
              <w:rPr>
                <w:rFonts w:ascii="Arial" w:cs="Arial" w:eastAsia="Arial" w:hAnsi="Arial"/>
                <w:sz w:val="18"/>
                <w:szCs w:val="18"/>
                <w:color w:val="auto"/>
              </w:rPr>
              <w:t>Forfeited</w:t>
            </w:r>
          </w:p>
        </w:tc>
        <w:tc>
          <w:tcPr>
            <w:tcW w:w="188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8"/>
              </w:rPr>
              <w:t>Restricted stock units outstanding at May 5, 2012</w:t>
            </w:r>
          </w:p>
        </w:tc>
        <w:tc>
          <w:tcPr>
            <w:tcW w:w="18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Restricted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3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Average Grant-</w:t>
            </w: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Activity during the Six Months Ended May 5, 2012</w:t>
            </w:r>
          </w:p>
        </w:tc>
        <w:tc>
          <w:tcPr>
            <w:tcW w:w="188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148"/>
        </w:trPr>
        <w:tc>
          <w:tcPr>
            <w:tcW w:w="4180" w:type="dxa"/>
            <w:vAlign w:val="bottom"/>
            <w:gridSpan w:val="4"/>
            <w:vMerge w:val="continue"/>
          </w:tcPr>
          <w:p>
            <w:pPr>
              <w:spacing w:after="0"/>
              <w:rPr>
                <w:sz w:val="12"/>
                <w:szCs w:val="12"/>
                <w:color w:val="auto"/>
              </w:rPr>
            </w:pPr>
          </w:p>
        </w:tc>
        <w:tc>
          <w:tcPr>
            <w:tcW w:w="3120" w:type="dxa"/>
            <w:vAlign w:val="bottom"/>
            <w:gridSpan w:val="3"/>
          </w:tcPr>
          <w:p>
            <w:pPr>
              <w:jc w:val="center"/>
              <w:ind w:left="1378"/>
              <w:spacing w:after="0" w:line="148" w:lineRule="exact"/>
              <w:rPr>
                <w:sz w:val="20"/>
                <w:szCs w:val="20"/>
                <w:color w:val="auto"/>
              </w:rPr>
            </w:pPr>
            <w:r>
              <w:rPr>
                <w:rFonts w:ascii="Arial" w:cs="Arial" w:eastAsia="Arial" w:hAnsi="Arial"/>
                <w:sz w:val="14"/>
                <w:szCs w:val="14"/>
                <w:b w:val="1"/>
                <w:bCs w:val="1"/>
                <w:color w:val="auto"/>
                <w:w w:val="84"/>
              </w:rPr>
              <w:t>(in thousands)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8"/>
              </w:rPr>
              <w:t>Restricted stock units outstanding at October 29, 2011</w:t>
            </w:r>
          </w:p>
        </w:tc>
        <w:tc>
          <w:tcPr>
            <w:tcW w:w="18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2,088</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420"/>
              <w:spacing w:after="0"/>
              <w:rPr>
                <w:sz w:val="20"/>
                <w:szCs w:val="20"/>
                <w:color w:val="auto"/>
              </w:rPr>
            </w:pPr>
            <w:r>
              <w:rPr>
                <w:rFonts w:ascii="Arial" w:cs="Arial" w:eastAsia="Arial" w:hAnsi="Arial"/>
                <w:sz w:val="18"/>
                <w:szCs w:val="18"/>
                <w:color w:val="auto"/>
              </w:rPr>
              <w:t>Units 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40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Restrictions lapsed</w:t>
            </w:r>
          </w:p>
        </w:tc>
        <w:tc>
          <w:tcPr>
            <w:tcW w:w="3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3"/>
          </w:tcPr>
          <w:p>
            <w:pPr>
              <w:ind w:left="420"/>
              <w:spacing w:after="0"/>
              <w:rPr>
                <w:sz w:val="20"/>
                <w:szCs w:val="20"/>
                <w:color w:val="auto"/>
              </w:rPr>
            </w:pPr>
            <w:r>
              <w:rPr>
                <w:rFonts w:ascii="Arial" w:cs="Arial" w:eastAsia="Arial" w:hAnsi="Arial"/>
                <w:sz w:val="18"/>
                <w:szCs w:val="18"/>
                <w:color w:val="auto"/>
              </w:rPr>
              <w:t>Forfeited</w:t>
            </w:r>
          </w:p>
        </w:tc>
        <w:tc>
          <w:tcPr>
            <w:tcW w:w="188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8"/>
              </w:rPr>
              <w:t>Restricted stock units outstanding at May 5, 2012</w:t>
            </w:r>
          </w:p>
        </w:tc>
        <w:tc>
          <w:tcPr>
            <w:tcW w:w="18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vMerge w:val="restart"/>
          </w:tcPr>
          <w:p>
            <w:pPr>
              <w:jc w:val="right"/>
              <w:ind w:right="1598"/>
              <w:spacing w:after="0"/>
              <w:rPr>
                <w:sz w:val="20"/>
                <w:szCs w:val="20"/>
                <w:color w:val="auto"/>
              </w:rPr>
            </w:pPr>
            <w:r>
              <w:rPr>
                <w:rFonts w:ascii="Arial" w:cs="Arial" w:eastAsia="Arial" w:hAnsi="Arial"/>
                <w:sz w:val="18"/>
                <w:szCs w:val="18"/>
                <w:color w:val="auto"/>
              </w:rPr>
              <w:t>9</w:t>
            </w: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63" w:right="319" w:bottom="1440" w:gutter="0" w:footer="0" w:header="0"/>
        </w:sectPr>
      </w:pPr>
    </w:p>
    <w:bookmarkStart w:id="10" w:name="page11"/>
    <w:bookmarkEnd w:id="10"/>
    <w:p>
      <w:pPr>
        <w:jc w:val="both"/>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May 5, 2012, there was $107.5 million of total unrecognized compensation cost related to unvested share-based awards comprised of stock options and restricted stock units. That cost is expected to be recognized over a weighted-average period of 1.5 years. The total grant-date fair value of shares that vested during the three and six months ended May 5, 2012 was approximately $1.8 million and $26.8 million, respectively. The total grant-date fair value of shares that vested during the three and six months ended April 30, 2011 was approximately $1.4 million and $27.0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4"/>
              </w:rPr>
              <w:t>May 5, 2012</w:t>
            </w:r>
          </w:p>
        </w:tc>
        <w:tc>
          <w:tcPr>
            <w:tcW w:w="10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April 30,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$ 162,899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241,826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(1,389)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Change in unrealized holding losses (net of taxes of $435 and $5, respectively)</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on securities classified as short-term investments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(2,034)</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w w:val="97"/>
              </w:rPr>
              <w:t>Change in unrealized holding (losses) gains (net of taxes of $398 and $23,</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620"/>
              <w:spacing w:after="0"/>
              <w:rPr>
                <w:sz w:val="20"/>
                <w:szCs w:val="20"/>
                <w:color w:val="auto"/>
              </w:rPr>
            </w:pPr>
            <w:r>
              <w:rPr>
                <w:rFonts w:ascii="Arial" w:cs="Arial" w:eastAsia="Arial" w:hAnsi="Arial"/>
                <w:sz w:val="18"/>
                <w:szCs w:val="18"/>
                <w:color w:val="auto"/>
              </w:rPr>
              <w:t>respectively) on securities classified as other investments</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unrealized gains (net of taxes of $416 and $850, respectively) on</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derivative instruments designated as cash flow hedges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622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Transition obligation</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40"/>
              <w:spacing w:after="0"/>
              <w:rPr>
                <w:sz w:val="20"/>
                <w:szCs w:val="20"/>
                <w:color w:val="auto"/>
              </w:rPr>
            </w:pPr>
            <w:r>
              <w:rPr>
                <w:rFonts w:ascii="Arial" w:cs="Arial" w:eastAsia="Arial" w:hAnsi="Arial"/>
                <w:sz w:val="18"/>
                <w:szCs w:val="18"/>
                <w:color w:val="auto"/>
              </w:rPr>
              <w:t>Net actuarial loss</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gain</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gridSpan w:val="2"/>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$ 161,096</w:t>
            </w:r>
          </w:p>
        </w:tc>
        <w:tc>
          <w:tcPr>
            <w:tcW w:w="300" w:type="dxa"/>
            <w:vAlign w:val="bottom"/>
          </w:tcPr>
          <w:p>
            <w:pPr>
              <w:spacing w:after="0"/>
              <w:rPr>
                <w:sz w:val="19"/>
                <w:szCs w:val="19"/>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jc w:val="right"/>
              <w:ind w:right="171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80" w:right="3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4"/>
              </w:rPr>
              <w:t>May 5, 2012</w:t>
            </w:r>
          </w:p>
        </w:tc>
        <w:tc>
          <w:tcPr>
            <w:tcW w:w="10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April 30,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net of tax</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$ 302,281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457,432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(3,641)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holding (losses) gains (net of taxes of $229 and $18,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respectively) on securities classified as short-term investments</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Change in unrealized holding (losses) gains (net of taxes of $300 and $63,</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620"/>
              <w:spacing w:after="0"/>
              <w:rPr>
                <w:sz w:val="20"/>
                <w:szCs w:val="20"/>
                <w:color w:val="auto"/>
              </w:rPr>
            </w:pPr>
            <w:r>
              <w:rPr>
                <w:rFonts w:ascii="Arial" w:cs="Arial" w:eastAsia="Arial" w:hAnsi="Arial"/>
                <w:sz w:val="18"/>
                <w:szCs w:val="18"/>
                <w:color w:val="auto"/>
              </w:rPr>
              <w:t>respectively) on securities classified as other investments</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(losses) gains (net of taxes of $413 and $449,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respectively) on derivative instruments designated as cash flow hedges</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(3,106)</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646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Transition obligation</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840"/>
              <w:spacing w:after="0"/>
              <w:rPr>
                <w:sz w:val="20"/>
                <w:szCs w:val="20"/>
                <w:color w:val="auto"/>
              </w:rPr>
            </w:pPr>
            <w:r>
              <w:rPr>
                <w:rFonts w:ascii="Arial" w:cs="Arial" w:eastAsia="Arial" w:hAnsi="Arial"/>
                <w:sz w:val="18"/>
                <w:szCs w:val="18"/>
                <w:color w:val="auto"/>
              </w:rPr>
              <w:t>Net actuarial gain (loss)</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gain</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Comprehensive income from continuing operations</w:t>
            </w: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295,229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464,318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$ 295,229</w:t>
            </w:r>
          </w:p>
        </w:tc>
        <w:tc>
          <w:tcPr>
            <w:tcW w:w="300" w:type="dxa"/>
            <w:vAlign w:val="bottom"/>
          </w:tcPr>
          <w:p>
            <w:pPr>
              <w:spacing w:after="0"/>
              <w:rPr>
                <w:sz w:val="19"/>
                <w:szCs w:val="19"/>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470,818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loss, net of tax, at May 5, 2012 and October 29, 2011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7"/>
              </w:rPr>
              <w:t>May 5, 2012</w:t>
            </w: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October 29, 2011</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Unrealized (losses) gains on derivative instruments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(1,419)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Transition obligation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(24,614)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(25,755)</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860"/>
              <w:spacing w:after="0"/>
              <w:rPr>
                <w:sz w:val="20"/>
                <w:szCs w:val="20"/>
                <w:color w:val="auto"/>
              </w:rPr>
            </w:pPr>
            <w:r>
              <w:rPr>
                <w:rFonts w:ascii="Arial" w:cs="Arial" w:eastAsia="Arial" w:hAnsi="Arial"/>
                <w:sz w:val="18"/>
                <w:szCs w:val="18"/>
                <w:color w:val="auto"/>
              </w:rPr>
              <w:t>Total accumulated other comprehensive loss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(33,221)</w:t>
            </w:r>
          </w:p>
        </w:tc>
        <w:tc>
          <w:tcPr>
            <w:tcW w:w="5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(26,169)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aggregate fair value of investments with unrealized losses as of May 5, 2012 and October 29, 2011 was $1,965.0 million and $1,899.4 million, respectively. These unrealized losses were primarily related to commercial paper that earns lower interest rates than current market rates. None of these investments have been in a loss position for more than twelve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May 5, 2012 and October 29, 2011 are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May 5, 2012</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4"/>
              </w:rPr>
              <w:t>October 29, 2011</w:t>
            </w:r>
          </w:p>
        </w:tc>
      </w:tr>
      <w:tr>
        <w:trPr>
          <w:trHeight w:val="210"/>
        </w:trPr>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Unrealized gains on securities classified as short-term investments</w:t>
            </w:r>
          </w:p>
        </w:tc>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w w:val="98"/>
              </w:rPr>
              <w:t>(1,812)</w:t>
            </w:r>
          </w:p>
        </w:tc>
        <w:tc>
          <w:tcPr>
            <w:tcW w:w="3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r>
      <w:tr>
        <w:trPr>
          <w:trHeight w:val="27"/>
        </w:trPr>
        <w:tc>
          <w:tcPr>
            <w:tcW w:w="5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securities classified as short-term investments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8"/>
              </w:rPr>
              <w:t>(1,694)</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r>
      <w:tr>
        <w:trPr>
          <w:trHeight w:val="20"/>
        </w:trPr>
        <w:tc>
          <w:tcPr>
            <w:tcW w:w="5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Realized gains or losses on investments are determined based on the specific identification basis and are recognized in nonoperating (income) expense. Gross realized gains and losses on sales of available-for-sale investments were approximately $1.3 million and approximately $0.1 million, respectively, in the three- and six-month periods ended May 5, 2012. There were no material net realized gains or losses from the sales of available-for-sale investments during any other of the fiscal periods presented.</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275"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 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May 5, 2012</w:t>
            </w:r>
          </w:p>
        </w:tc>
        <w:tc>
          <w:tcPr>
            <w:tcW w:w="1500" w:type="dxa"/>
            <w:vAlign w:val="bottom"/>
            <w:tcBorders>
              <w:top w:val="single" w:sz="8" w:color="auto"/>
            </w:tcBorders>
            <w:gridSpan w:val="3"/>
          </w:tcPr>
          <w:p>
            <w:pPr>
              <w:ind w:left="680"/>
              <w:spacing w:after="0" w:line="142" w:lineRule="exact"/>
              <w:rPr>
                <w:sz w:val="20"/>
                <w:szCs w:val="20"/>
                <w:color w:val="auto"/>
              </w:rPr>
            </w:pPr>
            <w:r>
              <w:rPr>
                <w:rFonts w:ascii="Arial" w:cs="Arial" w:eastAsia="Arial" w:hAnsi="Arial"/>
                <w:sz w:val="14"/>
                <w:szCs w:val="14"/>
                <w:b w:val="1"/>
                <w:bCs w:val="1"/>
                <w:color w:val="auto"/>
                <w:w w:val="88"/>
              </w:rPr>
              <w:t>April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162,899</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241,826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outstanding</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298,130</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rPr>
              <w:t>Earnings per share Basic:</w:t>
            </w: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55</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Diluted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Weighted-average shares outstanding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298,130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299,923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Assumed exercise of common stock equivalents</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ind w:left="440"/>
              <w:spacing w:after="0"/>
              <w:rPr>
                <w:sz w:val="20"/>
                <w:szCs w:val="20"/>
                <w:color w:val="auto"/>
              </w:rPr>
            </w:pPr>
            <w:r>
              <w:rPr>
                <w:rFonts w:ascii="Arial" w:cs="Arial" w:eastAsia="Arial" w:hAnsi="Arial"/>
                <w:sz w:val="18"/>
                <w:szCs w:val="18"/>
                <w:color w:val="auto"/>
              </w:rPr>
              <w:t>Weighted-average common and common equivalent shares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305,921</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309,619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per share Diluted:</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Weighted average anti-dilutive shares related to:</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stock options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480" w:type="dxa"/>
            <w:vAlign w:val="bottom"/>
          </w:tcPr>
          <w:p>
            <w:pPr>
              <w:ind w:left="4240"/>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May 5, 2012</w:t>
            </w:r>
          </w:p>
        </w:tc>
        <w:tc>
          <w:tcPr>
            <w:tcW w:w="1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April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net of tax</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302,281</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302,281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shares:</w:t>
            </w: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297,959</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share-basic:</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net of tax</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 net of tax</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Diluted shares:</w:t>
            </w: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297,959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Assumed exercise of common stock equivalents</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common and common equivalent shares</w:t>
            </w:r>
          </w:p>
        </w:tc>
        <w:tc>
          <w:tcPr>
            <w:tcW w:w="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305,726</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309,234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share-diluted:</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net of tax</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 net of tax</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anti-dilutive shares related to:</w:t>
            </w: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stock options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520" w:type="dxa"/>
            <w:vAlign w:val="bottom"/>
            <w:gridSpan w:val="2"/>
          </w:tcPr>
          <w:p>
            <w:pPr>
              <w:ind w:left="4240"/>
              <w:spacing w:after="0"/>
              <w:rPr>
                <w:sz w:val="20"/>
                <w:szCs w:val="20"/>
                <w:color w:val="auto"/>
              </w:rPr>
            </w:pPr>
            <w:r>
              <w:rPr>
                <w:rFonts w:ascii="Arial" w:cs="Arial" w:eastAsia="Arial" w:hAnsi="Arial"/>
                <w:sz w:val="18"/>
                <w:szCs w:val="18"/>
                <w:color w:val="auto"/>
              </w:rPr>
              <w:t>13</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5"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6 – Special Charges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and better alignment of expenses with revenues. As a result of these assessments, the Company has undertaken various restructuring actions over the past several years. These actions are described below.</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tables display the special charges taken for ongoing actions and a roll-forward from October 29, 2011 to May 5, 2012 of the employee separation and exit cost accruals established related to these actions.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Income</w:t>
            </w:r>
          </w:p>
        </w:tc>
        <w:tc>
          <w:tcPr>
            <w:tcW w:w="2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Reduction of Operating Costs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40" w:type="dxa"/>
            <w:vAlign w:val="bottom"/>
            <w:gridSpan w:val="2"/>
            <w:vMerge w:val="continue"/>
          </w:tcPr>
          <w:p>
            <w:pPr>
              <w:spacing w:after="0"/>
              <w:rPr>
                <w:sz w:val="11"/>
                <w:szCs w:val="11"/>
                <w:color w:val="auto"/>
              </w:rPr>
            </w:pPr>
          </w:p>
        </w:tc>
        <w:tc>
          <w:tcPr>
            <w:tcW w:w="268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1"/>
                <w:szCs w:val="11"/>
                <w:color w:val="auto"/>
              </w:rPr>
            </w:pPr>
          </w:p>
        </w:tc>
        <w:tc>
          <w:tcPr>
            <w:tcW w:w="58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1"/>
                <w:szCs w:val="11"/>
                <w:color w:val="auto"/>
              </w:rPr>
            </w:pPr>
          </w:p>
        </w:tc>
        <w:tc>
          <w:tcPr>
            <w:tcW w:w="660" w:type="dxa"/>
            <w:vAlign w:val="bottom"/>
            <w:gridSpan w:val="2"/>
          </w:tcPr>
          <w:p>
            <w:pPr>
              <w:jc w:val="center"/>
              <w:ind w:left="82"/>
              <w:spacing w:after="0" w:line="129"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1"/>
                <w:szCs w:val="11"/>
                <w:color w:val="auto"/>
              </w:rPr>
            </w:pPr>
          </w:p>
        </w:tc>
        <w:tc>
          <w:tcPr>
            <w:tcW w:w="5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Workforce reductions</w:t>
            </w:r>
          </w:p>
        </w:tc>
        <w:tc>
          <w:tcPr>
            <w:tcW w:w="268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$1,627</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$26,583</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$10,908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$2,239</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268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2,411</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26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Charges</w:t>
            </w: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30,333</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11,419</w:t>
            </w:r>
          </w:p>
        </w:tc>
        <w:tc>
          <w:tcPr>
            <w:tcW w:w="9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Accrued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892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b w:val="1"/>
          <w:bCs w:val="1"/>
          <w:color w:val="auto"/>
        </w:rPr>
        <w:t>Balance at October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-108585</wp:posOffset>
            </wp:positionV>
            <wp:extent cx="49225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2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Fiscal 2012 special charges</w:t>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5"/>
          <w:szCs w:val="15"/>
          <w:b w:val="1"/>
          <w:bCs w:val="1"/>
          <w:color w:val="auto"/>
        </w:rPr>
        <w:t>Balance at February 4, 2012</w:t>
      </w:r>
    </w:p>
    <w:p>
      <w:pPr>
        <w:spacing w:after="0" w:line="7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Balance at May 5, 2012</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12"/>
          <w:szCs w:val="12"/>
          <w:b w:val="1"/>
          <w:bCs w:val="1"/>
          <w:color w:val="auto"/>
        </w:rPr>
        <w:t>Reduction</w:t>
      </w:r>
    </w:p>
    <w:p>
      <w:pPr>
        <w:spacing w:after="0" w:line="12"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of</w:t>
      </w:r>
    </w:p>
    <w:p>
      <w:pPr>
        <w:jc w:val="center"/>
        <w:ind w:right="1940"/>
        <w:spacing w:after="0"/>
        <w:rPr>
          <w:sz w:val="20"/>
          <w:szCs w:val="20"/>
          <w:color w:val="auto"/>
        </w:rPr>
      </w:pPr>
      <w:r>
        <w:rPr>
          <w:rFonts w:ascii="Arial" w:cs="Arial" w:eastAsia="Arial" w:hAnsi="Arial"/>
          <w:sz w:val="12"/>
          <w:szCs w:val="12"/>
          <w:b w:val="1"/>
          <w:bCs w:val="1"/>
          <w:color w:val="auto"/>
        </w:rPr>
        <w:t>Operating</w:t>
      </w:r>
    </w:p>
    <w:p>
      <w:pPr>
        <w:spacing w:after="0" w:line="10"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Costs</w:t>
      </w:r>
    </w:p>
    <w:p>
      <w:pPr>
        <w:ind w:left="240" w:hanging="233"/>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3,876</w:t>
      </w:r>
    </w:p>
    <w:p>
      <w:pPr>
        <w:spacing w:after="0" w:line="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2,595</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wp:posOffset>
            </wp:positionV>
            <wp:extent cx="403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ind w:left="260" w:hanging="253"/>
        <w:spacing w:after="0"/>
        <w:tabs>
          <w:tab w:leader="none" w:pos="260" w:val="left"/>
        </w:tabs>
        <w:numPr>
          <w:ilvl w:val="0"/>
          <w:numId w:val="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5,112</w:t>
      </w:r>
    </w:p>
    <w:p>
      <w:pPr>
        <w:spacing w:after="0" w:line="59" w:lineRule="exact"/>
        <w:rPr>
          <w:rFonts w:ascii="Arial" w:cs="Arial" w:eastAsia="Arial" w:hAnsi="Arial"/>
          <w:sz w:val="16"/>
          <w:szCs w:val="16"/>
          <w:u w:val="single" w:color="auto"/>
          <w:color w:val="auto"/>
        </w:rPr>
      </w:pPr>
    </w:p>
    <w:p>
      <w:pPr>
        <w:ind w:left="180"/>
        <w:spacing w:after="0"/>
        <w:rPr>
          <w:rFonts w:ascii="Arial" w:cs="Arial" w:eastAsia="Arial" w:hAnsi="Arial"/>
          <w:sz w:val="16"/>
          <w:szCs w:val="16"/>
          <w:u w:val="single" w:color="auto"/>
          <w:color w:val="auto"/>
        </w:rPr>
      </w:pPr>
      <w:r>
        <w:rPr>
          <w:rFonts w:ascii="Arial" w:cs="Arial" w:eastAsia="Arial" w:hAnsi="Arial"/>
          <w:sz w:val="16"/>
          <w:szCs w:val="16"/>
          <w:color w:val="auto"/>
        </w:rPr>
        <w:t>(2,760)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wp:posOffset>
            </wp:positionV>
            <wp:extent cx="4032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3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2,352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403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20" w:space="720"/>
            <w:col w:w="2580"/>
          </w:cols>
          <w:pgMar w:left="240" w:top="274" w:right="239" w:bottom="1440" w:gutter="0" w:footer="0" w:header="0"/>
          <w:type w:val="continuous"/>
        </w:sectPr>
      </w:pP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During fiscal 2008 through fiscal 2010, the Company recorded special charges of approximately $43.3 million. These special charges included: $39.1 million for severance and fringe benefit costs in accordance with its ongoing benefit plan or statutory requirements at foreign locations for 245 manufacturing employees and 470 engineering and selling, marketing, general and administrative (SMG&amp;A) employees; $2.1 million for lease obligation costs for facilities that the Company ceased using during the first quarter of fiscal 2009; $0.8 million for the write-off of property, plant and equipment; $0.5 million for contract termination costs and $0.3 million for clean-up and closure costs that were expensed as incurred; and $0.5 million related to the impairment of intellectual property. The Company terminated the employment of all employees associated with these actions and is paying amounts owed to them as income continuance.</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fiscal 2011, the Company recorded a special charge of approximately $2.2 million for severance and fringe benefit costs in accordance with its ongoing benefit plan or statutory requirements at foreign locations for 25 engineering and SMG&amp;A employees. As of May 5, 2012, the Company employed 3 of the 25 employees included in this cost reduction action. These employees must continue to be employed by the Company until their employment is involuntarily terminated in order to receive the severance benefit.</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first quarter of fiscal 2012, the Company recorded a special charge of approximately $2.6 million. The special charge included $2.5 million for severance and fringe benefit costs in accordance with its ongoing benefit plan or statutory requirements at foreign locations for 34 manufacturing, engineering and SMG&amp;A employees and $0.1 million for contract termination costs. The Company terminated the employment of all employees associated with these actions and is paying amounts owed to them as income continuance.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7 – Segment Information</w:t>
      </w:r>
    </w:p>
    <w:p>
      <w:pPr>
        <w:spacing w:after="0" w:line="9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left="197"/>
              <w:spacing w:after="0"/>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May 5, 2012</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April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Y/Y%</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Industrial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323,441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386,697</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86"/>
              </w:rPr>
              <w:t>118,009</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107,171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107,994</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135,256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86"/>
              </w:rPr>
              <w:t>125,650</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ind w:right="3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161,656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675,094</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790,780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Six Months Ended</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May 5, 2012</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April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Y/Y%</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Industrial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612,113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726,013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86"/>
              </w:rPr>
              <w:t>238,506</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202,399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224,880</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280,562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86"/>
              </w:rPr>
              <w:t>247,653</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ind w:right="3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310,310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1,323,152</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4"/>
              </w:rPr>
              <w:t>1,519,284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ind w:left="195"/>
              <w:spacing w:after="0"/>
              <w:rPr>
                <w:sz w:val="20"/>
                <w:szCs w:val="20"/>
                <w:color w:val="auto"/>
              </w:rPr>
            </w:pPr>
            <w:r>
              <w:rPr>
                <w:rFonts w:ascii="Arial" w:cs="Arial" w:eastAsia="Arial" w:hAnsi="Arial"/>
                <w:sz w:val="14"/>
                <w:szCs w:val="14"/>
                <w:b w:val="1"/>
                <w:bCs w:val="1"/>
                <w:color w:val="auto"/>
                <w:w w:val="88"/>
              </w:rPr>
              <w:t>Three Months Ended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May 5, 2012</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April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Y/Y%</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Revenue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300,040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350,187</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177,813</w:t>
            </w:r>
          </w:p>
        </w:tc>
        <w:tc>
          <w:tcPr>
            <w:tcW w:w="2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26%</w:t>
            </w:r>
          </w:p>
        </w:tc>
        <w:tc>
          <w:tcPr>
            <w:tcW w:w="1000" w:type="dxa"/>
            <w:vAlign w:val="bottom"/>
            <w:gridSpan w:val="2"/>
          </w:tcPr>
          <w:p>
            <w:pPr>
              <w:jc w:val="right"/>
              <w:ind w:right="3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213,140</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111,037</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568,643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84%</w:t>
            </w: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674,364</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56,125</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vMerge w:val="restart"/>
          </w:tcPr>
          <w:p>
            <w:pPr>
              <w:jc w:val="right"/>
              <w:ind w:right="312"/>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614,703</w:t>
            </w:r>
          </w:p>
        </w:tc>
        <w:tc>
          <w:tcPr>
            <w:tcW w:w="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91%</w:t>
            </w:r>
          </w:p>
        </w:tc>
        <w:tc>
          <w:tcPr>
            <w:tcW w:w="1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730,489</w:t>
            </w:r>
          </w:p>
        </w:tc>
        <w:tc>
          <w:tcPr>
            <w:tcW w:w="46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60,291</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vMerge w:val="restart"/>
          </w:tcPr>
          <w:p>
            <w:pPr>
              <w:jc w:val="right"/>
              <w:ind w:right="312"/>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675,094</w:t>
            </w:r>
          </w:p>
        </w:tc>
        <w:tc>
          <w:tcPr>
            <w:tcW w:w="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790,780</w:t>
            </w:r>
          </w:p>
        </w:tc>
        <w:tc>
          <w:tcPr>
            <w:tcW w:w="46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w w:val="93"/>
              </w:rPr>
              <w:t>* The sum of the individual percentages does not equal the total due to rounding.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Six Months Ended</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May 5, 2012</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April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Y/Y%</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Revenue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585,173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682,954</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342,269</w:t>
            </w:r>
          </w:p>
        </w:tc>
        <w:tc>
          <w:tcPr>
            <w:tcW w:w="2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26%</w:t>
            </w:r>
          </w:p>
        </w:tc>
        <w:tc>
          <w:tcPr>
            <w:tcW w:w="1000" w:type="dxa"/>
            <w:vAlign w:val="bottom"/>
            <w:gridSpan w:val="2"/>
          </w:tcPr>
          <w:p>
            <w:pPr>
              <w:jc w:val="right"/>
              <w:ind w:right="3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408,147</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202,444</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1,114,470</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84%</w:t>
            </w: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1,293,545</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109,485</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vMerge w:val="restart"/>
          </w:tcPr>
          <w:p>
            <w:pPr>
              <w:jc w:val="right"/>
              <w:ind w:right="312"/>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1,205,395</w:t>
            </w:r>
          </w:p>
        </w:tc>
        <w:tc>
          <w:tcPr>
            <w:tcW w:w="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91%</w:t>
            </w:r>
          </w:p>
        </w:tc>
        <w:tc>
          <w:tcPr>
            <w:tcW w:w="1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1,403,030</w:t>
            </w:r>
          </w:p>
        </w:tc>
        <w:tc>
          <w:tcPr>
            <w:tcW w:w="46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117,757</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116,254</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vMerge w:val="restart"/>
          </w:tcPr>
          <w:p>
            <w:pPr>
              <w:jc w:val="right"/>
              <w:ind w:right="312"/>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1,323,152</w:t>
            </w:r>
          </w:p>
        </w:tc>
        <w:tc>
          <w:tcPr>
            <w:tcW w:w="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1,519,284</w:t>
            </w:r>
          </w:p>
        </w:tc>
        <w:tc>
          <w:tcPr>
            <w:tcW w:w="46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During the second quarter of fiscal 2012 the Company revised its method for classifying revenue by geographic region to more accurately reflect the primary location of our customers’ design activity for our products. Prior periods have been reclassified to align with this definition. In general, the prior classification method reflected the customers’ manufacturing location or the distributors’ stocking territory. No changes have been made to the Company’s revenue recognition policy. Revenue by geographic region for the three- and six-month periods ended May 5, 2012 and April 30, 2011 was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8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Region</w:t>
            </w:r>
          </w:p>
        </w:tc>
        <w:tc>
          <w:tcPr>
            <w:tcW w:w="68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May 5,</w:t>
            </w:r>
          </w:p>
        </w:tc>
        <w:tc>
          <w:tcPr>
            <w:tcW w:w="4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April 30,</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May 5,</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gridSpan w:val="3"/>
            <w:vMerge w:val="continue"/>
          </w:tcPr>
          <w:p>
            <w:pPr>
              <w:spacing w:after="0"/>
              <w:rPr>
                <w:sz w:val="12"/>
                <w:szCs w:val="12"/>
                <w:color w:val="auto"/>
              </w:rPr>
            </w:pPr>
          </w:p>
        </w:tc>
        <w:tc>
          <w:tcPr>
            <w:tcW w:w="680" w:type="dxa"/>
            <w:vAlign w:val="bottom"/>
          </w:tcPr>
          <w:p>
            <w:pPr>
              <w:jc w:val="right"/>
              <w:ind w:right="118"/>
              <w:spacing w:after="0" w:line="148" w:lineRule="exact"/>
              <w:rPr>
                <w:sz w:val="20"/>
                <w:szCs w:val="20"/>
                <w:color w:val="auto"/>
              </w:rPr>
            </w:pPr>
            <w:r>
              <w:rPr>
                <w:rFonts w:ascii="Arial" w:cs="Arial" w:eastAsia="Arial" w:hAnsi="Arial"/>
                <w:sz w:val="14"/>
                <w:szCs w:val="14"/>
                <w:b w:val="1"/>
                <w:bCs w:val="1"/>
                <w:color w:val="auto"/>
              </w:rPr>
              <w:t>2012</w:t>
            </w:r>
          </w:p>
        </w:tc>
        <w:tc>
          <w:tcPr>
            <w:tcW w:w="1060" w:type="dxa"/>
            <w:vAlign w:val="bottom"/>
            <w:gridSpan w:val="2"/>
          </w:tcPr>
          <w:p>
            <w:pPr>
              <w:jc w:val="right"/>
              <w:ind w:right="119"/>
              <w:spacing w:after="0" w:line="148"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$191,548</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$233,181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388,075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440,647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Rest of North and South America</w:t>
            </w:r>
          </w:p>
        </w:tc>
        <w:tc>
          <w:tcPr>
            <w:tcW w:w="680" w:type="dxa"/>
            <w:vAlign w:val="bottom"/>
          </w:tcPr>
          <w:p>
            <w:pPr>
              <w:jc w:val="right"/>
              <w:spacing w:after="0"/>
              <w:rPr>
                <w:sz w:val="20"/>
                <w:szCs w:val="20"/>
                <w:color w:val="auto"/>
              </w:rPr>
            </w:pPr>
            <w:r>
              <w:rPr>
                <w:rFonts w:ascii="Arial" w:cs="Arial" w:eastAsia="Arial" w:hAnsi="Arial"/>
                <w:sz w:val="18"/>
                <w:szCs w:val="18"/>
                <w:color w:val="auto"/>
              </w:rPr>
              <w:t>30,392</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40,927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217,195</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267,228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423,293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jc w:val="right"/>
              <w:spacing w:after="0"/>
              <w:rPr>
                <w:sz w:val="20"/>
                <w:szCs w:val="20"/>
                <w:color w:val="auto"/>
              </w:rPr>
            </w:pPr>
            <w:r>
              <w:rPr>
                <w:rFonts w:ascii="Arial" w:cs="Arial" w:eastAsia="Arial" w:hAnsi="Arial"/>
                <w:sz w:val="18"/>
                <w:szCs w:val="18"/>
                <w:color w:val="auto"/>
              </w:rPr>
              <w:t>86,687</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91,423</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167,026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89,405</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94,339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Rest of Asia</w:t>
            </w:r>
          </w:p>
        </w:tc>
        <w:tc>
          <w:tcPr>
            <w:tcW w:w="680" w:type="dxa"/>
            <w:vAlign w:val="bottom"/>
          </w:tcPr>
          <w:p>
            <w:pPr>
              <w:jc w:val="right"/>
              <w:spacing w:after="0"/>
              <w:rPr>
                <w:sz w:val="20"/>
                <w:szCs w:val="20"/>
                <w:color w:val="auto"/>
              </w:rPr>
            </w:pPr>
            <w:r>
              <w:rPr>
                <w:rFonts w:ascii="Arial" w:cs="Arial" w:eastAsia="Arial" w:hAnsi="Arial"/>
                <w:sz w:val="18"/>
                <w:szCs w:val="18"/>
                <w:color w:val="auto"/>
              </w:rPr>
              <w:t>59,867</w:t>
            </w:r>
          </w:p>
        </w:tc>
        <w:tc>
          <w:tcPr>
            <w:tcW w:w="4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63,682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117,512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675,094</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790,780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4"/>
              </w:rPr>
              <w:t>1,323,152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1,519,284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three- and six-month periods ended May 5, 2012 and April 30,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3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8 – Fair Value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tables below set forth by level the Company’s financial assets and liabilities, excluding accrued interest components that were accounted for at fair value on a recurring basis as of May 5, 2012 and October 29, 2011. The tables exclude cash on hand and assets and liabilities that are measured at historical cost or any basis other than fair value. As of May 5, 2012 and October 29, 2011, the Company held $98.6 million and $31.6 million, respectively, of cash and held-to-maturity investments that were excluded from the tables below.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458"/>
              <w:spacing w:after="0"/>
              <w:rPr>
                <w:sz w:val="20"/>
                <w:szCs w:val="20"/>
                <w:color w:val="auto"/>
              </w:rPr>
            </w:pPr>
            <w:r>
              <w:rPr>
                <w:rFonts w:ascii="Arial" w:cs="Arial" w:eastAsia="Arial" w:hAnsi="Arial"/>
                <w:sz w:val="14"/>
                <w:szCs w:val="14"/>
                <w:b w:val="1"/>
                <w:bCs w:val="1"/>
                <w:color w:val="auto"/>
              </w:rPr>
              <w:t>May 5, 2012</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8"/>
          </w:tcPr>
          <w:p>
            <w:pPr>
              <w:jc w:val="center"/>
              <w:ind w:right="18"/>
              <w:spacing w:after="0" w:line="129" w:lineRule="exact"/>
              <w:rPr>
                <w:sz w:val="20"/>
                <w:szCs w:val="20"/>
                <w:color w:val="auto"/>
              </w:rPr>
            </w:pPr>
            <w:r>
              <w:rPr>
                <w:rFonts w:ascii="Arial" w:cs="Arial" w:eastAsia="Arial" w:hAnsi="Arial"/>
                <w:sz w:val="14"/>
                <w:szCs w:val="14"/>
                <w:b w:val="1"/>
                <w:bCs w:val="1"/>
                <w:color w:val="auto"/>
                <w:w w:val="87"/>
              </w:rPr>
              <w:t>Fair Value measurement at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Reporting Date using:</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Prices in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Active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Markets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3"/>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Identical</w:t>
            </w:r>
          </w:p>
        </w:tc>
        <w:tc>
          <w:tcPr>
            <w:tcW w:w="30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78"/>
              </w:rPr>
              <w:t>Assets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7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880"/>
              <w:spacing w:after="0"/>
              <w:rPr>
                <w:sz w:val="20"/>
                <w:szCs w:val="20"/>
                <w:color w:val="auto"/>
              </w:rPr>
            </w:pPr>
            <w:r>
              <w:rPr>
                <w:rFonts w:ascii="Arial" w:cs="Arial" w:eastAsia="Arial" w:hAnsi="Arial"/>
                <w:sz w:val="18"/>
                <w:szCs w:val="18"/>
                <w:color w:val="auto"/>
              </w:rPr>
              <w:t>Institutional 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138,414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138,414</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Corporate obligations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518,106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518,106</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Short — term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880"/>
              <w:spacing w:after="0"/>
              <w:rPr>
                <w:sz w:val="20"/>
                <w:szCs w:val="20"/>
                <w:color w:val="auto"/>
              </w:rPr>
            </w:pPr>
            <w:r>
              <w:rPr>
                <w:rFonts w:ascii="Arial" w:cs="Arial" w:eastAsia="Arial" w:hAnsi="Arial"/>
                <w:sz w:val="18"/>
                <w:szCs w:val="18"/>
                <w:color w:val="auto"/>
              </w:rPr>
              <w:t>Securities with one year or less to maturity: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2,635,474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2,635,474</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ind w:left="140"/>
              <w:spacing w:after="0"/>
              <w:rPr>
                <w:sz w:val="20"/>
                <w:szCs w:val="20"/>
                <w:color w:val="auto"/>
              </w:rPr>
            </w:pPr>
            <w:r>
              <w:rPr>
                <w:rFonts w:ascii="Arial" w:cs="Arial" w:eastAsia="Arial" w:hAnsi="Arial"/>
                <w:sz w:val="18"/>
                <w:szCs w:val="18"/>
                <w:color w:val="auto"/>
              </w:rPr>
              <w:t>Floating rate notes, issued at par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160,049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160,049</w:t>
            </w:r>
          </w:p>
        </w:tc>
        <w:tc>
          <w:tcPr>
            <w:tcW w:w="1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Floating rate notes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179,424</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880"/>
              <w:spacing w:after="0"/>
              <w:rPr>
                <w:sz w:val="20"/>
                <w:szCs w:val="20"/>
                <w:color w:val="auto"/>
              </w:rPr>
            </w:pPr>
            <w:r>
              <w:rPr>
                <w:rFonts w:ascii="Arial" w:cs="Arial" w:eastAsia="Arial" w:hAnsi="Arial"/>
                <w:sz w:val="18"/>
                <w:szCs w:val="18"/>
                <w:color w:val="auto"/>
              </w:rPr>
              <w:t>Securities with greater than one year to maturity: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Floating rate notes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compensation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166,859</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3,515,661</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3,682,520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contracts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1,972</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Contingent consideration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1,972</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14,288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May 5, 2012 was $3,359.3 million.</w:t>
      </w:r>
    </w:p>
    <w:p>
      <w:pPr>
        <w:spacing w:after="0" w:line="15"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As of May 5, 2012, contracts in an asset position of $0.9 million were netted against contracts in a liability position in the condensed consolidated balance sheet.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4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October 29, 2011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jc w:val="right"/>
              <w:ind w:right="138"/>
              <w:spacing w:after="0" w:line="129" w:lineRule="exact"/>
              <w:rPr>
                <w:sz w:val="20"/>
                <w:szCs w:val="20"/>
                <w:color w:val="auto"/>
              </w:rPr>
            </w:pPr>
            <w:r>
              <w:rPr>
                <w:rFonts w:ascii="Arial" w:cs="Arial" w:eastAsia="Arial" w:hAnsi="Arial"/>
                <w:sz w:val="14"/>
                <w:szCs w:val="14"/>
                <w:b w:val="1"/>
                <w:bCs w:val="1"/>
                <w:color w:val="auto"/>
                <w:w w:val="94"/>
              </w:rPr>
              <w:t>Fair Value measurement at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78"/>
              <w:spacing w:after="0"/>
              <w:rPr>
                <w:sz w:val="20"/>
                <w:szCs w:val="20"/>
                <w:color w:val="auto"/>
              </w:rPr>
            </w:pPr>
            <w:r>
              <w:rPr>
                <w:rFonts w:ascii="Arial" w:cs="Arial" w:eastAsia="Arial" w:hAnsi="Arial"/>
                <w:sz w:val="14"/>
                <w:szCs w:val="14"/>
                <w:b w:val="1"/>
                <w:bCs w:val="1"/>
                <w:color w:val="auto"/>
              </w:rPr>
              <w:t>Reporting Date using:</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Quoted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Prices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Active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Markets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3"/>
              </w:rPr>
              <w:t>Significant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Other</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Identical</w:t>
            </w: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4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Inputs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(Level 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(Level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880"/>
              <w:spacing w:after="0"/>
              <w:rPr>
                <w:sz w:val="20"/>
                <w:szCs w:val="20"/>
                <w:color w:val="auto"/>
              </w:rPr>
            </w:pPr>
            <w:r>
              <w:rPr>
                <w:rFonts w:ascii="Arial" w:cs="Arial" w:eastAsia="Arial" w:hAnsi="Arial"/>
                <w:sz w:val="18"/>
                <w:szCs w:val="18"/>
                <w:color w:val="auto"/>
              </w:rPr>
              <w:t>Institutional money market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1,278,121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1,278,121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Corporate obligations (1)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Short — term investments: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880"/>
              <w:spacing w:after="0"/>
              <w:rPr>
                <w:sz w:val="20"/>
                <w:szCs w:val="20"/>
                <w:color w:val="auto"/>
              </w:rPr>
            </w:pPr>
            <w:r>
              <w:rPr>
                <w:rFonts w:ascii="Arial" w:cs="Arial" w:eastAsia="Arial" w:hAnsi="Arial"/>
                <w:sz w:val="18"/>
                <w:szCs w:val="18"/>
                <w:color w:val="auto"/>
              </w:rPr>
              <w:t>Securities with one year or less to maturity: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 (1)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2,169,078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2,169,078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Floating rate notes (1)</w:t>
            </w:r>
          </w:p>
        </w:tc>
        <w:tc>
          <w:tcPr>
            <w:tcW w:w="8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contracts (2)</w:t>
            </w:r>
          </w:p>
        </w:tc>
        <w:tc>
          <w:tcPr>
            <w:tcW w:w="8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compensation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1,305,666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2,307,389</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3,613,055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$375 million aggregate principal 5.0% debt (3)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396,337</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Contingent consideration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396,337</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13,973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410,310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29, 2011 was $2,284.9 million.</w:t>
      </w:r>
    </w:p>
    <w:p>
      <w:pPr>
        <w:spacing w:after="0" w:line="15" w:lineRule="exact"/>
        <w:rPr>
          <w:rFonts w:ascii="Arial" w:cs="Arial" w:eastAsia="Arial" w:hAnsi="Arial"/>
          <w:sz w:val="18"/>
          <w:szCs w:val="18"/>
          <w:color w:val="auto"/>
        </w:rPr>
      </w:pPr>
    </w:p>
    <w:p>
      <w:pPr>
        <w:ind w:left="460" w:right="60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has a master netting arrangement by counterparty with respect to derivative contracts. As of October 29, 2011, contracts in a liability position of $0.8 million were netted against contracts in an asset position in the condensed consolidated balance sheet.</w:t>
      </w:r>
    </w:p>
    <w:p>
      <w:pPr>
        <w:spacing w:after="0" w:line="1" w:lineRule="exact"/>
        <w:rPr>
          <w:rFonts w:ascii="Arial" w:cs="Arial" w:eastAsia="Arial" w:hAnsi="Arial"/>
          <w:sz w:val="16"/>
          <w:szCs w:val="16"/>
          <w:color w:val="auto"/>
        </w:rPr>
      </w:pPr>
    </w:p>
    <w:p>
      <w:pPr>
        <w:ind w:left="460" w:right="6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Equal to the accreted notional value of the debt plus the fair value of the interest rate component of the long-term debt. The fair value of the long-term debt as of October 29, 2011 was $413.4 million, which is classified as a level 1 measurement according to the fair value hierarchy.</w:t>
      </w:r>
    </w:p>
    <w:p>
      <w:pPr>
        <w:spacing w:after="0" w:line="9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mutual fund, money market fund and equity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quoted market prices.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 The fair value of long-term debt is based on quotes received from third-party banks.</w:t>
      </w:r>
    </w:p>
    <w:p>
      <w:pPr>
        <w:spacing w:after="0" w:line="171"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third-party banks. These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5" w:right="239" w:bottom="1440" w:gutter="0" w:footer="0" w:header="0"/>
        </w:sectPr>
      </w:pPr>
    </w:p>
    <w:bookmarkStart w:id="20" w:name="page21"/>
    <w:bookmarkEnd w:id="20"/>
    <w:p>
      <w:pPr>
        <w:ind w:right="200" w:firstLine="456"/>
        <w:spacing w:after="0" w:line="32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Contingent consideration </w:t>
      </w:r>
      <w:r>
        <w:rPr>
          <w:rFonts w:ascii="Arial" w:cs="Arial" w:eastAsia="Arial" w:hAnsi="Arial"/>
          <w:sz w:val="15"/>
          <w:szCs w:val="15"/>
          <w:color w:val="auto"/>
        </w:rPr>
        <w:t>— The fair value of the contingent consideration was estimated utilizing the income approach and is based upon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inputs not observable in the market. The income approach is based on two steps. The first step involves a projection of the cash flows which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Unobservable Inputs</w:t>
            </w:r>
          </w:p>
        </w:tc>
        <w:tc>
          <w:tcPr>
            <w:tcW w:w="53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Range</w:t>
            </w:r>
          </w:p>
        </w:tc>
      </w:tr>
      <w:tr>
        <w:trPr>
          <w:trHeight w:val="203"/>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Estimated contingent consideration payments</w:t>
            </w: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$13,000</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7% - 10%</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Timing of cash flows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1 - 16 months</w:t>
            </w: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rPr>
              <w:t>Probability of achievement</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100%</w:t>
            </w:r>
          </w:p>
        </w:tc>
      </w:tr>
    </w:tbl>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could result in a fluctuation in the fair value measurement.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 in the fair value of the contingent consideration measured using significant unobservable inputs (Level 3)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29, 2011 and May 5, 2012:</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Contingent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40" w:type="dxa"/>
            <w:vAlign w:val="bottom"/>
            <w:gridSpan w:val="4"/>
          </w:tcPr>
          <w:p>
            <w:pPr>
              <w:ind w:left="1900"/>
              <w:spacing w:after="0"/>
              <w:rPr>
                <w:sz w:val="20"/>
                <w:szCs w:val="20"/>
                <w:color w:val="auto"/>
              </w:rPr>
            </w:pPr>
            <w:r>
              <w:rPr>
                <w:rFonts w:ascii="Arial" w:cs="Arial" w:eastAsia="Arial" w:hAnsi="Arial"/>
                <w:sz w:val="14"/>
                <w:szCs w:val="14"/>
                <w:b w:val="1"/>
                <w:bCs w:val="1"/>
                <w:color w:val="auto"/>
                <w:w w:val="97"/>
              </w:rPr>
              <w:t>Consideration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October 30, 2010</w:t>
            </w:r>
          </w:p>
        </w:tc>
        <w:tc>
          <w:tcPr>
            <w:tcW w:w="1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Contingent consideration liability recorded</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(1)</w:t>
            </w:r>
          </w:p>
        </w:tc>
        <w:tc>
          <w:tcPr>
            <w:tcW w:w="1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Balance as of October 29, 2011</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Payment made (2)</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Fair value adjustment (1)</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May 5, 2012</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condensed consolidated statements of income.</w:t>
      </w:r>
    </w:p>
    <w:p>
      <w:pPr>
        <w:spacing w:after="0" w:line="15" w:lineRule="exact"/>
        <w:rPr>
          <w:rFonts w:ascii="Arial" w:cs="Arial" w:eastAsia="Arial" w:hAnsi="Arial"/>
          <w:sz w:val="18"/>
          <w:szCs w:val="18"/>
          <w:color w:val="auto"/>
        </w:rPr>
      </w:pPr>
    </w:p>
    <w:p>
      <w:pPr>
        <w:ind w:left="460" w:right="660" w:hanging="452"/>
        <w:spacing w:after="0" w:line="32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payment is reflected in the statements of cash flows as cash used in financing activities related to the liability recognized at fair value as of the acquisition date and as cash provided by operating activities related to the fair value adjustments previously recognized in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June 30, 2009, the Company issued $375 million aggregate principal amount of 5.0% senior unsecured notes due July 1, 2014 (the 5.0% Notes) with semi-annual fixed interest payments due on January 1 and July 1 of each year, commencing January 1, 2010. Based on quotes received from third-party banks, the fair value of the 5.0% Notes as of May 5, 2012 was $407.9 million and is classified as a Level 1 measurement according to the fair value hierarchy.</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4, 2011, the Company issued $375 million aggregate principal amount of 3.0% senior unsecured notes due April 15, 2016 (the 3.0% Notes) with semi-annual fixed interest payments due on April 15 and October 15 of each year, commencing October 15, 2011. Based on quotes received from third-party banks, the fair value of the 3.0% Notes as of May 5, 2012 and October 29, 2011 was $398.2 million and $392.8 million, respectively and is classified as a Level 1 measurement according to the fair value hierarchy.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 w:name="page22"/>
    <w:bookmarkEnd w:id="21"/>
    <w:p>
      <w:pPr>
        <w:ind w:right="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the U.S. dollar, primarily the Euro; other significant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May 5, 2012 and October 29, 2011, the total notional amount of these undesignated hedges was</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$26.1 million and $41.2 million, respectively. The fair value of these hedging instruments in the Company’s condensed consolidated balance sheets as of May 5, 2012 and October 29, 2011 was immaterial.</w:t>
      </w:r>
    </w:p>
    <w:p>
      <w:pPr>
        <w:spacing w:after="0" w:line="13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On June 30, 2009, the Company entered into interest rate swap transactions related to its outstanding 5.0% senior</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notes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 month LIBOR plus 2.05% interest payment, payable in four installments on the 1st of every January, April, July and October, commencing on October 1, 2009 and ending on the maturity date. The LIBOR-based rate is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the fixed-rate borrowings) attributable to the hedged benchmark interest rate risk and the offsetting gain or loss on the related interest rate swaps for the six-month period ended April 30, 2011 were as follows:</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89"/>
              </w:rPr>
              <w:t>Statement of income classification</w:t>
            </w:r>
          </w:p>
        </w:tc>
        <w:tc>
          <w:tcPr>
            <w:tcW w:w="3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April 30, 2011</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Borders>
              <w:bottom w:val="single" w:sz="8" w:color="auto"/>
            </w:tcBorders>
            <w:vMerge w:val="continue"/>
          </w:tcPr>
          <w:p>
            <w:pPr>
              <w:spacing w:after="0"/>
              <w:rPr>
                <w:sz w:val="12"/>
                <w:szCs w:val="12"/>
                <w:color w:val="auto"/>
              </w:rPr>
            </w:pPr>
          </w:p>
        </w:tc>
        <w:tc>
          <w:tcPr>
            <w:tcW w:w="3280" w:type="dxa"/>
            <w:vAlign w:val="bottom"/>
          </w:tcPr>
          <w:p>
            <w:pPr>
              <w:spacing w:after="0"/>
              <w:rPr>
                <w:sz w:val="12"/>
                <w:szCs w:val="12"/>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Loss on Swaps</w:t>
            </w:r>
          </w:p>
        </w:tc>
        <w:tc>
          <w:tcPr>
            <w:tcW w:w="1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Gain on Note</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Net Income Effect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3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(8,491)</w:t>
            </w: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8,491</w:t>
            </w:r>
          </w:p>
        </w:tc>
        <w:tc>
          <w:tcPr>
            <w:tcW w:w="7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amounts earned and owed under the swap agreements are accrued each period and are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consolidated statements of cash flows. As a result of the termination the carrying value of the 5% was adjusted for the change in the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the consolidated statements of cash flows within operating activities.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May 5, 2012,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records the fair value of its derivative financial instruments in the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total notional amounts of derivative instruments designated as hedging instruments was $150.1 million and $153.7 million, respectively, of cash flow hedges denominated in Euros, British Pounds and Philippine Pesos as of May 5, 2012 and October 29, 2011, respectively. The Company also had $375 million of interest rate swap agreements accounted for as fair value hedges as of October 29, 2011. The fair values of these hedging instruments in the Company’s condensed consolidated balance sheets as of May 5, 2012 and October 29, 2011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40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October</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4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5, 2012</w:t>
            </w:r>
          </w:p>
        </w:tc>
        <w:tc>
          <w:tcPr>
            <w:tcW w:w="12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w w:val="88"/>
              </w:rPr>
              <w:t>29, 2011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40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effect of derivative instruments designated as cash flow hedges on the condensed consolidated statements of income for the three-and six-month periods ended May 5, 2012 and April 30, 2011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left="219"/>
              <w:spacing w:after="0"/>
              <w:rPr>
                <w:sz w:val="20"/>
                <w:szCs w:val="20"/>
                <w:color w:val="auto"/>
              </w:rPr>
            </w:pPr>
            <w:r>
              <w:rPr>
                <w:rFonts w:ascii="Arial" w:cs="Arial" w:eastAsia="Arial" w:hAnsi="Arial"/>
                <w:sz w:val="14"/>
                <w:szCs w:val="14"/>
                <w:b w:val="1"/>
                <w:bCs w:val="1"/>
                <w:color w:val="auto"/>
                <w:w w:val="88"/>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May 5, 2012</w:t>
            </w:r>
          </w:p>
        </w:tc>
        <w:tc>
          <w:tcPr>
            <w:tcW w:w="2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April 30, 2011</w:t>
            </w:r>
          </w:p>
        </w:tc>
        <w:tc>
          <w:tcPr>
            <w:tcW w:w="100" w:type="dxa"/>
            <w:vAlign w:val="bottom"/>
          </w:tcPr>
          <w:p>
            <w:pPr>
              <w:spacing w:after="0"/>
              <w:rPr>
                <w:sz w:val="12"/>
                <w:szCs w:val="12"/>
                <w:color w:val="auto"/>
              </w:rPr>
            </w:pPr>
          </w:p>
        </w:tc>
      </w:tr>
      <w:tr>
        <w:trPr>
          <w:trHeight w:val="210"/>
        </w:trPr>
        <w:tc>
          <w:tcPr>
            <w:tcW w:w="9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recognized in OCI on derivatives (net of tax of $178 in 2012 and $1,390 in 2011)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Loss (gain) reclassified from OCI into income (net of tax of $238 in 2012 and $540 in 2011)</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1,508</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(3,600)</w:t>
            </w:r>
          </w:p>
        </w:tc>
      </w:tr>
      <w:tr>
        <w:trPr>
          <w:trHeight w:val="345"/>
        </w:trPr>
        <w:tc>
          <w:tcPr>
            <w:tcW w:w="9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left="199"/>
              <w:spacing w:after="0"/>
              <w:rPr>
                <w:sz w:val="20"/>
                <w:szCs w:val="20"/>
                <w:color w:val="auto"/>
              </w:rPr>
            </w:pPr>
            <w:r>
              <w:rPr>
                <w:rFonts w:ascii="Arial" w:cs="Arial" w:eastAsia="Arial" w:hAnsi="Arial"/>
                <w:sz w:val="14"/>
                <w:szCs w:val="14"/>
                <w:b w:val="1"/>
                <w:bCs w:val="1"/>
                <w:color w:val="auto"/>
                <w:w w:val="88"/>
              </w:rPr>
              <w:t>Six Months Ended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9160" w:type="dxa"/>
            <w:vAlign w:val="bottom"/>
          </w:tcPr>
          <w:p>
            <w:pPr>
              <w:spacing w:after="0"/>
              <w:rPr>
                <w:sz w:val="12"/>
                <w:szCs w:val="12"/>
                <w:color w:val="auto"/>
              </w:rPr>
            </w:pPr>
          </w:p>
        </w:tc>
        <w:tc>
          <w:tcPr>
            <w:tcW w:w="10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May 5, 2012</w:t>
            </w:r>
          </w:p>
        </w:tc>
        <w:tc>
          <w:tcPr>
            <w:tcW w:w="2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April 30, 2011</w:t>
            </w:r>
          </w:p>
        </w:tc>
        <w:tc>
          <w:tcPr>
            <w:tcW w:w="100" w:type="dxa"/>
            <w:vAlign w:val="bottom"/>
          </w:tcPr>
          <w:p>
            <w:pPr>
              <w:spacing w:after="0"/>
              <w:rPr>
                <w:sz w:val="12"/>
                <w:szCs w:val="12"/>
                <w:color w:val="auto"/>
              </w:rPr>
            </w:pPr>
          </w:p>
        </w:tc>
      </w:tr>
      <w:tr>
        <w:trPr>
          <w:trHeight w:val="210"/>
        </w:trPr>
        <w:tc>
          <w:tcPr>
            <w:tcW w:w="9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(Loss) gain recognized in OCI on derivatives (net of tax of $945 in 2012 and $1,044 in 2011)</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(6,644)</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Loss (gain) reclassified from OCI into income (net of tax of $532 in 2012 and $595 in 2011)</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(4,012)</w:t>
            </w:r>
          </w:p>
        </w:tc>
      </w:tr>
    </w:tbl>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amounts reclassified into earnings before tax are recognized in cost of sales and operating expenses for the three- and six-month periods ended May 5, 2012 and April 30, 2011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5"/>
              </w:rPr>
              <w:t>May 5, 2012</w:t>
            </w:r>
          </w:p>
        </w:tc>
        <w:tc>
          <w:tcPr>
            <w:tcW w:w="1520" w:type="dxa"/>
            <w:vAlign w:val="bottom"/>
            <w:gridSpan w:val="3"/>
          </w:tcPr>
          <w:p>
            <w:pPr>
              <w:ind w:left="720"/>
              <w:spacing w:after="0" w:line="142" w:lineRule="exact"/>
              <w:rPr>
                <w:sz w:val="20"/>
                <w:szCs w:val="20"/>
                <w:color w:val="auto"/>
              </w:rPr>
            </w:pPr>
            <w:r>
              <w:rPr>
                <w:rFonts w:ascii="Arial" w:cs="Arial" w:eastAsia="Arial" w:hAnsi="Arial"/>
                <w:sz w:val="14"/>
                <w:szCs w:val="14"/>
                <w:b w:val="1"/>
                <w:bCs w:val="1"/>
                <w:color w:val="auto"/>
                <w:w w:val="86"/>
              </w:rPr>
              <w:t>April 30, 2011</w:t>
            </w:r>
          </w:p>
        </w:tc>
        <w:tc>
          <w:tcPr>
            <w:tcW w:w="120" w:type="dxa"/>
            <w:vAlign w:val="bottom"/>
          </w:tcPr>
          <w:p>
            <w:pPr>
              <w:spacing w:after="0"/>
              <w:rPr>
                <w:sz w:val="12"/>
                <w:szCs w:val="12"/>
                <w:color w:val="auto"/>
              </w:rPr>
            </w:pP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center"/>
              <w:ind w:left="97"/>
              <w:spacing w:after="0"/>
              <w:rPr>
                <w:sz w:val="20"/>
                <w:szCs w:val="20"/>
                <w:color w:val="auto"/>
              </w:rPr>
            </w:pPr>
            <w:r>
              <w:rPr>
                <w:rFonts w:ascii="Arial" w:cs="Arial" w:eastAsia="Arial" w:hAnsi="Arial"/>
                <w:sz w:val="18"/>
                <w:szCs w:val="18"/>
                <w:color w:val="auto"/>
                <w:w w:val="86"/>
              </w:rPr>
              <w:t>621</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7"/>
              </w:rPr>
              <w:t>(1,815)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8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440" w:type="dxa"/>
            <w:vAlign w:val="bottom"/>
          </w:tcPr>
          <w:p>
            <w:pPr>
              <w:jc w:val="center"/>
              <w:ind w:left="97"/>
              <w:spacing w:after="0"/>
              <w:rPr>
                <w:sz w:val="20"/>
                <w:szCs w:val="20"/>
                <w:color w:val="auto"/>
              </w:rPr>
            </w:pPr>
            <w:r>
              <w:rPr>
                <w:rFonts w:ascii="Arial" w:cs="Arial" w:eastAsia="Arial" w:hAnsi="Arial"/>
                <w:sz w:val="18"/>
                <w:szCs w:val="18"/>
                <w:color w:val="auto"/>
                <w:w w:val="86"/>
              </w:rPr>
              <w:t>470</w:t>
            </w:r>
          </w:p>
        </w:tc>
        <w:tc>
          <w:tcPr>
            <w:tcW w:w="60" w:type="dxa"/>
            <w:vAlign w:val="bottom"/>
          </w:tcPr>
          <w:p>
            <w:pPr>
              <w:spacing w:after="0"/>
              <w:rPr>
                <w:sz w:val="18"/>
                <w:szCs w:val="18"/>
                <w:color w:val="auto"/>
              </w:rPr>
            </w:pPr>
          </w:p>
        </w:tc>
        <w:tc>
          <w:tcPr>
            <w:tcW w:w="104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w w:val="98"/>
              </w:rPr>
              <w:t>(1,167)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78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86"/>
              </w:rPr>
              <w:t>655</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(1,158)</w:t>
            </w:r>
          </w:p>
        </w:tc>
      </w:tr>
      <w:tr>
        <w:trPr>
          <w:trHeight w:val="351"/>
        </w:trPr>
        <w:tc>
          <w:tcPr>
            <w:tcW w:w="4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May 5, 2012</w:t>
            </w:r>
          </w:p>
        </w:tc>
        <w:tc>
          <w:tcPr>
            <w:tcW w:w="1520" w:type="dxa"/>
            <w:vAlign w:val="bottom"/>
            <w:gridSpan w:val="3"/>
          </w:tcPr>
          <w:p>
            <w:pPr>
              <w:ind w:left="720"/>
              <w:spacing w:after="0" w:line="142" w:lineRule="exact"/>
              <w:rPr>
                <w:sz w:val="20"/>
                <w:szCs w:val="20"/>
                <w:color w:val="auto"/>
              </w:rPr>
            </w:pPr>
            <w:r>
              <w:rPr>
                <w:rFonts w:ascii="Arial" w:cs="Arial" w:eastAsia="Arial" w:hAnsi="Arial"/>
                <w:sz w:val="14"/>
                <w:szCs w:val="14"/>
                <w:b w:val="1"/>
                <w:bCs w:val="1"/>
                <w:color w:val="auto"/>
                <w:w w:val="86"/>
              </w:rPr>
              <w:t>April 30, 2011</w:t>
            </w:r>
          </w:p>
        </w:tc>
        <w:tc>
          <w:tcPr>
            <w:tcW w:w="120" w:type="dxa"/>
            <w:vAlign w:val="bottom"/>
          </w:tcPr>
          <w:p>
            <w:pPr>
              <w:spacing w:after="0"/>
              <w:rPr>
                <w:sz w:val="12"/>
                <w:szCs w:val="12"/>
                <w:color w:val="auto"/>
              </w:rPr>
            </w:pP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5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8"/>
              </w:rPr>
              <w:t>1,522</w:t>
            </w:r>
          </w:p>
        </w:tc>
        <w:tc>
          <w:tcPr>
            <w:tcW w:w="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7"/>
              </w:rPr>
              <w:t>(2,249)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ind w:left="17"/>
              <w:spacing w:after="0"/>
              <w:rPr>
                <w:sz w:val="20"/>
                <w:szCs w:val="20"/>
                <w:color w:val="auto"/>
              </w:rPr>
            </w:pPr>
            <w:r>
              <w:rPr>
                <w:rFonts w:ascii="Arial" w:cs="Arial" w:eastAsia="Arial" w:hAnsi="Arial"/>
                <w:sz w:val="18"/>
                <w:szCs w:val="18"/>
                <w:color w:val="auto"/>
                <w:w w:val="88"/>
              </w:rPr>
              <w:t>1,093</w:t>
            </w:r>
          </w:p>
        </w:tc>
        <w:tc>
          <w:tcPr>
            <w:tcW w:w="104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w w:val="98"/>
              </w:rPr>
              <w:t>(1,196)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7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8"/>
              </w:rPr>
              <w:t>1,455</w:t>
            </w:r>
          </w:p>
        </w:tc>
        <w:tc>
          <w:tcPr>
            <w:tcW w:w="10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(1,162)</w:t>
            </w: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All derivative gains and losses included in OCI will be reclassified into earnings within the next 12 months. There was no ineffectiveness in the three-or six-month periods ended May 5, 2012 and April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the Company’s latest annual impairment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assessment that occurred on July 31, 2011,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years presented. The Company’s next annual impairment assessment will be performed as of the first day of the fourth quarter of fiscal 2012 unless indicators arise that would require the Company to reevaluate at an earlier date. The following table presents the changes in goodwill during the first six months of fiscal 2012:</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May 5, 2012</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Acquisition of Multigig (Note 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October 29, 2011, the Company’s finite-lived intangible assets were fully amortized. As of May 5, 2012, the Company’s finite-lived intangible assets consisted of the following which related to the acquisition of Multigig (Note 16):</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5, 2012</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Gross Carrying</w:t>
            </w:r>
          </w:p>
        </w:tc>
        <w:tc>
          <w:tcPr>
            <w:tcW w:w="9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r>
      <w:tr>
        <w:trPr>
          <w:trHeight w:val="161"/>
        </w:trPr>
        <w:tc>
          <w:tcPr>
            <w:tcW w:w="3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42"/>
              <w:spacing w:after="0"/>
              <w:rPr>
                <w:sz w:val="20"/>
                <w:szCs w:val="20"/>
                <w:color w:val="auto"/>
              </w:rPr>
            </w:pPr>
            <w:r>
              <w:rPr>
                <w:rFonts w:ascii="Arial" w:cs="Arial" w:eastAsia="Arial" w:hAnsi="Arial"/>
                <w:sz w:val="14"/>
                <w:szCs w:val="14"/>
                <w:b w:val="1"/>
                <w:bCs w:val="1"/>
                <w:color w:val="auto"/>
                <w:w w:val="98"/>
              </w:rPr>
              <w:t>Amount</w:t>
            </w:r>
          </w:p>
        </w:tc>
        <w:tc>
          <w:tcPr>
            <w:tcW w:w="1780" w:type="dxa"/>
            <w:vAlign w:val="bottom"/>
            <w:gridSpan w:val="4"/>
          </w:tcPr>
          <w:p>
            <w:pPr>
              <w:ind w:left="900"/>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Technology-based</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9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Amortization expense related to finite-lived intangible assets was immaterial for the three and six months ended May 5, 2012 and was $0.3 million and $0.7 million for the three- and six-month periods ended April 30, 2011, respectively. The remaining amortization expense will be recognized over a weighted-average period of approximately 2.6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annual amortization expense for intangible assets to be: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Fiscal Year</w:t>
            </w:r>
          </w:p>
        </w:tc>
        <w:tc>
          <w:tcPr>
            <w:tcW w:w="3560" w:type="dxa"/>
            <w:vAlign w:val="bottom"/>
          </w:tcPr>
          <w:p>
            <w:pPr>
              <w:spacing w:after="0"/>
              <w:rPr>
                <w:sz w:val="15"/>
                <w:szCs w:val="15"/>
                <w:color w:val="auto"/>
              </w:rPr>
            </w:pPr>
          </w:p>
        </w:tc>
        <w:tc>
          <w:tcPr>
            <w:tcW w:w="3520" w:type="dxa"/>
            <w:vAlign w:val="bottom"/>
            <w:gridSpan w:val="4"/>
          </w:tcPr>
          <w:p>
            <w:pPr>
              <w:ind w:left="2120"/>
              <w:spacing w:after="0"/>
              <w:rPr>
                <w:sz w:val="20"/>
                <w:szCs w:val="20"/>
                <w:color w:val="auto"/>
              </w:rPr>
            </w:pPr>
            <w:r>
              <w:rPr>
                <w:rFonts w:ascii="Arial" w:cs="Arial" w:eastAsia="Arial" w:hAnsi="Arial"/>
                <w:sz w:val="14"/>
                <w:szCs w:val="14"/>
                <w:b w:val="1"/>
                <w:bCs w:val="1"/>
                <w:color w:val="auto"/>
                <w:w w:val="93"/>
              </w:rPr>
              <w:t>Amortization Expense</w:t>
            </w:r>
          </w:p>
        </w:tc>
      </w:tr>
      <w:tr>
        <w:trPr>
          <w:trHeight w:val="203"/>
        </w:trPr>
        <w:tc>
          <w:tcPr>
            <w:tcW w:w="4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Remaining of fiscal year 2012</w:t>
            </w:r>
          </w:p>
        </w:tc>
        <w:tc>
          <w:tcPr>
            <w:tcW w:w="2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2013</w:t>
            </w:r>
          </w:p>
        </w:tc>
        <w:tc>
          <w:tcPr>
            <w:tcW w:w="3560" w:type="dxa"/>
            <w:vAlign w:val="bottom"/>
          </w:tcPr>
          <w:p>
            <w:pPr>
              <w:spacing w:after="0"/>
              <w:rPr>
                <w:sz w:val="18"/>
                <w:szCs w:val="18"/>
                <w:color w:val="auto"/>
              </w:rPr>
            </w:pPr>
          </w:p>
        </w:tc>
        <w:tc>
          <w:tcPr>
            <w:tcW w:w="26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2015</w:t>
            </w:r>
          </w:p>
        </w:tc>
        <w:tc>
          <w:tcPr>
            <w:tcW w:w="3560" w:type="dxa"/>
            <w:vAlign w:val="bottom"/>
          </w:tcPr>
          <w:p>
            <w:pPr>
              <w:spacing w:after="0"/>
              <w:rPr>
                <w:sz w:val="18"/>
                <w:szCs w:val="18"/>
                <w:color w:val="auto"/>
              </w:rPr>
            </w:pPr>
          </w:p>
        </w:tc>
        <w:tc>
          <w:tcPr>
            <w:tcW w:w="26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5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2017</w:t>
            </w:r>
          </w:p>
        </w:tc>
        <w:tc>
          <w:tcPr>
            <w:tcW w:w="3560" w:type="dxa"/>
            <w:vAlign w:val="bottom"/>
          </w:tcPr>
          <w:p>
            <w:pPr>
              <w:spacing w:after="0"/>
              <w:rPr>
                <w:sz w:val="19"/>
                <w:szCs w:val="19"/>
                <w:color w:val="auto"/>
              </w:rPr>
            </w:pPr>
          </w:p>
        </w:tc>
        <w:tc>
          <w:tcPr>
            <w:tcW w:w="26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Indefinite-lived intangible assets are tested for impairment on an annual basis on the first day of the fourth quarter (on or about August 1) or more frequently if indicators of impairment exist. The impairment test involves the comparison of the fair value of the intangible asset with its carrying amount. No impairment of intangible assets resulted in any of the fiscal years presented.</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lives.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4" w:name="page25"/>
    <w:bookmarkEnd w:id="2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Indefinite-lived intangible assets consisted of $27.8 million and $12.2 million of IPR&amp;D as of May 5, 2012 and October 29, 2011,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May 5, 2012</w:t>
            </w: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April 30, 2011</w:t>
            </w:r>
          </w:p>
        </w:tc>
        <w:tc>
          <w:tcPr>
            <w:tcW w:w="120" w:type="dxa"/>
            <w:vAlign w:val="bottom"/>
          </w:tcPr>
          <w:p>
            <w:pPr>
              <w:spacing w:after="0"/>
              <w:rPr>
                <w:sz w:val="12"/>
                <w:szCs w:val="12"/>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(2,760)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Amortization of initial net obligation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8"/>
                <w:szCs w:val="18"/>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Net periodic pension cost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2,205</w:t>
            </w:r>
          </w:p>
        </w:tc>
        <w:tc>
          <w:tcPr>
            <w:tcW w:w="420" w:type="dxa"/>
            <w:vAlign w:val="bottom"/>
          </w:tcPr>
          <w:p>
            <w:pPr>
              <w:spacing w:after="0"/>
              <w:rPr>
                <w:sz w:val="19"/>
                <w:szCs w:val="19"/>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0"/>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May 5, 2012</w:t>
            </w: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April 30, 2011</w:t>
            </w:r>
          </w:p>
        </w:tc>
        <w:tc>
          <w:tcPr>
            <w:tcW w:w="120" w:type="dxa"/>
            <w:vAlign w:val="bottom"/>
          </w:tcPr>
          <w:p>
            <w:pPr>
              <w:spacing w:after="0"/>
              <w:rPr>
                <w:sz w:val="12"/>
                <w:szCs w:val="12"/>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5,537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(5,310)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(5,405)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Amortization of initial net obligation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Net periodic pension cost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4,405</w:t>
            </w:r>
          </w:p>
        </w:tc>
        <w:tc>
          <w:tcPr>
            <w:tcW w:w="420" w:type="dxa"/>
            <w:vAlign w:val="bottom"/>
          </w:tcPr>
          <w:p>
            <w:pPr>
              <w:spacing w:after="0"/>
              <w:rPr>
                <w:sz w:val="19"/>
                <w:szCs w:val="19"/>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5,567</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Pension contributions of $3.0 million and $5.6 million were made by the Company during the three and six months ended May 5, 2012, respectively. The Company presently anticipates contributing an additional $5.4 million to fund its defined benefit pension plans in fiscal year 2012 for a total of $11.0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May 5, 2012, the Company had $3,752.6 million of cash and cash equivalents and short-term investments, of which $1,085.9 million was held in the United States. The balance of the Company’s cash and cash equivalents and short-term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the facility impose restrictions on the Company’s ability to undertake certain transactions, to create certain liens on assets and to incur certain subsidiary indebtedness. The terms of this facility also include financial covenants that require the Company to maintain a minimum interest coverage ratio and not exceed a maximum leverage ratio. As of May 5, 2012, the Company was compliant with these covenants.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13 –Debt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30, 2009, the Company issued $375 million aggregate principal amount of 5.0% senior unsecured notes due July 1, 2014 (the 5.0% Notes) with semi-annual fixed interest payments due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 The indenture governing the 5.0%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May 5, 2012, the Company was compliant with these covenants. The notes are subordinated to any future secured debt and to the other liabilities of the Company’s subsidiaries.</w:t>
      </w:r>
    </w:p>
    <w:p>
      <w:pPr>
        <w:spacing w:after="0" w:line="12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business day of every January and July, commencing January 1, 2010 through and ending on the maturity date; and (ii) pay on the $375 million notional amount an annual three month LIBOR plus 2.05% interest payment, payable in four installments on the 1st business day of every January, April, July and October, commencing on October 1, 2009 and ending on the maturity date. The LIBOR-based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 In the second quarter of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consolidated statement of cash flows. As a result of the termination the carrying value of the 5% Notes was adjusted for the change in the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the consolidated statements of cash flows within operating activities.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are guaranteed by the Company. The credit agreement provides for a term loan facility of $145 million, which matures on December 22, 2013. The terms of the agreement provide for a three year principal amortization schedule with $3.6 million payable quarterly every March, June, September and December with the balance payable upon the maturity date. During the third quarter of fiscal 2011, the Company made an additional principal payment of $17.5 million. During the first quarter of fiscal 2012, the Company made an additional principal payment of $12.0 million. The loan will bear interest at a fluctuating rate for each period equal to the LIBOR rate corresponding with the tenor of the interest period plus a spread of 1.25% (1.72% as of May 5, 2012). The terms of this facility include limitations on subsidiary indebtedness and on liens against the assets of the Company and its subsidiaries, and also include financial covenants that require the Company to maintain a minimum interest coverage ratio and not exceed a maximum leverage ratio. As of May 5, 2012, the Company was compliant with these covenants. As of May 5, 2012, $14.5 million of this debt was classified as short-term.</w:t>
      </w:r>
    </w:p>
    <w:p>
      <w:pPr>
        <w:spacing w:after="0" w:line="12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April 4, 2011, the Company issued $375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May 5, 2012, the Company was compliant with these covenants. The notes are subordinated to any future secured debt and to the other liabilities of the Company’s subsidiaries.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Company’s principal payments related to its long-term debt obligations are as follows: $7.3 million remaining in fiscal year 2012; $14.5 million in fiscal year 2013; $450.6 million in fiscal year 2014; and $375 million in fiscal year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14 – Common Stock Repurchase</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$5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May 5, 2012, the Company had repurchased a total of approximately 128.2 million shares of its common stock for approximately $4,400.9 million under this program. An additional $599.1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96" w:lineRule="exact"/>
        <w:rPr>
          <w:sz w:val="20"/>
          <w:szCs w:val="20"/>
          <w:color w:val="auto"/>
        </w:rPr>
      </w:pPr>
    </w:p>
    <w:p>
      <w:pPr>
        <w:ind w:right="520" w:firstLine="456"/>
        <w:spacing w:after="0" w:line="303" w:lineRule="auto"/>
        <w:rPr>
          <w:sz w:val="20"/>
          <w:szCs w:val="20"/>
          <w:color w:val="auto"/>
        </w:rPr>
      </w:pPr>
      <w:r>
        <w:rPr>
          <w:rFonts w:ascii="Arial" w:cs="Arial" w:eastAsia="Arial" w:hAnsi="Arial"/>
          <w:sz w:val="15"/>
          <w:szCs w:val="15"/>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During fiscal 2008, the Company completed the sale of its Baseband Chipset Business for net cash proceeds of</w:t>
      </w:r>
    </w:p>
    <w:p>
      <w:pPr>
        <w:spacing w:after="0" w:line="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$269 million. The Company made cash payments of $1.7 million during fiscal 2009 related to retention payments for employees who transferred to MediaTek Inc. and for the reimbursement of intellectual property license fees incurred by MediaTek. During fiscal 2010, the Company received cash proceeds of</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$62 million as a result of the receipt of a refundable withholding tax and also recorded an additional gain on sale of $0.3 million, or $0.2 million net of tax, due to the settlement of certain items at less than the amounts accrued. In fiscal 2011, additional proceeds of $10 million were released from escrow and $6.5 million, net of tax, was recorded as additional gain from the sale of discontinued operations. The Company does not expect any additional proceeds from this sale.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amounts related to the Baseband Chipset Business have been segregated from continuing operations and reported as discontinued operations.</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340" w:type="dxa"/>
            <w:vAlign w:val="bottom"/>
            <w:gridSpan w:val="4"/>
          </w:tcPr>
          <w:p>
            <w:pPr>
              <w:jc w:val="center"/>
              <w:ind w:left="982"/>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April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on sale of discontinued operations before income taxes</w:t>
            </w: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jc w:val="right"/>
              <w:ind w:right="1372"/>
              <w:spacing w:after="0"/>
              <w:rPr>
                <w:sz w:val="20"/>
                <w:szCs w:val="20"/>
                <w:color w:val="auto"/>
              </w:rPr>
            </w:pPr>
            <w:r>
              <w:rPr>
                <w:rFonts w:ascii="Arial" w:cs="Arial" w:eastAsia="Arial" w:hAnsi="Arial"/>
                <w:sz w:val="18"/>
                <w:szCs w:val="18"/>
                <w:color w:val="auto"/>
              </w:rPr>
              <w:t>26</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16 – Acquisitions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 March 30, 2012, the Company acquired privately-held Multigig, Inc. (Multigig) of San Jose, California. The acquisition of Multigig is expected to enhance the Company’s clocking capabilities in stand-alone and embedded applications and strengthen the Company’s high speed signal processing solutions. The acquisition-date fair value of the consideration transferred totaled $26.8 million, which consisted of $24.2 million in initial cash payments at closing and an additional $2.6 million subject to an indemnification holdback that is payable within 15 months of the transaction date, which is included in accrued liabilities in the condensed consolidated balance sheet as of May 5, 2012. The Company’s assessment of fair value to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The goodwill is not expected to be deductible for tax purposes. The acquisition accounting is not complete and adjustments may be recorded to deferred tax assets in future periods due to the evaluation of net operating loss carryforwards. In addition, the Company will be obligated to pay royalties to the Multigig employees on revenue recognized from the sale of certain Multigig products through the earlier of 5 years or the aggregate maximum payment of $1 million. Royalty payments to Multigig employees require post-acquisition services to be rendered and, as such, the Company will record these amounts as compensation expense in the related periods. As of May 5, 2012, no royalty payments have been made. The Company recognized $0.5 million of acquisition-related costs that were expensed in the second quarter of fiscal 2012, which were included in operating expenses in the condensed consolidated statement of income.</w:t>
      </w:r>
    </w:p>
    <w:p>
      <w:pPr>
        <w:spacing w:after="0" w:line="12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June 9, 2011, the Company acquired privately-held Lyric Semiconductor, Inc. (Lyric) of Cambridge, Massachusetts. The acquisition of Lyric gives the Company the potential to achieve an order of magnitude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May 5, 2012, the Company had paid $2.0 million in contingent consideration. The payment is reflected in the statements of cash flows as cash used in financing activities related to the liability recognized at fair value as of the acquisition date and cash provided by operating activities related to the fair value adjustments previously recognized in earnings. The fair value of the remaining contingent consideration was approximately $12.3 million as of May 5, 2012, of which $9.6 million is included in accrued liabilities and $2.7 million is included in other non-current liabilities in the condensed consolidated balance sheet. The Company’s assessment of fair value to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In addition, the Company will be obligated to pay royalties to the former equity holders of Lyric on revenue recognized from the sale of Lyric products and licenses through the earlier of 20 years or the accrual of a maximum of $25 million. Royalty payments to Lyric employees require post-acquisition services to be rendered and, as such, the Company will record these amounts as compensation expense in the related periods. As of May 5, 2012, no royalty payments have been made. The Company recognized $0.2 million of acquisition-related costs that were expensed in the third quarter of fiscal 2011 which were included in operating expenses in the condensed consolidated statement of income.</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not provided pro forma results of operations for Multigig and Lyric herein as they were not material to the Company on either an individual or an aggregate basis. The Company included the results of operations of each acquisition in its consolidated statement of income from the date of each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17 – Income 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IRS Examination for Fiscal Years 2004 through 2007</w:t>
      </w:r>
    </w:p>
    <w:p>
      <w:pPr>
        <w:spacing w:after="0" w:line="90" w:lineRule="exact"/>
        <w:rPr>
          <w:sz w:val="20"/>
          <w:szCs w:val="20"/>
          <w:color w:val="auto"/>
        </w:rPr>
      </w:pPr>
    </w:p>
    <w:p>
      <w:pPr>
        <w:jc w:val="both"/>
        <w:ind w:right="280" w:firstLine="456"/>
        <w:spacing w:after="0" w:line="284" w:lineRule="auto"/>
        <w:rPr>
          <w:sz w:val="20"/>
          <w:szCs w:val="20"/>
          <w:color w:val="auto"/>
        </w:rPr>
      </w:pPr>
      <w:r>
        <w:rPr>
          <w:rFonts w:ascii="Arial" w:cs="Arial" w:eastAsia="Arial" w:hAnsi="Arial"/>
          <w:sz w:val="16"/>
          <w:szCs w:val="16"/>
          <w:color w:val="auto"/>
        </w:rPr>
        <w:t>The Company expects to file a petition with the Tax Court for one open matter that pertains to Section 965 of the Internal Revenue Code related to the beneficial tax treatment of dividends paid from foreign owned companies under The American Jobs Creation Act. The potential liability for this adjustment is $36.5 million. The Company has concluded, based on discussions with its tax advisors, that this item is not likely to result in any additional tax liability.</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Therefore, the Company has not recorded any additional tax liability for this issue. All of the Company’s U.S. federal tax returns prior to fiscal year 2008 are no longer subject to examination.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Company’s Ireland tax returns prior to fiscal year 2007 are no longer subject to examination.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Unrealized Tax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total amounts of unrealized tax benefits for the three and six months ended May 5, 2012.</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29, 2011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2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February 4, 2012</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Settlements with taxing authorities</w:t>
            </w:r>
          </w:p>
        </w:tc>
        <w:tc>
          <w:tcPr>
            <w:tcW w:w="2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May 5, 2012</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Although the Company believes its estimates of income tax payable are reasonable, no assurance can be given that the Company will prevail in the matters raised and that the outcome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 as well as for subsequent years.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18 – New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Intangibles – Goodwill and Other</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In December 2010, the FASB issued ASU No. 2010-28, </w:t>
      </w:r>
      <w:r>
        <w:rPr>
          <w:rFonts w:ascii="Arial" w:cs="Arial" w:eastAsia="Arial" w:hAnsi="Arial"/>
          <w:sz w:val="16"/>
          <w:szCs w:val="16"/>
          <w:i w:val="1"/>
          <w:iCs w:val="1"/>
          <w:color w:val="auto"/>
        </w:rPr>
        <w:t>Intangibles - Goodwill and Other (ASC Topic 350)</w:t>
      </w:r>
      <w:r>
        <w:rPr>
          <w:rFonts w:ascii="Arial" w:cs="Arial" w:eastAsia="Arial" w:hAnsi="Arial"/>
          <w:sz w:val="16"/>
          <w:szCs w:val="16"/>
          <w:color w:val="auto"/>
        </w:rPr>
        <w:t xml:space="preserve"> (ASU No. 2010-28). ASU No. 2010-28 modifies Step 1 of the goodwill impairment test for reporting units with zero or negative carrying amounts. For those reporting units, an entity is required to perform Step 2 of the goodwill impairment test only if it is more likely than not that a goodwill impairment exists. In determining whether it is more likely than not that a goodwill impairment exists, an entity should consider whether there are any adverse qualitative factors indicating that an impairment may exist. ASU No. 2010-28 is effective for fiscal years that begin after December 15, 2010, which is the Company’s fiscal year 2012. The adoption of ASU No. 2010-28 in the first quarter of fiscal 2012 did not have a material impact on the Company’s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xml:space="preserve"> (ASU No. 2011-11). ASU No. 2011-11 amended ASC 210, </w:t>
      </w:r>
      <w:r>
        <w:rPr>
          <w:rFonts w:ascii="Arial" w:cs="Arial" w:eastAsia="Arial" w:hAnsi="Arial"/>
          <w:sz w:val="16"/>
          <w:szCs w:val="16"/>
          <w:i w:val="1"/>
          <w:iCs w:val="1"/>
          <w:color w:val="auto"/>
        </w:rPr>
        <w:t>Balance Sheet,</w:t>
      </w:r>
      <w:r>
        <w:rPr>
          <w:rFonts w:ascii="Arial" w:cs="Arial" w:eastAsia="Arial" w:hAnsi="Arial"/>
          <w:sz w:val="16"/>
          <w:szCs w:val="16"/>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ASU No. 2011-11 is effective for fiscal years, and interim periods within those years, beginning after January 1, 2013, which is the Company’s fiscal year 2014. The adoption of ASU No. 2011-11 will require additional disclosures related to offsetting assets and liabilities but will not impact the Company’s financial condition or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(ASU No. 2011-05). ASU No. 2011-05 amended ASC 220,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to converge the presentation of comprehensive income between U.S GAAP and IFRS. ASU No. 2011-05 requires that all non-owner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No. 2011-05 is effective for fiscal years, and interim periods within those years, beginning after December 15, 2011 which is the Company’s fiscal year 2013. Subsequently, in December 2011, the FASB issued ASU No. 2011-12, </w:t>
      </w:r>
      <w:r>
        <w:rPr>
          <w:rFonts w:ascii="Arial" w:cs="Arial" w:eastAsia="Arial" w:hAnsi="Arial"/>
          <w:sz w:val="16"/>
          <w:szCs w:val="16"/>
          <w:i w:val="1"/>
          <w:iCs w:val="1"/>
          <w:color w:val="auto"/>
        </w:rPr>
        <w:t xml:space="preserve">Deferral of the Effective Date for Amendments to the Presentation of Reclassifications of Items Out of Accumulated Other Comprehensive Income in Accounting Standards Update No. 2011-05 </w:t>
      </w:r>
      <w:r>
        <w:rPr>
          <w:rFonts w:ascii="Arial" w:cs="Arial" w:eastAsia="Arial" w:hAnsi="Arial"/>
          <w:sz w:val="16"/>
          <w:szCs w:val="16"/>
          <w:color w:val="auto"/>
        </w:rPr>
        <w:t>(ASU No. 2011-12), which defers only those changes in ASU No. 2011-05 that relate to the presentation of reclassification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but does not affect all other requirements in ASU No. 2011-05. The adoption of ASU No. 2011-05 and ASU No. 2011-12 will affect the presentation of comprehensive income but will not impact the Company’s financial condition or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May 21, 2012, the Board of Directors of the Company declared a cash dividend of $0.30 per outstanding share of common stock. The dividend will be paid on June 12, 2012 to all shareholders of record at the close of business on June 1,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29, 2011.</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12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During the first quarter of fiscal 2008, we sold our baseband chipset business and related support operations, or Baseband Chipset Business, to MediaTek Inc. The financial results of this business are presented as discontinued operations in the condensed consolidated statements of income for all periods presented. Unless otherwise noted, this Management’s Discussion and Analysis relates only to financial results from continuing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2"/>
              </w:rPr>
              <w:t>$ Change</w:t>
            </w:r>
          </w:p>
        </w:tc>
        <w:tc>
          <w:tcPr>
            <w:tcW w:w="88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5, 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April 30, 2011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675,094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790,780</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8"/>
              </w:rPr>
              <w:t>$ (115,686)</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Gross margin %</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162,899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241,826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(78,927)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w w:val="94"/>
              </w:rPr>
              <w:t>Income from continuing operations, net of tax, as a % of revenue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Diluted EPS</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0.53</w:t>
            </w:r>
          </w:p>
        </w:tc>
        <w:tc>
          <w:tcPr>
            <w:tcW w:w="34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56"/>
        </w:trPr>
        <w:tc>
          <w:tcPr>
            <w:tcW w:w="4880" w:type="dxa"/>
            <w:vAlign w:val="bottom"/>
          </w:tcPr>
          <w:p>
            <w:pPr>
              <w:spacing w:after="0"/>
              <w:rPr>
                <w:sz w:val="24"/>
                <w:szCs w:val="24"/>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2"/>
              </w:rPr>
              <w:t>$ Change</w:t>
            </w:r>
          </w:p>
        </w:tc>
        <w:tc>
          <w:tcPr>
            <w:tcW w:w="88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May 5, 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April 30, 2011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1,323,152</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1,519,284</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$(196,132)</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margin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302,281</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457,432</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$(155,151)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9"/>
              </w:rPr>
              <w:t>Income from continuing operations, net of tax, as a % of revenue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Diluted EPS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3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Fiscal 2012 is a 53-week year and fiscal 2011 was a 52-week year. The additional week in fiscal 2012 was included in the first quarter ended February 4, 2012. Therefore, the first six months of fiscal 2012 included an additional week of operations as compared to the first six months of fiscal 2011.</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first six months of fiscal 2012, our revenue decreased 13%, compared to the first six months of fiscal 2011. Our diluted earnings per share from continuing operations decreased to $0.99 in the first six months of fiscal 2012 compared to $1.48 in the first six months of fiscal 2011. Cash flow from operations in the first six months of fiscal 2012 was $440.8 million or 33% of revenue. During the first six months of fiscal 2012, we received $87.4 million in net proceeds from employee stock option exercises, repurchased a total of approximately 3.2 million shares of our common stock for an aggregate of $122.4 million, distributed $163.8 million to our shareholders in dividend payments, paid $19.3 million in principal payments related to our $145 million term loan facility, paid $55.4 million for property, plant and equipment additions and paid $24.2 million for the acquisition of Multigig. In addition, we paid $871.3 million for the net purchase of available-for-sale short term investments. These factors contributed to the net decrease in cash and cash equivalents of $710.0 million in the first six months of fiscal 2012.</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year-to-year decrease in revenue and profitability for the three and six months ended May 5, 2012 was primarily attributable to a slowdown in orders as our customers reduced their inventory levels from the levels recorded at the end of the second quarter of fiscal 2011. In the second quarter of fiscal 2011 customers had built inventory in order to reduce the risk of supply disruptions as a result of the March 2011 earthquake and tsunami in Japan. In addition, the ongoing European debt crisis and the global credit and financial crisis caused customers to become more cautious in the first half of fiscal 2012. We believe that our variable cost structure and continued efforts to manage production, inventory levels and expenses helped to mitigate the effect that these lower sales levels had on our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May 5, 2012</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April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w w:val="95"/>
              </w:rPr>
              <w:t>Revenue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Revenue</w:t>
            </w:r>
          </w:p>
        </w:tc>
        <w:tc>
          <w:tcPr>
            <w:tcW w:w="7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Y/Y%</w:t>
            </w: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Industrial</w:t>
            </w:r>
          </w:p>
        </w:tc>
        <w:tc>
          <w:tcPr>
            <w:tcW w:w="32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vMerge w:val="continue"/>
            <w:shd w:val="clear" w:color="auto" w:fill="CCEEFF"/>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$323,441</w:t>
            </w: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$386,697</w:t>
            </w:r>
          </w:p>
        </w:tc>
        <w:tc>
          <w:tcPr>
            <w:tcW w:w="3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Automotive</w:t>
            </w:r>
          </w:p>
        </w:tc>
        <w:tc>
          <w:tcPr>
            <w:tcW w:w="4000" w:type="dxa"/>
            <w:vAlign w:val="bottom"/>
            <w:gridSpan w:val="3"/>
          </w:tcPr>
          <w:p>
            <w:pPr>
              <w:ind w:left="3340"/>
              <w:spacing w:after="0"/>
              <w:rPr>
                <w:sz w:val="20"/>
                <w:szCs w:val="20"/>
                <w:color w:val="auto"/>
              </w:rPr>
            </w:pPr>
            <w:r>
              <w:rPr>
                <w:rFonts w:ascii="Arial" w:cs="Arial" w:eastAsia="Arial" w:hAnsi="Arial"/>
                <w:sz w:val="18"/>
                <w:szCs w:val="18"/>
                <w:color w:val="auto"/>
                <w:w w:val="98"/>
              </w:rPr>
              <w:t>118,009</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rPr>
              <w:t>10%</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107,171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107,994</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135,256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Communications</w:t>
            </w:r>
          </w:p>
        </w:tc>
        <w:tc>
          <w:tcPr>
            <w:tcW w:w="3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125,650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(22)%</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161,656</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675,094</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790,780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40" w:type="dxa"/>
            <w:vAlign w:val="bottom"/>
            <w:vMerge w:val="restart"/>
          </w:tcPr>
          <w:p>
            <w:pPr>
              <w:jc w:val="right"/>
              <w:ind w:right="772"/>
              <w:spacing w:after="0"/>
              <w:rPr>
                <w:sz w:val="20"/>
                <w:szCs w:val="20"/>
                <w:color w:val="auto"/>
              </w:rPr>
            </w:pPr>
            <w:r>
              <w:rPr>
                <w:rFonts w:ascii="Arial" w:cs="Arial" w:eastAsia="Arial" w:hAnsi="Arial"/>
                <w:sz w:val="18"/>
                <w:szCs w:val="18"/>
                <w:color w:val="auto"/>
              </w:rPr>
              <w:t>31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7"/>
              </w:rPr>
              <w:t>Six Months Ended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May 5, 2012</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April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Revenue</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Y/Y%</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Revenue*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Industrial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612,113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726,013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238,506</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202,399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224,880</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280,562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247,653</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ind w:right="3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310,310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1,323,152</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4"/>
              </w:rPr>
              <w:t>1,519,284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decrease in revenue in the three- and six-month periods ended May 5, 2012 in industrial end market revenue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a broad-based decrease in demand in this end market. The year-to-year decrease was most significant for products sold into the industrial automation and instrumentation sectors.</w:t>
      </w:r>
    </w:p>
    <w:p>
      <w:pPr>
        <w:spacing w:after="0" w:line="14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i w:val="1"/>
          <w:iCs w:val="1"/>
          <w:color w:val="auto"/>
        </w:rPr>
        <w:t xml:space="preserve">Automotive </w:t>
      </w:r>
      <w:r>
        <w:rPr>
          <w:rFonts w:ascii="Arial" w:cs="Arial" w:eastAsia="Arial" w:hAnsi="Arial"/>
          <w:sz w:val="15"/>
          <w:szCs w:val="15"/>
          <w:color w:val="auto"/>
        </w:rPr>
        <w:t>– The year-to-year increase in revenue in the three- and six-month periods ended May 5, 2012 in automotive end market revenue was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the result of an increase in the electronic content in automobiles, used primarily in infotainment and safety, and a general increase in demand by our customers.</w:t>
      </w:r>
    </w:p>
    <w:p>
      <w:pPr>
        <w:spacing w:after="0" w:line="6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decrease in revenue in the three- and six-month periods ended May 5, 2012 in consumer end market revenue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a broad-based decrease in demand for products sold in this end market and to a lesser extent customer production limitations in the first quarter of fiscal 2012 caused by the 2011 floods in Thailand.</w:t>
      </w:r>
    </w:p>
    <w:p>
      <w:pPr>
        <w:spacing w:after="0" w:line="14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decrease in revenue in the three- and six-month periods ended May 5, 2012 in communications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decrease in demand in this end market, which was most significant for products sold into the wireless base station end market sector.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1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May 5, 2012</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April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Revenue</w:t>
            </w:r>
          </w:p>
        </w:tc>
        <w:tc>
          <w:tcPr>
            <w:tcW w:w="38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Revenue*</w:t>
            </w:r>
          </w:p>
        </w:tc>
        <w:tc>
          <w:tcPr>
            <w:tcW w:w="7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Y/Y%</w:t>
            </w: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Converters</w:t>
            </w:r>
          </w:p>
        </w:tc>
        <w:tc>
          <w:tcPr>
            <w:tcW w:w="660" w:type="dxa"/>
            <w:vAlign w:val="bottom"/>
            <w:shd w:val="clear" w:color="auto" w:fill="000000"/>
          </w:tcPr>
          <w:p>
            <w:pPr>
              <w:spacing w:after="0" w:line="20" w:lineRule="exact"/>
              <w:rPr>
                <w:sz w:val="1"/>
                <w:szCs w:val="1"/>
                <w:color w:val="auto"/>
              </w:rPr>
            </w:pPr>
          </w:p>
        </w:tc>
        <w:tc>
          <w:tcPr>
            <w:tcW w:w="380" w:type="dxa"/>
            <w:vAlign w:val="bottom"/>
            <w:tcBorders>
              <w:left w:val="single" w:sz="8" w:color="CCEEFF"/>
            </w:tcBorders>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right w:val="single" w:sz="8" w:color="CCEEFF"/>
            </w:tcBorders>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$300,040</w:t>
            </w:r>
          </w:p>
        </w:tc>
        <w:tc>
          <w:tcPr>
            <w:tcW w:w="380" w:type="dxa"/>
            <w:vAlign w:val="bottom"/>
            <w:tcBorders>
              <w:left w:val="single" w:sz="8" w:color="CCEEFF"/>
            </w:tcBorders>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$350,187</w:t>
            </w:r>
          </w:p>
        </w:tc>
        <w:tc>
          <w:tcPr>
            <w:tcW w:w="3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177,813</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26%</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(17)%</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213,140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analog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90,790</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111,037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568,643</w:t>
            </w:r>
          </w:p>
        </w:tc>
        <w:tc>
          <w:tcPr>
            <w:tcW w:w="3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84%</w:t>
            </w:r>
          </w:p>
        </w:tc>
        <w:tc>
          <w:tcPr>
            <w:tcW w:w="780" w:type="dxa"/>
            <w:vAlign w:val="bottom"/>
            <w:gridSpan w:val="2"/>
            <w:vMerge w:val="continue"/>
          </w:tcPr>
          <w:p>
            <w:pPr>
              <w:spacing w:after="0"/>
              <w:rPr>
                <w:sz w:val="19"/>
                <w:szCs w:val="19"/>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674,364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46,060</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56,125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vMerge w:val="restart"/>
          </w:tcPr>
          <w:p>
            <w:pPr>
              <w:jc w:val="right"/>
              <w:ind w:right="72"/>
              <w:spacing w:after="0"/>
              <w:rPr>
                <w:sz w:val="20"/>
                <w:szCs w:val="20"/>
                <w:color w:val="auto"/>
              </w:rPr>
            </w:pPr>
            <w:r>
              <w:rPr>
                <w:rFonts w:ascii="Arial" w:cs="Arial" w:eastAsia="Arial" w:hAnsi="Arial"/>
                <w:sz w:val="18"/>
                <w:szCs w:val="18"/>
                <w:b w:val="1"/>
                <w:bCs w:val="1"/>
                <w:color w:val="auto"/>
              </w:rPr>
              <w:t>(16)%</w:t>
            </w: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614,703</w:t>
            </w:r>
          </w:p>
        </w:tc>
        <w:tc>
          <w:tcPr>
            <w:tcW w:w="380" w:type="dxa"/>
            <w:vAlign w:val="bottom"/>
            <w:vMerge w:val="continue"/>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91%</w:t>
            </w:r>
          </w:p>
        </w:tc>
        <w:tc>
          <w:tcPr>
            <w:tcW w:w="7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730,489</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60,391</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60,291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vMerge w:val="restart"/>
          </w:tcPr>
          <w:p>
            <w:pPr>
              <w:jc w:val="right"/>
              <w:ind w:right="72"/>
              <w:spacing w:after="0"/>
              <w:rPr>
                <w:sz w:val="20"/>
                <w:szCs w:val="20"/>
                <w:color w:val="auto"/>
              </w:rPr>
            </w:pPr>
            <w:r>
              <w:rPr>
                <w:rFonts w:ascii="Arial" w:cs="Arial" w:eastAsia="Arial" w:hAnsi="Arial"/>
                <w:sz w:val="18"/>
                <w:szCs w:val="18"/>
                <w:b w:val="1"/>
                <w:bCs w:val="1"/>
                <w:color w:val="auto"/>
              </w:rPr>
              <w:t>(15)%</w:t>
            </w: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675,094</w:t>
            </w:r>
          </w:p>
        </w:tc>
        <w:tc>
          <w:tcPr>
            <w:tcW w:w="380" w:type="dxa"/>
            <w:vAlign w:val="bottom"/>
            <w:vMerge w:val="continue"/>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7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790,780</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right"/>
        <w:ind w:left="5620" w:right="5620" w:hanging="5612"/>
        <w:spacing w:after="0" w:line="408" w:lineRule="auto"/>
        <w:tabs>
          <w:tab w:leader="none" w:pos="218"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sum of the individual percentages does not equal the total due to rounding. 32</w:t>
      </w:r>
    </w:p>
    <w:p>
      <w:pPr>
        <w:sectPr>
          <w:pgSz w:w="11900" w:h="16838" w:orient="portrait"/>
          <w:cols w:equalWidth="0" w:num="1">
            <w:col w:w="11420"/>
          </w:cols>
          <w:pgMar w:left="240" w:top="26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May 5, 2012</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April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Revenue</w:t>
            </w:r>
          </w:p>
        </w:tc>
        <w:tc>
          <w:tcPr>
            <w:tcW w:w="3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Revenue</w:t>
            </w:r>
          </w:p>
        </w:tc>
        <w:tc>
          <w:tcPr>
            <w:tcW w:w="94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Y/Y%</w:t>
            </w:r>
          </w:p>
        </w:tc>
        <w:tc>
          <w:tcPr>
            <w:tcW w:w="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585,173</w:t>
            </w:r>
          </w:p>
        </w:tc>
        <w:tc>
          <w:tcPr>
            <w:tcW w:w="380" w:type="dxa"/>
            <w:vAlign w:val="bottom"/>
            <w:tcBorders>
              <w:left w:val="single" w:sz="8" w:color="CCEEFF"/>
            </w:tcBorders>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682,954</w:t>
            </w:r>
          </w:p>
        </w:tc>
        <w:tc>
          <w:tcPr>
            <w:tcW w:w="3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342,269</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408,147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187,028</w:t>
            </w:r>
          </w:p>
        </w:tc>
        <w:tc>
          <w:tcPr>
            <w:tcW w:w="38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202,444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vMerge w:val="restart"/>
          </w:tcPr>
          <w:p>
            <w:pPr>
              <w:jc w:val="right"/>
              <w:ind w:right="272"/>
              <w:spacing w:after="0"/>
              <w:rPr>
                <w:sz w:val="20"/>
                <w:szCs w:val="20"/>
                <w:color w:val="auto"/>
              </w:rPr>
            </w:pPr>
            <w:r>
              <w:rPr>
                <w:rFonts w:ascii="Arial" w:cs="Arial" w:eastAsia="Arial" w:hAnsi="Arial"/>
                <w:sz w:val="18"/>
                <w:szCs w:val="18"/>
                <w:color w:val="auto"/>
              </w:rPr>
              <w:t>(14)%</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1,114,470</w:t>
            </w:r>
          </w:p>
        </w:tc>
        <w:tc>
          <w:tcPr>
            <w:tcW w:w="3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84%</w:t>
            </w:r>
          </w:p>
        </w:tc>
        <w:tc>
          <w:tcPr>
            <w:tcW w:w="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1,293,545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90,925</w:t>
            </w:r>
          </w:p>
        </w:tc>
        <w:tc>
          <w:tcPr>
            <w:tcW w:w="38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109,485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vMerge w:val="restart"/>
          </w:tcPr>
          <w:p>
            <w:pPr>
              <w:jc w:val="right"/>
              <w:ind w:right="232"/>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1,205,395</w:t>
            </w:r>
          </w:p>
        </w:tc>
        <w:tc>
          <w:tcPr>
            <w:tcW w:w="38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91%</w:t>
            </w:r>
          </w:p>
        </w:tc>
        <w:tc>
          <w:tcPr>
            <w:tcW w:w="9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1,403,030</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117,757</w:t>
            </w:r>
          </w:p>
        </w:tc>
        <w:tc>
          <w:tcPr>
            <w:tcW w:w="38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116,254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vMerge w:val="restart"/>
          </w:tcPr>
          <w:p>
            <w:pPr>
              <w:jc w:val="right"/>
              <w:ind w:right="232"/>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1,323,152</w:t>
            </w:r>
          </w:p>
        </w:tc>
        <w:tc>
          <w:tcPr>
            <w:tcW w:w="38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9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1,519,284</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0"/>
        <w:spacing w:after="0" w:line="268" w:lineRule="auto"/>
        <w:rPr>
          <w:sz w:val="20"/>
          <w:szCs w:val="20"/>
          <w:color w:val="auto"/>
        </w:rPr>
      </w:pPr>
      <w:r>
        <w:rPr>
          <w:rFonts w:ascii="Arial" w:cs="Arial" w:eastAsia="Arial" w:hAnsi="Arial"/>
          <w:sz w:val="18"/>
          <w:szCs w:val="18"/>
          <w:color w:val="auto"/>
        </w:rPr>
        <w:t>The year-to-year decrease in total revenue in the three- and six-month periods ended May 5, 2012 was primarily the result of a broad-based decrease in demand across most product categories.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During the second quarter of fiscal 2012 the Company revised its method for classifying revenue by geographic region to more accurately reflect the primary location of our customers’ design activity for our products. Prior periods have been reclassified to align with this definition. In general, the prior classification method reflected the customers’ manufacturing location or the distributors’ stocking territory. No changes have been made to the Company’s revenue recognition policy. Revenue by geographic region for the three- and six-month periods ended May 5, 2012 and April 30, 2011 was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4"/>
              </w:rPr>
              <w:t>Region</w:t>
            </w:r>
          </w:p>
        </w:tc>
        <w:tc>
          <w:tcPr>
            <w:tcW w:w="2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5"/>
              </w:rPr>
              <w:t>$ Change</w:t>
            </w:r>
          </w:p>
        </w:tc>
        <w:tc>
          <w:tcPr>
            <w:tcW w:w="90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880" w:type="dxa"/>
            <w:vAlign w:val="bottom"/>
          </w:tcPr>
          <w:p>
            <w:pPr>
              <w:spacing w:after="0"/>
              <w:rPr>
                <w:sz w:val="12"/>
                <w:szCs w:val="12"/>
                <w:color w:val="auto"/>
              </w:rPr>
            </w:pPr>
          </w:p>
        </w:tc>
        <w:tc>
          <w:tcPr>
            <w:tcW w:w="12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May 5, 2012</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April 30, 2011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191,548</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233,181</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(41,633)</w:t>
            </w:r>
          </w:p>
        </w:tc>
        <w:tc>
          <w:tcPr>
            <w:tcW w:w="4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28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Rest of North and South America</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30,392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(10,535)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217,195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267,228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86,687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91,423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(4,736)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Rest of Asia</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59,867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63,682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675,094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790,780</w:t>
            </w:r>
          </w:p>
        </w:tc>
        <w:tc>
          <w:tcPr>
            <w:tcW w:w="16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(115,686)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4"/>
              </w:rPr>
              <w:t>Region</w:t>
            </w:r>
          </w:p>
        </w:tc>
        <w:tc>
          <w:tcPr>
            <w:tcW w:w="2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5"/>
              </w:rPr>
              <w:t>$ Change</w:t>
            </w:r>
          </w:p>
        </w:tc>
        <w:tc>
          <w:tcPr>
            <w:tcW w:w="90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880" w:type="dxa"/>
            <w:vAlign w:val="bottom"/>
          </w:tcPr>
          <w:p>
            <w:pPr>
              <w:spacing w:after="0"/>
              <w:rPr>
                <w:sz w:val="12"/>
                <w:szCs w:val="12"/>
                <w:color w:val="auto"/>
              </w:rPr>
            </w:pPr>
          </w:p>
        </w:tc>
        <w:tc>
          <w:tcPr>
            <w:tcW w:w="12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May 5, 2012</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April 30, 2011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388,075</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440,647</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(52,572)</w:t>
            </w:r>
          </w:p>
        </w:tc>
        <w:tc>
          <w:tcPr>
            <w:tcW w:w="4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Rest of North and South America</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62,265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78,216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(15,951)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423,293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492,801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(69,508)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167,026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195,280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(28,254)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164,981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184,128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Rest of Asia</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117,512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128,212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(10,700)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1,323,152</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1"/>
              </w:rPr>
              <w:t>$</w:t>
            </w:r>
            <w:r>
              <w:rPr>
                <w:rFonts w:ascii="Arial" w:cs="Arial" w:eastAsia="Arial" w:hAnsi="Arial"/>
                <w:sz w:val="18"/>
                <w:szCs w:val="18"/>
                <w:b w:val="1"/>
                <w:bCs w:val="1"/>
                <w:color w:val="auto"/>
                <w:w w:val="81"/>
              </w:rPr>
              <w:t xml:space="preserve"> 1,519,284</w:t>
            </w:r>
          </w:p>
        </w:tc>
        <w:tc>
          <w:tcPr>
            <w:tcW w:w="16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(196,132)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three- and six-month periods ended May 5, 2012 and April 30,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Sales decreased in all regions in the three and six months ended May 5, 2012 as compared to the same periods of fiscal 2011. The most significant year-to-year decrease in sales by region occurred in Europe and the United States. These decreases were primarily in the communication, consumer and industrial end market sectors in these regions.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May 5, 2012</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April 30, 2011</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 Change</w:t>
            </w:r>
          </w:p>
        </w:tc>
        <w:tc>
          <w:tcPr>
            <w:tcW w:w="7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May 5, 2012</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April 30, 2011</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 Change</w:t>
            </w:r>
          </w:p>
        </w:tc>
        <w:tc>
          <w:tcPr>
            <w:tcW w:w="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$ 440,455</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534,214</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(93,759)</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$ 849,845</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$ 1,016,387</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$(166,542)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Gross margin %</w:t>
            </w:r>
          </w:p>
        </w:tc>
        <w:tc>
          <w:tcPr>
            <w:tcW w:w="2220" w:type="dxa"/>
            <w:vAlign w:val="bottom"/>
            <w:gridSpan w:val="3"/>
          </w:tcPr>
          <w:p>
            <w:pPr>
              <w:jc w:val="right"/>
              <w:ind w:right="220"/>
              <w:spacing w:after="0"/>
              <w:rPr>
                <w:sz w:val="20"/>
                <w:szCs w:val="20"/>
                <w:color w:val="auto"/>
              </w:rPr>
            </w:pPr>
            <w:r>
              <w:rPr>
                <w:rFonts w:ascii="Arial" w:cs="Arial" w:eastAsia="Arial" w:hAnsi="Arial"/>
                <w:sz w:val="18"/>
                <w:szCs w:val="18"/>
                <w:color w:val="auto"/>
              </w:rPr>
              <w:t>65.2%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64.2%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Gross margin percentage was lower by 240 and 270 basis points in the three and six months ended May 5, 2012, respectively, as compared to the three and six months ended April 30, 2011, respectively, primarily as a result of decreased operating levels in our manufacturing facilities as well as a reduced percentage of sales of our products sold into the industrial automation and instrumentation sectors of the industrial end market and the wireless base station sector of the communications end market, which earn higher margins as compared to products sold into our other end market sectors.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May 5, 2012</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8"/>
              </w:rPr>
              <w:t>April 30, 2011</w:t>
            </w:r>
          </w:p>
        </w:tc>
        <w:tc>
          <w:tcPr>
            <w:tcW w:w="4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82"/>
              </w:rPr>
              <w:t>$ Change</w:t>
            </w:r>
          </w:p>
        </w:tc>
        <w:tc>
          <w:tcPr>
            <w:tcW w:w="34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May 5, 2012</w:t>
            </w: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April 30, 2011</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R&amp;D expenses</w:t>
            </w: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$ 127,537</w:t>
            </w:r>
          </w:p>
        </w:tc>
        <w:tc>
          <w:tcPr>
            <w:tcW w:w="4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130,460</w:t>
            </w:r>
          </w:p>
        </w:tc>
        <w:tc>
          <w:tcPr>
            <w:tcW w:w="4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0"/>
              </w:rPr>
              <w:t>$(2,923)</w:t>
            </w:r>
          </w:p>
        </w:tc>
        <w:tc>
          <w:tcPr>
            <w:tcW w:w="3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$ 251,915</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253,205</w:t>
            </w:r>
          </w:p>
        </w:tc>
        <w:tc>
          <w:tcPr>
            <w:tcW w:w="4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0"/>
              </w:rPr>
              <w:t>$(1,290)</w:t>
            </w:r>
          </w:p>
        </w:tc>
        <w:tc>
          <w:tcPr>
            <w:tcW w:w="34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18.9%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19.0%</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16.7%</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R&amp;D expenses in the three months ended May 5, 2012 decreased slightly as compared to the same period of fiscal 2011 as lower variable compensation expense, which is a variable expense linked to our overall profitability and revenue growth, was partially offset by annual salary increases that became effective during the latter half of the second quarter of fiscal 2012 and a general increase in spending.</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R&amp;D expenses in the six months ended May 5, 2012 remained flat as compared to the same period of fiscal 2011 as lower variable compensation expense, which is a variable expense linked to our overall profitability and revenue growth, was offset by annual salary increases that became effective during the latter half of the second quarter of fiscal 2012 and an additional week of operations in the first quarter of fiscal 2012.</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May 5, 2012</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8"/>
              </w:rPr>
              <w:t>April 30, 2011</w:t>
            </w:r>
          </w:p>
        </w:tc>
        <w:tc>
          <w:tcPr>
            <w:tcW w:w="4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82"/>
              </w:rPr>
              <w:t>$ Change</w:t>
            </w:r>
          </w:p>
        </w:tc>
        <w:tc>
          <w:tcPr>
            <w:tcW w:w="34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May 5, 2012</w:t>
            </w: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April 30, 2011</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SMG&amp;A expenses</w:t>
            </w: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99,992</w:t>
            </w:r>
          </w:p>
        </w:tc>
        <w:tc>
          <w:tcPr>
            <w:tcW w:w="4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105,268</w:t>
            </w:r>
          </w:p>
        </w:tc>
        <w:tc>
          <w:tcPr>
            <w:tcW w:w="4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0"/>
              </w:rPr>
              <w:t>$(5,276)</w:t>
            </w:r>
          </w:p>
        </w:tc>
        <w:tc>
          <w:tcPr>
            <w:tcW w:w="3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$ 199,037</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205,290</w:t>
            </w:r>
          </w:p>
        </w:tc>
        <w:tc>
          <w:tcPr>
            <w:tcW w:w="4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0"/>
              </w:rPr>
              <w:t>$(6,253)</w:t>
            </w:r>
          </w:p>
        </w:tc>
        <w:tc>
          <w:tcPr>
            <w:tcW w:w="34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w w:val="98"/>
              </w:rPr>
              <w:t>SMG&amp;A expenses as a % of revenue</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14.8%</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15.0%</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SMG&amp;A expenses in the three months ended May 5, 2012 decreased as compared to the same period of fiscal 2011 as lower variable compensation, which is a variable expense linked to our overall profitability and revenue growth, was partially offset by annual salary increases that became effective during the latter half of the second quarter of fiscal 2012.</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SMG&amp;A expenses in the six months ended May 5, 2012 decreased slightly as compared to the same period of fiscal 2011 as lower variable compensation, which is a variable expense linked to our overall profitability and revenue growth, was partially offset by annual salary increases that became effective during the latter half of the second quarter of fiscal 2012 and an additional week of operations in the first quarter of fiscal 2012.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Charges – Reduction of Operating Costs</w:t>
      </w:r>
    </w:p>
    <w:p>
      <w:pPr>
        <w:spacing w:after="0" w:line="90"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and better alignment of expenses with revenues. As a result of these assessments, we have undertaken various restructuring actions over the past several years. These reductions relating to ongoing actions are described below.</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fiscal 2008 through fiscal 2010, we recorded special charges of approximately $43.3 million. These special charges included: $39.1 million for severance and fringe benefit costs in accordance with our ongoing benefit plan or statutory requirements at foreign locations for 245 manufacturing employees and 470 engineering and SMG&amp;A employees; $2.1 million for lease obligation costs for facilities that we ceased using during the first quarter of fiscal 2009; $0.8 million for the write-off of property, plant and equipment; $0.5 million for contract termination costs; $0.3 million for clean-up and closure costs that we expensed as incurred; and $0.5 million related to the impairment of intellectual property. This action resulted in annual cost savings of approximately $52 million per year. We have terminated the employment of all employees associated with these actions, and we are paying amounts owed to them as income continuance.</w:t>
      </w:r>
    </w:p>
    <w:p>
      <w:pPr>
        <w:spacing w:after="0" w:line="12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During fiscal 2011, we recorded a special charge of approximately $2.2 million. This special charge was for severance and fringe benefit costs in accordance with our ongoing benefit plan or statutory requirements at foreign locations for 25 engineering and SMG&amp;A employees. As of May 5, 2012, we employed 3 of the 25 employees included in this cost reduction action. These employees must continue to be employed by us until their employment is involuntarily terminated in order to receive the severance benefit. We estimate this action will result in annual savings in SMG&amp;A expenses of approximately $4 million once fully implemented.</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first quarter of fiscal 2012, we recorded a special charge of approximately $2.6 million. The special charge included $2.5 million for severance and fringe benefit costs in accordance with our ongoing benefit plan or statutory requirements at foreign locations for 34 manufacturing, engineering and SMG&amp;A employees and $0.1 million for contract termination costs. We terminated the employment of all employees associated with these actions, and we are paying amounts owed to them as income continuance. We estimate this action will result in annual savings in SMG&amp;A expenses of approximately $4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May 5, 2012</w:t>
            </w:r>
          </w:p>
        </w:tc>
        <w:tc>
          <w:tcPr>
            <w:tcW w:w="10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April 30, 2011</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 Change</w:t>
            </w:r>
          </w:p>
        </w:tc>
        <w:tc>
          <w:tcPr>
            <w:tcW w:w="860" w:type="dxa"/>
            <w:vAlign w:val="bottom"/>
            <w:gridSpan w:val="2"/>
          </w:tcPr>
          <w:p>
            <w:pPr>
              <w:jc w:val="center"/>
              <w:ind w:right="312"/>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May 5, 2012</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April 30, 2011</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 Change</w:t>
            </w:r>
          </w:p>
        </w:tc>
        <w:tc>
          <w:tcPr>
            <w:tcW w:w="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Operating income from continuing operations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$ 212,926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298,486</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(85,560)</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tcBorders>
              <w:top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$ 396,298</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557,892</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$(161,594)</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380" w:type="dxa"/>
            <w:vAlign w:val="bottom"/>
          </w:tcPr>
          <w:p>
            <w:pPr>
              <w:spacing w:after="0"/>
              <w:rPr>
                <w:sz w:val="20"/>
                <w:szCs w:val="20"/>
                <w:color w:val="auto"/>
              </w:rPr>
            </w:pPr>
            <w:r>
              <w:rPr>
                <w:rFonts w:ascii="Arial" w:cs="Arial" w:eastAsia="Arial" w:hAnsi="Arial"/>
                <w:sz w:val="18"/>
                <w:szCs w:val="18"/>
                <w:color w:val="auto"/>
                <w:w w:val="93"/>
              </w:rPr>
              <w:t>Operating income from continuing operations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220"/>
              <w:spacing w:after="0"/>
              <w:rPr>
                <w:sz w:val="20"/>
                <w:szCs w:val="20"/>
                <w:color w:val="auto"/>
              </w:rPr>
            </w:pPr>
            <w:r>
              <w:rPr>
                <w:rFonts w:ascii="Arial" w:cs="Arial" w:eastAsia="Arial" w:hAnsi="Arial"/>
                <w:sz w:val="18"/>
                <w:szCs w:val="18"/>
                <w:color w:val="auto"/>
              </w:rPr>
              <w:t>as a % of revenue</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37.7%</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year-over-year decrease in operating income from continuing operations in the second quarter of fiscal 2012 was primarily the result of a decrease in revenue of $115.7 million and a 240 basis point decrease in gross margin percentage. This decrease in operating income from continuing operations was partially offset by a decrease in R&amp;D and SMG&amp;A expenses as more fully described above under the headings Research and Development and Selling, Marketing, General and Administrative.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year-over-year decrease in operating income from continuing operations in the six months ended May 5, 2012 was primarily the result of a decrease in revenue of $196.1 million, a 270 basis point decrease in gross margin percentage and a $2.6 million special charge recorded in the first quarter of fiscal 2012 as more fully described above under the heading Special Charges—Reduction of Operating Costs. This decrease in operating income from continuing operations was partially offset by a decrease in R&amp;D and SMG&amp;A expenses as more fully described above under the headings Research and Development and Selling, Marketing, General and Administrative.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Nonoperating (Income)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2"/>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May 5, 2012</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April 30, 2011</w:t>
            </w:r>
          </w:p>
        </w:tc>
        <w:tc>
          <w:tcPr>
            <w:tcW w:w="4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5, 2012</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April 30, 2011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2,812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13,572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$ 6,664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(3,967)</w:t>
            </w:r>
          </w:p>
        </w:tc>
        <w:tc>
          <w:tcPr>
            <w:tcW w:w="2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(1,770)</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(4,482)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(1,300)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Total nonoperating (income) expense</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2"/>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3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1,730</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4,758</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2,316</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$ 2,442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The year-over-year increase in interest expense in the second quarter of fiscal 2012 was primarily the result of the issuance of $375 million aggregate principal amount of 3.0% senior unsecured notes on April 4, 2011 and to a lesser extent the impact of the termination of our interest rate swap agreement more fully described below under the heading </w:t>
      </w:r>
      <w:r>
        <w:rPr>
          <w:rFonts w:ascii="Arial" w:cs="Arial" w:eastAsia="Arial" w:hAnsi="Arial"/>
          <w:sz w:val="16"/>
          <w:szCs w:val="16"/>
          <w:i w:val="1"/>
          <w:iCs w:val="1"/>
          <w:color w:val="auto"/>
        </w:rPr>
        <w:t>Debt</w:t>
      </w:r>
      <w:r>
        <w:rPr>
          <w:rFonts w:ascii="Arial" w:cs="Arial" w:eastAsia="Arial" w:hAnsi="Arial"/>
          <w:sz w:val="16"/>
          <w:szCs w:val="16"/>
          <w:color w:val="auto"/>
        </w:rPr>
        <w:t>. These increases were partially offset by an increase in interest income due to higher interest rates and the investment of higher cash balances in the second quarter of fiscal 2012 as compared to the second quarter of fiscal 2011 and an increase in other income as a result of the gain from the sale of other investments in the second quarter of fiscal 2012.</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The year-over-year increase in interest expense in the six months ended May 5, 2012 was primarily a result of the issuance of $375 million aggregate principal amount of 3.0% senior unsecured notes on April 4, 2011 and the $145 million term loan facility we entered into through a wholly owned subsidiary in December 2010 and to a lesser extent the impact of the termination of our interest rate swap agreement more fully described below under the heading </w:t>
      </w:r>
      <w:r>
        <w:rPr>
          <w:rFonts w:ascii="Arial" w:cs="Arial" w:eastAsia="Arial" w:hAnsi="Arial"/>
          <w:sz w:val="18"/>
          <w:szCs w:val="18"/>
          <w:i w:val="1"/>
          <w:iCs w:val="1"/>
          <w:color w:val="auto"/>
        </w:rPr>
        <w:t>Debt</w:t>
      </w:r>
      <w:r>
        <w:rPr>
          <w:rFonts w:ascii="Arial" w:cs="Arial" w:eastAsia="Arial" w:hAnsi="Arial"/>
          <w:sz w:val="18"/>
          <w:szCs w:val="18"/>
          <w:color w:val="auto"/>
        </w:rPr>
        <w:t>. These increases were partially offset by an increase in interest income due to higher interest rates and the investment of higher cash balances in the first six months of fiscal 2012 as compared to the first six months of fiscal 2011 and an increase in other income as a result of the gain from the sale of other investments in the second quarter of fiscal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7"/>
              </w:rPr>
              <w:t>May 5, 2012</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April 30, 2011</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7"/>
              </w:rPr>
              <w:t>May 5, 2012</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April 30, 2011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48,555</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54,930</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$(6,375)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89,259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98,144</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$(8,885)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680" w:type="dxa"/>
            <w:vAlign w:val="bottom"/>
            <w:gridSpan w:val="3"/>
          </w:tcPr>
          <w:p>
            <w:pPr>
              <w:jc w:val="right"/>
              <w:ind w:right="320"/>
              <w:spacing w:after="0"/>
              <w:rPr>
                <w:sz w:val="20"/>
                <w:szCs w:val="20"/>
                <w:color w:val="auto"/>
              </w:rPr>
            </w:pPr>
            <w:r>
              <w:rPr>
                <w:rFonts w:ascii="Arial" w:cs="Arial" w:eastAsia="Arial" w:hAnsi="Arial"/>
                <w:sz w:val="18"/>
                <w:szCs w:val="18"/>
                <w:color w:val="auto"/>
              </w:rPr>
              <w:t>23.0%</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22.8%</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increase in our effective tax rate for the second quarter of fiscal 2012 compared to the second quarter of fiscal 2011 was primarily due to the impact of discrete tax items. The provision for income taxes for the second quarter of fiscal 2011 included favorable discrete tax items related to the settlement with the Appellate Division of the Internal Revenue Service of certain tax matters for the fiscal 2004 through fiscal 2007 tax years which resulted in lowering our effective tax rate by approximately 4%. The provision for income taxes for the second quarter of fiscal 2012 did not include the benefit of these discrete tax items. In addition, our effective tax rate for the second quarter of fiscal 2011 included a benefit related to the application of the U.S. federal research and development tax credit. This credit expired in December 2011 and therefore was not available in the second quarter of fiscal 2012.</w:t>
      </w:r>
    </w:p>
    <w:p>
      <w:pPr>
        <w:spacing w:after="0" w:line="12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increase in our effective tax rate for the first six months of fiscal 2012 compared to the first six months of fiscal 2011 was primarily due to the impact of discrete tax items. The provision for income taxes for the second quarter of fiscal 2011 included favorable discrete tax items which resulted in lowering our effective tax rate by approximately 4%. These items consisted of $6 million related to the reinstatement of the federal R&amp;D tax credit in December 2010 retroactive to January 1, 2010, a $7 million reduction in the state tax credits valuation reserve, a $0.5 million tax benefit from the increase in Irish deferred taxes as a result of the increase in the Irish manufacturing tax rate from 10% to 12.5% and a net $10.8 million tax benefit related to the settlement with the Appellate Division of the Internal Revenue Service of certain tax matters for the fiscal 2004 through fiscal 2007 tax years. The provision for income taxes for the second quarter of fiscal 2012 did not include the benefit of these discrete tax items. In addition, our effective tax rate for the first six months of fiscal 2011 included a benefit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7" w:name="page38"/>
    <w:bookmarkEnd w:id="37"/>
    <w:p>
      <w:pPr>
        <w:ind w:right="2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to the application of the U.S. federal research and development tax credit. This credit expired in December 2011 and therefore was only available for two months of the first six months of fiscal 2012. The provision for the first six months of fiscal 2012 included $1.5 million of tax expense related to the write-off of deferred tax assets for share-based compensation, which consequently increased the effective tax rate by approximately 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our effective tax rate, excluding discrete tax items, to be approximately 22.4% for the remainder of fiscal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May 5, 2012</w:t>
            </w:r>
          </w:p>
        </w:tc>
        <w:tc>
          <w:tcPr>
            <w:tcW w:w="1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April 30, 2011</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 Change</w:t>
            </w:r>
          </w:p>
        </w:tc>
        <w:tc>
          <w:tcPr>
            <w:tcW w:w="860" w:type="dxa"/>
            <w:vAlign w:val="bottom"/>
            <w:gridSpan w:val="2"/>
          </w:tcPr>
          <w:p>
            <w:pPr>
              <w:jc w:val="center"/>
              <w:ind w:right="312"/>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May 5, 2012</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April 30, 2011</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 Change</w:t>
            </w:r>
          </w:p>
        </w:tc>
        <w:tc>
          <w:tcPr>
            <w:tcW w:w="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Income from continuing operations, net of tax</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162,899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241,826</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(78,927)</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tcBorders>
              <w:top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302,281</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457,432</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$(155,151)</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20"/>
                <w:szCs w:val="20"/>
                <w:color w:val="auto"/>
              </w:rPr>
            </w:pPr>
            <w:r>
              <w:rPr>
                <w:rFonts w:ascii="Arial" w:cs="Arial" w:eastAsia="Arial" w:hAnsi="Arial"/>
                <w:sz w:val="18"/>
                <w:szCs w:val="18"/>
                <w:color w:val="auto"/>
                <w:w w:val="93"/>
              </w:rPr>
              <w:t>Income from continuing operations, net of tax,</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220"/>
              <w:spacing w:after="0"/>
              <w:rPr>
                <w:sz w:val="20"/>
                <w:szCs w:val="20"/>
                <w:color w:val="auto"/>
              </w:rPr>
            </w:pPr>
            <w:r>
              <w:rPr>
                <w:rFonts w:ascii="Arial" w:cs="Arial" w:eastAsia="Arial" w:hAnsi="Arial"/>
                <w:sz w:val="18"/>
                <w:szCs w:val="18"/>
                <w:color w:val="auto"/>
              </w:rPr>
              <w:t>as a % of revenue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year-over-year decrease in net income from continuing operations in the second quarter of fiscal 2012 was primarily a result of the $85.6 million decrease in operating income from continuing operations offset by a lower provision for income taxes in the second quarter of 2012.</w:t>
      </w:r>
    </w:p>
    <w:p>
      <w:pPr>
        <w:spacing w:after="0" w:line="8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year-over-year decrease in net income from continuing operations in the six months ended May 5, 2012 was primarily a result of the $161.6 million decrease in operating income from continuing operations offset by lower provision for income taxes in the first six months of fiscal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700" w:type="dxa"/>
            <w:vAlign w:val="bottom"/>
            <w:gridSpan w:val="4"/>
          </w:tcPr>
          <w:p>
            <w:pPr>
              <w:jc w:val="center"/>
              <w:ind w:left="1342"/>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5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April 30, 2011</w:t>
            </w:r>
          </w:p>
        </w:tc>
      </w:tr>
      <w:tr>
        <w:trPr>
          <w:trHeight w:val="210"/>
        </w:trPr>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on sale of discontinued operations, net of tax</w:t>
            </w:r>
          </w:p>
        </w:tc>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Diluted EPS from discontinued operations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sold our Baseband Chipset Business to MediaTek Inc. during the first quarter of fiscal 2008. Accordingly, we have presented the results of the operations of this business as discontinued operations within our condensed consolidated financial statements. In fiscal 2011, additional proceeds of $10 million were released from escrow and $6.5 million net of tax was recorded as additional gain from the sale of discontinued operations. We do not expect any additional proceeds from this sale.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our actual results may differ materially as a result of, among other things, the important factors contained in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planning for revenue in the third quarter of fiscal 2012 to increase by approximately 1% to 4% from the second quarter of fiscal 2012. Our plan is for gross margin for the third quarter of fiscal 2012 to increase by approximately 50 basis points from the second quarter of fiscal 2012 and for operating expenses to be approximately $231 million. As a result, we are planning for diluted earnings per share from continuing operations to be in the range of $0.54 to $0.58 in the third quarter of fiscal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May 5, 2012, our principal source of liquidity was $3,752.6 million of cash and cash equivalents and short-term investments, of which approximately $1,085.9 million was held in the United States. The balance of our cash and cash equivalents and short-term investments was held outside the United States in various foreign subsidiaries. As we intend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8" w:name="page39"/>
    <w:bookmarkEnd w:id="3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reinvest certain of our foreign earnings indefinitely, this cash held outside the United States is not available to meet certain of our cash requirements in the United States, including for cash dividends and common stock repurchases. Our cash and cash equivalents consist of highly liquid investments with maturities of three months or less at the time of acquisition and our short-term investments consist primarily of liquid money market funds and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ectPr>
          <w:pgSz w:w="11900" w:h="16838" w:orient="portrait"/>
          <w:cols w:equalWidth="0" w:num="1">
            <w:col w:w="11360"/>
          </w:cols>
          <w:pgMar w:left="240" w:top="280" w:right="29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cash provided by operations as a % of</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gridSpan w:val="4"/>
          </w:tcPr>
          <w:p>
            <w:pPr>
              <w:ind w:left="56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May 5, 2012</w:t>
            </w:r>
          </w:p>
        </w:tc>
        <w:tc>
          <w:tcPr>
            <w:tcW w:w="8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April 30, 2011</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2"/>
              </w:rPr>
              <w:t>$ 440,780</w:t>
            </w:r>
          </w:p>
        </w:tc>
        <w:tc>
          <w:tcPr>
            <w:tcW w:w="70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3"/>
              </w:rPr>
              <w:t>$  413,389</w:t>
            </w:r>
          </w:p>
        </w:tc>
        <w:tc>
          <w:tcPr>
            <w:tcW w:w="3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$27,391</w:t>
            </w:r>
          </w:p>
        </w:tc>
        <w:tc>
          <w:tcPr>
            <w:tcW w:w="600" w:type="dxa"/>
            <w:vAlign w:val="bottom"/>
            <w:vMerge w:val="continue"/>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-149225</wp:posOffset>
            </wp:positionV>
            <wp:extent cx="666369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95" w:lineRule="exact"/>
        <w:rPr>
          <w:sz w:val="20"/>
          <w:szCs w:val="20"/>
          <w:color w:val="auto"/>
        </w:rPr>
      </w:pPr>
    </w:p>
    <w:p>
      <w:pPr>
        <w:ind w:left="400"/>
        <w:spacing w:after="0"/>
        <w:tabs>
          <w:tab w:leader="none" w:pos="190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5"/>
          <w:szCs w:val="15"/>
          <w:color w:val="auto"/>
        </w:rPr>
        <w:t>27.2%</w:t>
      </w:r>
    </w:p>
    <w:p>
      <w:pPr>
        <w:spacing w:after="0" w:line="171" w:lineRule="exact"/>
        <w:rPr>
          <w:sz w:val="20"/>
          <w:szCs w:val="20"/>
          <w:color w:val="auto"/>
        </w:rPr>
      </w:pPr>
    </w:p>
    <w:p>
      <w:pPr>
        <w:sectPr>
          <w:pgSz w:w="11900" w:h="16838" w:orient="portrait"/>
          <w:cols w:equalWidth="0" w:num="2">
            <w:col w:w="5320" w:space="720"/>
            <w:col w:w="5320"/>
          </w:cols>
          <w:pgMar w:left="240" w:top="280" w:right="299" w:bottom="1440" w:gutter="0" w:footer="0" w:header="0"/>
          <w:type w:val="continuous"/>
        </w:sectPr>
      </w:pPr>
    </w:p>
    <w:p>
      <w:pPr>
        <w:ind w:right="20" w:firstLine="456"/>
        <w:spacing w:after="0" w:line="284" w:lineRule="auto"/>
        <w:rPr>
          <w:sz w:val="20"/>
          <w:szCs w:val="20"/>
          <w:color w:val="auto"/>
        </w:rPr>
      </w:pPr>
      <w:r>
        <w:rPr>
          <w:rFonts w:ascii="Arial" w:cs="Arial" w:eastAsia="Arial" w:hAnsi="Arial"/>
          <w:sz w:val="16"/>
          <w:szCs w:val="16"/>
          <w:color w:val="auto"/>
        </w:rPr>
        <w:t>At May 5, 2012, cash and cash equivalents totaled $695.1 million. The primary sources of funds for the first six months of fiscal 2012 were net cash generated from operating activities of $440.8 million. In addition, we received $87.4 million in net proceeds from employee stock option exercises. The principal uses of funds for the first six months of fiscal 2012 were the repurchase of approximately 3.2 million shares of our common stock for an aggregate of</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$122.4 million, dividend payments of $163.8 million, principal payments of $19.3 million related to our $145 million term loan facility, additions to property, plant and equipment of $55.4 million and payments of $24.2 million for the acquisition of Multigig. In addition, we paid $871.3 million for the net purchase of available-for-sale short term investments. These factors contributed to the net decrease in cash and cash equivalents of $710.0 million in the first six months of fiscal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May 5, 2012</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October 29, 2011</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5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$ 330,282</w:t>
            </w:r>
          </w:p>
        </w:tc>
        <w:tc>
          <w:tcPr>
            <w:tcW w:w="6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348,416</w:t>
            </w:r>
          </w:p>
        </w:tc>
        <w:tc>
          <w:tcPr>
            <w:tcW w:w="3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 (18,134)</w:t>
            </w:r>
          </w:p>
        </w:tc>
        <w:tc>
          <w:tcPr>
            <w:tcW w:w="6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Days sales outstanding</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$ 303,742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295,081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decrease in accounts receivable was primarily the result of lower revenue in the final month of the second quarter of fiscal 2012 compared to the final month of the fourth quarter of fiscal 2011. Days sales outstanding increased as a result of higher product shipments in the final month of the second quarter of fiscal 2012 compared to the final month of the fourth quarter of fiscal 2011.</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Inventory as of May 5, 2012 increased slightly as compared to the end of the fourth quarter of fiscal 2011 as a result of an increase in manufacturing production to support anticipated higher sales demand. Days cost of sales in inventory increased primarily due to lower manufacturing costs as a result of decreased production, which resulted in cost of sales decreasing 8% from the fourth quarter of fiscal 2011 to the second quarter of fiscal 2012 while inventory levels increased by 3% for the same period.</w:t>
      </w:r>
    </w:p>
    <w:p>
      <w:pPr>
        <w:spacing w:after="0" w:line="143"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Current liabilities increased to $558.6 million at May 5, 2012, an increase of $33.6 million, or 6%, from $525.0 million at the end of fiscal 2011. This increase was primarily due to an increase in income taxes payable as a result of an increase in our effective tax rate from the fourth quarter of fiscal 2011, an increase in accounts payable and an increase in deferred income on shipments to distributors, net, which is more fully described below. These decreases were partially offset by a decrease in accrued liabilities primarily as a result of lower variable compensation expense.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80" w:right="299" w:bottom="1440" w:gutter="0" w:footer="0" w:header="0"/>
          <w:type w:val="continuous"/>
        </w:sectPr>
      </w:pPr>
    </w:p>
    <w:bookmarkStart w:id="39" w:name="page40"/>
    <w:bookmarkEnd w:id="39"/>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May 5, 2012 and October 29, 2011, we had gross deferred revenue of $311.6 million and $309.6 million, respectively, and gross deferred cost of sales of $67.5 million and $76.4 million, respectively. Deferred income on shipments to distributors increased by approximately $10.9 million in the first six months of fiscal 2012 as a result of our shipments to our distributors exceeding the distributors’ sales to their customers during the same time period.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May 5, 2012 we had $862.5 million in debt outstanding, of which $14.5 million was current. Our debt obligations consist of the following: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$375 million aggregate principal amount of 5.0% senior unsecured notes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June 30, 2009, we issued $375 million aggregate principal amount of 5.0% senior unsecured notes due July 1, 2014 (the 5.0% Notes) with semi-annual fixed interest payments due on January 1 and July 1 of each year, commencing January 1, 2010. We swapped the fixed interest portion of these notes for a variable interest rate based on the three-month LIBOR plus 2.05%. The variable interest payments based on the variable annual rate are payable quarterly. The LIBOR based rate is set quarterly three months prior to the date of the interest payment. In the second quarter of fiscal 2012, we terminated the interest rate swap agreement. We received $19.8 million in cash proceeds from the swap termination, which included $1.3 million in accrued interest. The proceeds, net of interest received, are disclosed in cash flows from financing activities in the consolidated statements of cash flows. As a result of the termination the carrying value of the 5% Notes was adjusted for the change in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the consolidated statements of cash flows within operating activities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$145 million term loan facility</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December 22, 2010, Analog Devices Holdings B.V., our wholly owned subsidiary entered into a credit agreement with Bank of America, N.A., London Branch as administrative agent. The credit agreement provides for a $145 million term loan facility, which matures on December 22, 2013. We have guaranteed the borrower’s obligations. The terms of the agreement provide for a three-year principal amortization schedule with $3.6 million payable quarterly every March, June, September and December with the balance payable upon the maturity date.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$375 million aggregate principal amount of 3.0% senior unsecured notes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April 4, 2011, we issued $375 million aggregate principal amount of 3.0% senior unsecured notes due April 15, 2016 (the 3.0% Notes) with semi-annual fixed interest payments due on April 15 and October 15 of each year, commencing October 15, 2011.</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indenture governing the 5.0% Notes and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5, 2012, we were compliant with these covenants. The terms of the $145 million term loan facility include limitations on subsidiary indebtedness and on liens against our assets and the assets of our subsidiaries, and also include financial covenants that require us to maintain a minimum interest coverage ratio and not exceed a maximum leverage ratio. As of May 5, 2012, we were compliant with these covenants. See Note 13, Debt</w:t>
      </w:r>
      <w:r>
        <w:rPr>
          <w:rFonts w:ascii="Arial" w:cs="Arial" w:eastAsia="Arial" w:hAnsi="Arial"/>
          <w:sz w:val="16"/>
          <w:szCs w:val="16"/>
          <w:i w:val="1"/>
          <w:iCs w:val="1"/>
          <w:color w:val="auto"/>
        </w:rPr>
        <w:t>,</w:t>
      </w:r>
      <w:r>
        <w:rPr>
          <w:rFonts w:ascii="Arial" w:cs="Arial" w:eastAsia="Arial" w:hAnsi="Arial"/>
          <w:sz w:val="16"/>
          <w:szCs w:val="16"/>
          <w:color w:val="auto"/>
        </w:rPr>
        <w:t xml:space="preserve"> of the Notes to our Condensed Consolidated Financial Statements contained in Item 1 of this Quarterly Report on Form 10-Q for further information on our outstanding debt.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Revolving Credit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0" w:name="page41"/>
    <w:bookmarkEnd w:id="40"/>
    <w:p>
      <w:pPr>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 five-year $165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 working capital and other lawful corporate purposes. The terms of this facility also include financial covenants that require us to maintain a minimum interest coverage ratio and not exceed a maximum leverage ratio. As of May 5, 2012, we were compliant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common stock repurchase program has been in place since August 2004. In the aggregate, our Board of Directors has authorized us to repurchase $5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May 5, 2012, we had repurchased a total of approximately 128.2 million shares of our common stock for approximately $4,400.9 million under this program. As of May 5, 2012, an additional $599.1 million worth of shares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Net additions to property, plant and equipment were $55.4 million in the first six months of fiscal 2012 and were funded with a combination of cash on hand and cash generated from operations. We expect capital expenditures to be approximately $140 million in fiscal 2012 to be used primarily in our manufacturing facilities and to be funded with a combination of cash on hand and cash generated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May 21, 2012, our Board of Directors declared a cash dividend of $0.30 per outstanding share of common stock. The dividend will be paid on June 12, 2012 to all shareholders of record at the close of business on June 1, 2012 and is expected to total approximately $89.5 million. We currently expect quarterly dividends to continue at $0.30 per share, although they remain subject to determination and declaration by our Board of Directors. The payment of future dividends, if any, will be based on several factors, including our financial performance, outlook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the second quarter of fiscal 2012, we terminated our interest rate swap agreement related to our outstanding 5.0% senior unsecured notes. As a result of the termination, the amounts previously reflected as “payments due under interest rate swap agreements” in the contractual obligations table contained in the section entitled “Management’s Discussion and Analysis of Financial Condition and Results of Operations” of our Annual Report on Form 10-K for the fiscal year ended October 29, 2011 are no longer due.</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first quarter of fiscal 2012, we entered into non-cancelable license obligations to providers of electronic design automation software and software maintenance used in the development of our products. The following amounts will be due under the agreements and were not previously reflected in the contractual obligations table contained in the section entitled “Management’s Discussion and Analysis of Financial Condition and Results of Operations” of our Annual Report on Form 10-K for the fiscal year ended October 29,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Payment due by period</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7"/>
              </w:rPr>
              <w:t>(thousands)</w:t>
            </w:r>
          </w:p>
        </w:tc>
        <w:tc>
          <w:tcPr>
            <w:tcW w:w="608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5"/>
              </w:rPr>
              <w:t>Less than</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080" w:type="dxa"/>
            <w:vAlign w:val="bottom"/>
            <w:vMerge w:val="continue"/>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6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1 Year</w:t>
            </w:r>
          </w:p>
        </w:tc>
        <w:tc>
          <w:tcPr>
            <w:tcW w:w="400" w:type="dxa"/>
            <w:vAlign w:val="bottom"/>
          </w:tcPr>
          <w:p>
            <w:pPr>
              <w:spacing w:after="0"/>
              <w:rPr>
                <w:sz w:val="14"/>
                <w:szCs w:val="14"/>
                <w:color w:val="auto"/>
              </w:rPr>
            </w:pP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1-3 Years</w:t>
            </w:r>
          </w:p>
        </w:tc>
        <w:tc>
          <w:tcPr>
            <w:tcW w:w="20" w:type="dxa"/>
            <w:vAlign w:val="bottom"/>
          </w:tcPr>
          <w:p>
            <w:pPr>
              <w:spacing w:after="0"/>
              <w:rPr>
                <w:sz w:val="14"/>
                <w:szCs w:val="14"/>
                <w:color w:val="auto"/>
              </w:rPr>
            </w:pPr>
          </w:p>
        </w:tc>
        <w:tc>
          <w:tcPr>
            <w:tcW w:w="9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0"/>
        </w:trPr>
        <w:tc>
          <w:tcPr>
            <w:tcW w:w="6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Contractual obligations:</w:t>
            </w: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$44,910</w:t>
            </w:r>
          </w:p>
        </w:tc>
        <w:tc>
          <w:tcPr>
            <w:tcW w:w="10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$12,887</w:t>
            </w:r>
          </w:p>
        </w:tc>
        <w:tc>
          <w:tcPr>
            <w:tcW w:w="980" w:type="dxa"/>
            <w:vAlign w:val="bottom"/>
            <w:gridSpan w:val="2"/>
          </w:tcPr>
          <w:p>
            <w:pPr>
              <w:jc w:val="center"/>
              <w:ind w:left="322"/>
              <w:spacing w:after="0"/>
              <w:rPr>
                <w:sz w:val="20"/>
                <w:szCs w:val="20"/>
                <w:color w:val="auto"/>
              </w:rPr>
            </w:pPr>
            <w:r>
              <w:rPr>
                <w:rFonts w:ascii="Arial" w:cs="Arial" w:eastAsia="Arial" w:hAnsi="Arial"/>
                <w:sz w:val="18"/>
                <w:szCs w:val="18"/>
                <w:color w:val="auto"/>
                <w:w w:val="89"/>
              </w:rPr>
              <w:t>$25,882</w:t>
            </w:r>
          </w:p>
        </w:tc>
        <w:tc>
          <w:tcPr>
            <w:tcW w:w="38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86"/>
              </w:rPr>
              <w:t>$ 6,141</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not been any other material changes during the first six months of fiscal 2012 to the amounts presented in the table summarizing our contractual obligations included in our Annual Report on Form 10-K for the fiscal year ended October 29,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Accounting Pronouncements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18, New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were no material changes in the first six months of fiscal 2012 to the information provided under the heading “Critical Accounting Policies and Estimates” included in our Annual Report on Form 10-K for the fiscal year ended October 29,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second quarter of fiscal 2012, we terminated our interest rate swap agreement, which converted the 5.0% fixed interest rate on our $375 million 5.0% senior unsecured notes to a variable interest rate based on the three-month LIBOR plus 2.05%. As a result of the termination, we are no longer exposed to interest rate risk associated with the swap.</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There were no other material changes in the first six months of fiscal 2012 to the information provided under Item 7A. “Quantitative and Qualitative Disclosures about Market Risk” set forth in our Annual Report on Form 10-K for the year ended October 29,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8"/>
        <w:spacing w:after="0" w:line="286"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of May 5, 2012.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5, 2012, our Chief Executive Officer and Chief Financial Officer concluded that, as of such date, our disclosure controls and procedures were effective at the reasonable assurance level.</w:t>
      </w:r>
    </w:p>
    <w:p>
      <w:pPr>
        <w:spacing w:after="0" w:line="127" w:lineRule="exact"/>
        <w:rPr>
          <w:rFonts w:ascii="Arial" w:cs="Arial" w:eastAsia="Arial" w:hAnsi="Arial"/>
          <w:sz w:val="16"/>
          <w:szCs w:val="16"/>
          <w:color w:val="auto"/>
        </w:rPr>
      </w:pPr>
    </w:p>
    <w:p>
      <w:pPr>
        <w:ind w:right="60" w:firstLine="8"/>
        <w:spacing w:after="0" w:line="259"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occurred during the quarter ended May 5, 2012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29,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2" w:name="page43"/>
    <w:bookmarkEnd w:id="42"/>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significant uncertainty regarding the stability of global credit and financial markets, exacerbated by the downgrades of credit ratings of the United States and several European countries and the ongoing European debt crisis. These economic uncertainties make it difficult for us to accurately forecast and plan our future business activities. High unemployment rates, continued weakness in commercial and residential real estate markets and the tightening of credit by financial institutions may lead consumers and businesses to postpone spending, which may cause our customers to cancel, decrease or delay their existing and future orders for our products. The continuing European debt crisis could cause the value of the Euro to deteriorate, thus reducing the purchasing power of our European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as these programs conclude, those businesses could be negatively impacted. If economic conditions deteriorate, we may record additional charges relating to restructuring costs or the impairment of assets and our business and results of operations could be materially and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United States and international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fluctuations in manufacturing yields, adequate availability of wafers and other raw materials, and manufacturing, assembly and test capacity;</w:t>
      </w:r>
    </w:p>
    <w:p>
      <w:pPr>
        <w:spacing w:after="0" w:line="113"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delay or cancellation of significant customer orders and our ability to manage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hire, retain and motivate adequate numbers of engineers and other qualified employees to meet the demands of our customers;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significant litigation-related costs;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environmental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43" w:name="page44"/>
    <w:bookmarkEnd w:id="43"/>
    <w:p>
      <w:pPr>
        <w:ind w:right="4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semiconductor market has historically been cyclical and subject to significant economic upturns and downturns. Our business is subject to rapid technological changes and there can be no assurance (i) that products stocked in our inventory will not be rendered obsolete before we ship them, or (ii) that we will be able to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number of factors may increase our future effective tax rate, including: increases in tax rates in various jurisdictions; variation in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the lack of sufficient excess tax benefits (credits) in our additional paid in capital (APIC) pool in situations where our realized tax deductions for certain stock-based compensation awards are less than those originally anticipated; changes in available tax credits; and changes in tax laws or the interpretation of such tax laws. Any significant increase in our future effective tax rates could adversely impact our net income during future periods.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cancellations or delays in orders for our products could adversely affect our operating results.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9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4" w:name="page45"/>
    <w:bookmarkEnd w:id="4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5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50% of our wafer requirements annually from third-party wafer fabrication foundries, primarily Taiwan Semiconductor Manufacturing Company, or TSMC</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5" w:name="page46"/>
    <w:bookmarkEnd w:id="45"/>
    <w:p>
      <w:pPr>
        <w:ind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8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5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 We may also be subject to security breaches caused by computer viruses, illegal break-ins or hacking, sabotage, acts of vandalism by third parties or terrorism. Our security measures or those of our third party service providers may not detect or prevent such security breaches. Any such compromise of our information security could result in unauthorized access to our confidential business or proprietary information.</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6" w:name="page47"/>
    <w:bookmarkEnd w:id="46"/>
    <w:p>
      <w:pPr>
        <w:ind w:right="2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remain competitive, we may need to acquire other companies, purchase or license technology from third parties, or enter into other strategic transactions in order to introduce new products or enhance our existing products.</w:t>
      </w:r>
    </w:p>
    <w:p>
      <w:pPr>
        <w:spacing w:after="0" w:line="5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also involve a number of risks, including: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integrating acquired technologies, operations and personnel with our existing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rely on supplies, services and manufacturing capacity located in geologically unstable areas, which could affect our ability to produce products.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like many companies in the semiconductor industry, rely on supplies, services,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March 2011, a severe earthquake and tsunami hit Japan, which together with resulting damage to certain nuclear power plants created widespread destruction and economic uncertainty in that region. Our fiscal 2011 revenue in Japan decreased by approximately 9% year over year, primarily due to lower sales activity in the consumer end market sector in Japan as a result of the earthquake and tsunami.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and the Philippines. Over 70% of our revenue is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May 5, 2012, our principal source of liquidity was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7" w:name="page48"/>
    <w:bookmarkEnd w:id="47"/>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$3,752.6 million of cash and cash equivalents and short-term investments, of which approximately $1,085.9 million was held in the United States and the remaining balance was held outside the United States in various foreign subsidiaries. As we intend to reinvest certain of our foreign earnings indefinitely, this cash held outside the United States is not readily available to meet certain of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94"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industry is subject to increasingly strict EHS requirements, particularly those environmental requirements that control and restrict the use, transportation, emission, discharge, storage and disposal of certain chemicals used or produced in the semiconductor manufacturing process. Public attention to environmental concerns continues to increase, and our customers routinely include stringent environmental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48" w:name="page49"/>
    <w:bookmarkEnd w:id="4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22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two issuances of $375 million senior unsecured notes or our $145 million term loan facility.</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fiscal 2009, we issued in a public offering $375 million aggregate principal amount of 5.0% senior unsecured notes due July 1, 2014. In April 2011, we issued in a public offering $375 million aggregate principal amount of 3.0% senior unsecured notes due April 15, 2016. In December 2010, Analog Devices Holdings B.V., a wholly owned subsidiary of ours, entered into a $145 million term loan facility which matures on December 22, 2013.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39"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17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Such measures might not be sufficient to enable us to service our debt, including the notes or our term loan facility, which could negatively impact our financial results. In addition, any such financing, refinancing or sale of assets might not be possible on economically favorable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and term loan facilities and outstanding debt instruments may limit our activities.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current revolving credit and term loan facilities and our 5.0% and 3.0%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and term loan facilities require us to maintain compliance with specified financial ratios. If we breach any of the covenants under our credit or term loan facilities or the indenture governing our outstanding notes and do not obtain appropriate waivers, then, subject to applicable cure periods, our outstanding indebtedness thereunder could be declared immediately due and payable.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51"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49" w:name="page50"/>
    <w:bookmarkEnd w:id="49"/>
    <w:p>
      <w:pPr>
        <w:ind w:left="440" w:hanging="324"/>
        <w:spacing w:after="0" w:line="268"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announcements by us or our competitors of significant new products, technical innovations, material transactions, acquisitions or dispositions, litigation or capital commitments;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actual or perceived noncompliance with corporate responsibility or ethics standards by us or any of our employees, officers or directors; and</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00"/>
          </w:cols>
          <w:pgMar w:left="240" w:top="280" w:right="359" w:bottom="1440" w:gutter="0" w:footer="0" w:header="0"/>
        </w:sectPr>
      </w:pPr>
    </w:p>
    <w:bookmarkStart w:id="50" w:name="page51"/>
    <w:bookmarkEnd w:id="5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ectPr>
          <w:pgSz w:w="11900" w:h="16838" w:orient="portrait"/>
          <w:cols w:equalWidth="0" w:num="1">
            <w:col w:w="11380"/>
          </w:cols>
          <w:pgMar w:left="240" w:top="274" w:right="27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Period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5, 2012 through</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3, 2012</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4, 2012 through</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31, 2012</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 2012 through</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5, 2012</w:t>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8"/>
              </w:rPr>
              <w:t>Approximate Dollar</w:t>
            </w:r>
          </w:p>
        </w:tc>
      </w:tr>
      <w:tr>
        <w:trPr>
          <w:trHeight w:val="149"/>
        </w:trPr>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6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Value of Shares that</w:t>
            </w:r>
          </w:p>
        </w:tc>
      </w:tr>
      <w:tr>
        <w:trPr>
          <w:trHeight w:val="149"/>
        </w:trPr>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May Yet Be</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6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4"/>
              </w:rPr>
              <w:t>the Plans or</w:t>
            </w:r>
          </w:p>
        </w:tc>
      </w:tr>
      <w:tr>
        <w:trPr>
          <w:trHeight w:val="161"/>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6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Paid Per Share (b)</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 (c)</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Programs</w:t>
            </w:r>
          </w:p>
        </w:tc>
      </w:tr>
      <w:tr>
        <w:trPr>
          <w:trHeight w:val="20"/>
        </w:trPr>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316"/>
        </w:trPr>
        <w:tc>
          <w:tcPr>
            <w:tcW w:w="1040" w:type="dxa"/>
            <w:vAlign w:val="bottom"/>
          </w:tcPr>
          <w:p>
            <w:pPr>
              <w:jc w:val="right"/>
              <w:spacing w:after="0"/>
              <w:rPr>
                <w:sz w:val="20"/>
                <w:szCs w:val="20"/>
                <w:color w:val="auto"/>
              </w:rPr>
            </w:pPr>
            <w:r>
              <w:rPr>
                <w:rFonts w:ascii="Arial" w:cs="Arial" w:eastAsia="Arial" w:hAnsi="Arial"/>
                <w:sz w:val="18"/>
                <w:szCs w:val="18"/>
                <w:color w:val="auto"/>
              </w:rPr>
              <w:t>539,991</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39.50</w:t>
            </w:r>
          </w:p>
        </w:tc>
        <w:tc>
          <w:tcPr>
            <w:tcW w:w="1180" w:type="dxa"/>
            <w:vAlign w:val="bottom"/>
          </w:tcPr>
          <w:p>
            <w:pPr>
              <w:jc w:val="right"/>
              <w:spacing w:after="0"/>
              <w:rPr>
                <w:sz w:val="20"/>
                <w:szCs w:val="20"/>
                <w:color w:val="auto"/>
              </w:rPr>
            </w:pPr>
            <w:r>
              <w:rPr>
                <w:rFonts w:ascii="Arial" w:cs="Arial" w:eastAsia="Arial" w:hAnsi="Arial"/>
                <w:sz w:val="18"/>
                <w:szCs w:val="18"/>
                <w:color w:val="auto"/>
              </w:rPr>
              <w:t>537,579</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ind w:left="120"/>
              <w:spacing w:after="0"/>
              <w:rPr>
                <w:sz w:val="20"/>
                <w:szCs w:val="20"/>
                <w:color w:val="auto"/>
              </w:rPr>
            </w:pPr>
            <w:r>
              <w:rPr>
                <w:rFonts w:ascii="Arial" w:cs="Arial" w:eastAsia="Arial" w:hAnsi="Arial"/>
                <w:sz w:val="18"/>
                <w:szCs w:val="18"/>
                <w:color w:val="auto"/>
                <w:w w:val="85"/>
              </w:rPr>
              <w:t>621,802,751</w:t>
            </w:r>
          </w:p>
        </w:tc>
      </w:tr>
      <w:tr>
        <w:trPr>
          <w:trHeight w:val="432"/>
        </w:trPr>
        <w:tc>
          <w:tcPr>
            <w:tcW w:w="1040" w:type="dxa"/>
            <w:vAlign w:val="bottom"/>
          </w:tcPr>
          <w:p>
            <w:pPr>
              <w:jc w:val="right"/>
              <w:spacing w:after="0"/>
              <w:rPr>
                <w:sz w:val="20"/>
                <w:szCs w:val="20"/>
                <w:color w:val="auto"/>
              </w:rPr>
            </w:pPr>
            <w:r>
              <w:rPr>
                <w:rFonts w:ascii="Arial" w:cs="Arial" w:eastAsia="Arial" w:hAnsi="Arial"/>
                <w:sz w:val="18"/>
                <w:szCs w:val="18"/>
                <w:color w:val="auto"/>
              </w:rPr>
              <w:t>367,883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39.42</w:t>
            </w:r>
          </w:p>
        </w:tc>
        <w:tc>
          <w:tcPr>
            <w:tcW w:w="1180" w:type="dxa"/>
            <w:vAlign w:val="bottom"/>
          </w:tcPr>
          <w:p>
            <w:pPr>
              <w:jc w:val="right"/>
              <w:spacing w:after="0"/>
              <w:rPr>
                <w:sz w:val="20"/>
                <w:szCs w:val="20"/>
                <w:color w:val="auto"/>
              </w:rPr>
            </w:pPr>
            <w:r>
              <w:rPr>
                <w:rFonts w:ascii="Arial" w:cs="Arial" w:eastAsia="Arial" w:hAnsi="Arial"/>
                <w:sz w:val="18"/>
                <w:szCs w:val="18"/>
                <w:color w:val="auto"/>
              </w:rPr>
              <w:t>367,122</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ind w:left="120"/>
              <w:spacing w:after="0"/>
              <w:rPr>
                <w:sz w:val="20"/>
                <w:szCs w:val="20"/>
                <w:color w:val="auto"/>
              </w:rPr>
            </w:pPr>
            <w:r>
              <w:rPr>
                <w:rFonts w:ascii="Arial" w:cs="Arial" w:eastAsia="Arial" w:hAnsi="Arial"/>
                <w:sz w:val="18"/>
                <w:szCs w:val="18"/>
                <w:color w:val="auto"/>
                <w:w w:val="85"/>
              </w:rPr>
              <w:t>607,299,099</w:t>
            </w:r>
          </w:p>
        </w:tc>
      </w:tr>
      <w:tr>
        <w:trPr>
          <w:trHeight w:val="446"/>
        </w:trPr>
        <w:tc>
          <w:tcPr>
            <w:tcW w:w="1040" w:type="dxa"/>
            <w:vAlign w:val="bottom"/>
          </w:tcPr>
          <w:p>
            <w:pPr>
              <w:jc w:val="right"/>
              <w:spacing w:after="0"/>
              <w:rPr>
                <w:sz w:val="20"/>
                <w:szCs w:val="20"/>
                <w:color w:val="auto"/>
              </w:rPr>
            </w:pPr>
            <w:r>
              <w:rPr>
                <w:rFonts w:ascii="Arial" w:cs="Arial" w:eastAsia="Arial" w:hAnsi="Arial"/>
                <w:sz w:val="18"/>
                <w:szCs w:val="18"/>
                <w:color w:val="auto"/>
              </w:rPr>
              <w:t>210,417</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38.90</w:t>
            </w:r>
          </w:p>
        </w:tc>
        <w:tc>
          <w:tcPr>
            <w:tcW w:w="1180" w:type="dxa"/>
            <w:vAlign w:val="bottom"/>
          </w:tcPr>
          <w:p>
            <w:pPr>
              <w:jc w:val="right"/>
              <w:spacing w:after="0"/>
              <w:rPr>
                <w:sz w:val="20"/>
                <w:szCs w:val="20"/>
                <w:color w:val="auto"/>
              </w:rPr>
            </w:pPr>
            <w:r>
              <w:rPr>
                <w:rFonts w:ascii="Arial" w:cs="Arial" w:eastAsia="Arial" w:hAnsi="Arial"/>
                <w:sz w:val="18"/>
                <w:szCs w:val="18"/>
                <w:color w:val="auto"/>
              </w:rPr>
              <w:t>210,417</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w w:val="83"/>
              </w:rPr>
              <w:t>599,113,665</w:t>
            </w:r>
          </w:p>
        </w:tc>
      </w:tr>
      <w:tr>
        <w:trPr>
          <w:trHeight w:val="124"/>
        </w:trPr>
        <w:tc>
          <w:tcPr>
            <w:tcW w:w="104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r>
        <w:trPr>
          <w:trHeight w:val="222"/>
        </w:trPr>
        <w:tc>
          <w:tcPr>
            <w:tcW w:w="1040" w:type="dxa"/>
            <w:vAlign w:val="bottom"/>
          </w:tcPr>
          <w:p>
            <w:pPr>
              <w:jc w:val="right"/>
              <w:spacing w:after="0"/>
              <w:rPr>
                <w:sz w:val="20"/>
                <w:szCs w:val="20"/>
                <w:color w:val="auto"/>
              </w:rPr>
            </w:pPr>
            <w:r>
              <w:rPr>
                <w:rFonts w:ascii="Arial" w:cs="Arial" w:eastAsia="Arial" w:hAnsi="Arial"/>
                <w:sz w:val="18"/>
                <w:szCs w:val="18"/>
                <w:color w:val="auto"/>
              </w:rPr>
              <w:t>1,118,291</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39.36</w:t>
            </w:r>
          </w:p>
        </w:tc>
        <w:tc>
          <w:tcPr>
            <w:tcW w:w="1180" w:type="dxa"/>
            <w:vAlign w:val="bottom"/>
          </w:tcPr>
          <w:p>
            <w:pPr>
              <w:jc w:val="right"/>
              <w:spacing w:after="0"/>
              <w:rPr>
                <w:sz w:val="20"/>
                <w:szCs w:val="20"/>
                <w:color w:val="auto"/>
              </w:rPr>
            </w:pPr>
            <w:r>
              <w:rPr>
                <w:rFonts w:ascii="Arial" w:cs="Arial" w:eastAsia="Arial" w:hAnsi="Arial"/>
                <w:sz w:val="18"/>
                <w:szCs w:val="18"/>
                <w:color w:val="auto"/>
              </w:rPr>
              <w:t>1,115,118</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w w:val="83"/>
              </w:rPr>
              <w:t>599,113,665</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-1028700</wp:posOffset>
            </wp:positionV>
            <wp:extent cx="6663690" cy="283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3690" cy="28321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-462280</wp:posOffset>
            </wp:positionV>
            <wp:extent cx="6663690" cy="283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3690" cy="28321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740" w:space="720"/>
            <w:col w:w="6920"/>
          </w:cols>
          <w:pgMar w:left="240" w:top="274" w:right="279" w:bottom="1440" w:gutter="0" w:footer="0" w:header="0"/>
          <w:type w:val="continuous"/>
        </w:sectPr>
      </w:pPr>
    </w:p>
    <w:p>
      <w:pPr>
        <w:ind w:left="4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3,173 shares paid to us by employees to satisfy employee tax obligations upon vesting of restricted stock units granted to our employees under our equity compensation plans.</w:t>
      </w: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average price paid per share of stock repurchased under the stock repurchase program includes the commissions paid to the brokers.</w:t>
      </w:r>
    </w:p>
    <w:p>
      <w:pPr>
        <w:spacing w:after="0" w:line="32" w:lineRule="exact"/>
        <w:rPr>
          <w:rFonts w:ascii="Arial" w:cs="Arial" w:eastAsia="Arial" w:hAnsi="Arial"/>
          <w:sz w:val="16"/>
          <w:szCs w:val="16"/>
          <w:color w:val="auto"/>
        </w:rPr>
      </w:pPr>
    </w:p>
    <w:p>
      <w:pPr>
        <w:ind w:left="460" w:right="180" w:hanging="452"/>
        <w:spacing w:after="0" w:line="29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In the aggregate, our Board of Directors has authorized us to repurchase $5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ANALOG DEVICES, INC.</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Date: May 22, 2012</w:t>
            </w: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ERALD</w:t>
            </w:r>
            <w:r>
              <w:rPr>
                <w:rFonts w:ascii="Arial" w:cs="Arial" w:eastAsia="Arial" w:hAnsi="Arial"/>
                <w:sz w:val="18"/>
                <w:szCs w:val="18"/>
                <w:color w:val="auto"/>
              </w:rPr>
              <w:t xml:space="preserve"> G. F</w:t>
            </w:r>
            <w:r>
              <w:rPr>
                <w:rFonts w:ascii="Arial" w:cs="Arial" w:eastAsia="Arial" w:hAnsi="Arial"/>
                <w:sz w:val="14"/>
                <w:szCs w:val="14"/>
                <w:color w:val="auto"/>
              </w:rPr>
              <w:t>ISHMAN</w:t>
            </w:r>
          </w:p>
        </w:tc>
      </w:tr>
      <w:tr>
        <w:trPr>
          <w:trHeight w:val="202"/>
        </w:trPr>
        <w:tc>
          <w:tcPr>
            <w:tcW w:w="3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Jerald G. Fishman</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Date: May 22, 2012</w:t>
            </w: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INSNER</w:t>
            </w:r>
          </w:p>
        </w:tc>
      </w:tr>
      <w:tr>
        <w:trPr>
          <w:trHeight w:val="202"/>
        </w:trPr>
        <w:tc>
          <w:tcPr>
            <w:tcW w:w="3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David A. Zinsner</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Finance</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365"/>
        </w:trPr>
        <w:tc>
          <w:tcPr>
            <w:tcW w:w="3520" w:type="dxa"/>
            <w:vAlign w:val="bottom"/>
          </w:tcPr>
          <w:p>
            <w:pPr>
              <w:spacing w:after="0"/>
              <w:rPr>
                <w:sz w:val="24"/>
                <w:szCs w:val="24"/>
                <w:color w:val="auto"/>
              </w:rPr>
            </w:pPr>
          </w:p>
        </w:tc>
        <w:tc>
          <w:tcPr>
            <w:tcW w:w="2660" w:type="dxa"/>
            <w:vAlign w:val="bottom"/>
          </w:tcPr>
          <w:p>
            <w:pPr>
              <w:jc w:val="right"/>
              <w:ind w:right="292"/>
              <w:spacing w:after="0"/>
              <w:rPr>
                <w:sz w:val="20"/>
                <w:szCs w:val="20"/>
                <w:color w:val="auto"/>
              </w:rPr>
            </w:pPr>
            <w:r>
              <w:rPr>
                <w:rFonts w:ascii="Arial" w:cs="Arial" w:eastAsia="Arial" w:hAnsi="Arial"/>
                <w:sz w:val="18"/>
                <w:szCs w:val="18"/>
                <w:color w:val="auto"/>
              </w:rPr>
              <w:t>51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404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Employee Retention Agreement.</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Form of Global Non-Qualified Stock Option Agreement for Employees for usage under the Company’s 2006 Stock Incentive Plan.</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Global Restricted Stock Unit Agreement for Employees for usage under the Company’s 2006 Stock Incentive Plan.</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2006 Stock Incentive Plan of Analog Devices, Inc.</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88"/>
              </w:rPr>
              <w:t>31.1†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Oxley Act of 2002 (Chief Executive Officer).</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88"/>
              </w:rPr>
              <w:t>31.2†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Oxley Act of 2002 (Chief Financial Officer).</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8"/>
              </w:rPr>
              <w:t>32.1†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8"/>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7"/>
              </w:rPr>
              <w:t>101.SCH</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Schema Document.**</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101.CAL</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101.LAB</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Labels Linkbase Document.**</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102" w:lineRule="exact"/>
        <w:rPr>
          <w:sz w:val="20"/>
          <w:szCs w:val="20"/>
          <w:color w:val="auto"/>
        </w:rPr>
      </w:pPr>
    </w:p>
    <w:p>
      <w:pPr>
        <w:ind w:left="1160" w:hanging="845"/>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117" w:lineRule="exact"/>
        <w:rPr>
          <w:sz w:val="20"/>
          <w:szCs w:val="20"/>
          <w:color w:val="auto"/>
        </w:rPr>
      </w:pPr>
    </w:p>
    <w:p>
      <w:pPr>
        <w:ind w:left="1160" w:hanging="88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Income for the three and six months ended May 5, 2012 and April 30, 2011, (ii) Condensed Consolidated Balance Sheets at May 5, 2012 and October 29, 2011,</w:t>
      </w:r>
    </w:p>
    <w:p>
      <w:pPr>
        <w:ind w:right="380" w:firstLine="8"/>
        <w:spacing w:after="0" w:line="261" w:lineRule="auto"/>
        <w:tabs>
          <w:tab w:leader="none" w:pos="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May 5, 2012 and April 30, 2011 and (iv) Notes to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Employee Retention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1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Analog Devices, Inc. (the “Company”) recognizes that, as is the case with many publicly-held corporations, the possibility of a change in control may exist and that such possibility, and the uncertainty and questions which it may raise among key personnel, may result in the departure or distraction of key personnel to the detriment of the Company, its stockholders and its customers.</w:t>
      </w:r>
    </w:p>
    <w:p>
      <w:pPr>
        <w:spacing w:after="0" w:line="14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Board of Directors of the Company (the “Board”) has determined that appropriate steps should be taken to reinforce and encourage the continued attention and dedication of the Company’s key personnel, including yourself, to their assigned duties without distraction in the face of potentially disturbing circumstances arising from the possibility of a change in control of the Company.</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order to induce you to remain in its employ, the Company agrees that you shall receive the severance benefits set forth in this letter agreement (the “Agreement”) in the event your employment with the Company is terminated under the circumstances described below subsequent to a “Change in Control” of the Company (as defined below).</w:t>
      </w:r>
    </w:p>
    <w:p>
      <w:pPr>
        <w:spacing w:after="0" w:line="140"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herein, the following terms shall have the following respective meanings:</w:t>
      </w:r>
    </w:p>
    <w:p>
      <w:pPr>
        <w:spacing w:after="0" w:line="171" w:lineRule="exact"/>
        <w:rPr>
          <w:rFonts w:ascii="Arial" w:cs="Arial" w:eastAsia="Arial" w:hAnsi="Arial"/>
          <w:sz w:val="18"/>
          <w:szCs w:val="18"/>
          <w:color w:val="auto"/>
        </w:rPr>
      </w:pPr>
    </w:p>
    <w:p>
      <w:pPr>
        <w:ind w:firstLine="921"/>
        <w:spacing w:after="0" w:line="289" w:lineRule="auto"/>
        <w:tabs>
          <w:tab w:leader="none" w:pos="1152"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occur or be 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30% or more of the combined voting power of the Company’s then outstanding securities; (ii)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w:t>
      </w:r>
    </w:p>
    <w:p>
      <w:pPr>
        <w:sectPr>
          <w:pgSz w:w="11900" w:h="16838" w:orient="portrait"/>
          <w:cols w:equalWidth="0" w:num="1">
            <w:col w:w="11420"/>
          </w:cols>
          <w:pgMar w:left="240" w:top="125" w:right="239" w:bottom="1440" w:gutter="0" w:footer="0" w:header="0"/>
        </w:sectPr>
      </w:pPr>
    </w:p>
    <w:bookmarkStart w:id="54" w:name="page55"/>
    <w:bookmarkEnd w:id="5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50% of the combined voting power of the Company’s then outstanding securities; or (iii) the stockholders of the Company approve a plan of complete liquidation of the Company or an agreement for the sale or disposition by the Company of all or substantially all of the Company’s assets.</w:t>
      </w:r>
    </w:p>
    <w:p>
      <w:pPr>
        <w:spacing w:after="0" w:line="113" w:lineRule="exact"/>
        <w:rPr>
          <w:sz w:val="20"/>
          <w:szCs w:val="20"/>
          <w:color w:val="auto"/>
        </w:rPr>
      </w:pPr>
    </w:p>
    <w:p>
      <w:pPr>
        <w:ind w:left="1160" w:hanging="239"/>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Potential Change in Control</w:t>
      </w:r>
      <w:r>
        <w:rPr>
          <w:rFonts w:ascii="Arial" w:cs="Arial" w:eastAsia="Arial" w:hAnsi="Arial"/>
          <w:sz w:val="18"/>
          <w:szCs w:val="18"/>
          <w:color w:val="auto"/>
        </w:rPr>
        <w:t>” shall be deemed to have occurred if:</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Company enters into an agreement, the consummation of which would result in the occurrence of a Change in Control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65" w:lineRule="exact"/>
        <w:rPr>
          <w:sz w:val="20"/>
          <w:szCs w:val="20"/>
          <w:color w:val="auto"/>
        </w:rPr>
      </w:pPr>
    </w:p>
    <w:p>
      <w:pPr>
        <w:ind w:firstLine="1492"/>
        <w:spacing w:after="0" w:line="268" w:lineRule="auto"/>
        <w:tabs>
          <w:tab w:leader="none" w:pos="176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person (including the Company) publicly announces an intention to take or to consider taking actions which, if consummated, would constitute a Change in Control of the Company; or</w:t>
      </w:r>
    </w:p>
    <w:p>
      <w:pPr>
        <w:spacing w:after="0" w:line="131" w:lineRule="exact"/>
        <w:rPr>
          <w:rFonts w:ascii="Arial" w:cs="Arial" w:eastAsia="Arial" w:hAnsi="Arial"/>
          <w:sz w:val="18"/>
          <w:szCs w:val="18"/>
          <w:color w:val="auto"/>
        </w:rPr>
      </w:pPr>
    </w:p>
    <w:p>
      <w:pPr>
        <w:ind w:right="460" w:firstLine="1492"/>
        <w:spacing w:after="0" w:line="268" w:lineRule="auto"/>
        <w:tabs>
          <w:tab w:leader="none" w:pos="176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Board of Directors of the Company adopts a resolution to the effect that, for purposes of this Agreement, a Potential Change in Control of the Company has occurred.</w:t>
      </w:r>
    </w:p>
    <w:p>
      <w:pPr>
        <w:spacing w:after="0" w:line="131" w:lineRule="exact"/>
        <w:rPr>
          <w:rFonts w:ascii="Arial" w:cs="Arial" w:eastAsia="Arial" w:hAnsi="Arial"/>
          <w:sz w:val="18"/>
          <w:szCs w:val="18"/>
          <w:color w:val="auto"/>
        </w:rPr>
      </w:pPr>
    </w:p>
    <w:p>
      <w:pPr>
        <w:ind w:right="120" w:firstLine="921"/>
        <w:spacing w:after="0" w:line="332" w:lineRule="auto"/>
        <w:tabs>
          <w:tab w:leader="none" w:pos="11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Approved Change in Control</w:t>
      </w:r>
      <w:r>
        <w:rPr>
          <w:rFonts w:ascii="Arial" w:cs="Arial" w:eastAsia="Arial" w:hAnsi="Arial"/>
          <w:sz w:val="16"/>
          <w:szCs w:val="16"/>
          <w:color w:val="auto"/>
        </w:rPr>
        <w:t>” shall mean any Change in Control that the Board, by resolution adopted prior to the occurrence of any of the events constituting a Change in Control, specifically and expressly declares shall constitute an “Approved Change in Control” for purposes of this Agreement.</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Hostile Change in Control</w:t>
      </w:r>
      <w:r>
        <w:rPr>
          <w:rFonts w:ascii="Arial" w:cs="Arial" w:eastAsia="Arial" w:hAnsi="Arial"/>
          <w:sz w:val="18"/>
          <w:szCs w:val="18"/>
          <w:color w:val="auto"/>
        </w:rPr>
        <w:t>” shall mean any Change in Control other than an Approved Change in Control.</w:t>
      </w:r>
    </w:p>
    <w:p>
      <w:pPr>
        <w:spacing w:after="0" w:line="171" w:lineRule="exact"/>
        <w:rPr>
          <w:sz w:val="20"/>
          <w:szCs w:val="20"/>
          <w:color w:val="auto"/>
        </w:rPr>
      </w:pPr>
    </w:p>
    <w:p>
      <w:pPr>
        <w:ind w:left="460"/>
        <w:spacing w:after="0"/>
        <w:tabs>
          <w:tab w:leader="none" w:pos="7200" w:val="left"/>
          <w:tab w:leader="none" w:pos="7700" w:val="left"/>
        </w:tabs>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Term of the Agreement</w:t>
      </w:r>
      <w:r>
        <w:rPr>
          <w:rFonts w:ascii="Arial" w:cs="Arial" w:eastAsia="Arial" w:hAnsi="Arial"/>
          <w:sz w:val="18"/>
          <w:szCs w:val="18"/>
          <w:color w:val="auto"/>
        </w:rPr>
        <w:t>. The term of this Agreement (the “Term”) shall commence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and shall continue in effect through September 30,</w:t>
      </w:r>
    </w:p>
    <w:p>
      <w:pPr>
        <w:spacing w:after="0" w:line="15" w:lineRule="exact"/>
        <w:rPr>
          <w:sz w:val="20"/>
          <w:szCs w:val="20"/>
          <w:color w:val="auto"/>
        </w:rPr>
      </w:pPr>
    </w:p>
    <w:p>
      <w:pPr>
        <w:ind w:firstLine="8"/>
        <w:spacing w:after="0" w:line="295" w:lineRule="auto"/>
        <w:tabs>
          <w:tab w:leader="none" w:pos="351" w:val="left"/>
        </w:tabs>
        <w:numPr>
          <w:ilvl w:val="0"/>
          <w:numId w:val="27"/>
        </w:numPr>
        <w:rPr>
          <w:rFonts w:ascii="Arial" w:cs="Arial" w:eastAsia="Arial" w:hAnsi="Arial"/>
          <w:sz w:val="16"/>
          <w:szCs w:val="16"/>
          <w:color w:val="auto"/>
        </w:rPr>
      </w:pPr>
      <w:r>
        <w:rPr>
          <w:rFonts w:ascii="Arial" w:cs="Arial" w:eastAsia="Arial" w:hAnsi="Arial"/>
          <w:sz w:val="16"/>
          <w:szCs w:val="16"/>
          <w:color w:val="auto"/>
        </w:rPr>
        <w:t>; provided, however, that commencing on September 30, 20 and each September 30 thereafter, the Term shall be automatically extended for one additional year unless, not later than June 30 of such year, the Company shall have given you written notice that the Term will not be extended; and provided further that, if a Change in Control of the Company shall have occurred during the original or extended Term, this Agreement and the Term shall continue in effect for a period of not less than 24 months beyond the month in which such Change in Control occurred.</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Change in Control; Potential Change in Control.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No benefits shall be payable under this Agreement unless there has been a Change in Control of the Company during the Term.</w:t>
      </w:r>
    </w:p>
    <w:p>
      <w:pPr>
        <w:spacing w:after="0" w:line="171" w:lineRule="exact"/>
        <w:rPr>
          <w:rFonts w:ascii="Arial" w:cs="Arial" w:eastAsia="Arial" w:hAnsi="Arial"/>
          <w:sz w:val="18"/>
          <w:szCs w:val="18"/>
          <w:color w:val="auto"/>
        </w:rPr>
      </w:pPr>
    </w:p>
    <w:p>
      <w:pPr>
        <w:ind w:right="40" w:firstLine="921"/>
        <w:spacing w:after="0" w:line="256" w:lineRule="auto"/>
        <w:tabs>
          <w:tab w:leader="none" w:pos="1162" w:val="left"/>
        </w:tabs>
        <w:numPr>
          <w:ilvl w:val="2"/>
          <w:numId w:val="27"/>
        </w:numPr>
        <w:rPr>
          <w:rFonts w:ascii="Arial" w:cs="Arial" w:eastAsia="Arial" w:hAnsi="Arial"/>
          <w:sz w:val="18"/>
          <w:szCs w:val="18"/>
          <w:color w:val="auto"/>
        </w:rPr>
      </w:pPr>
      <w:r>
        <w:rPr>
          <w:rFonts w:ascii="Arial" w:cs="Arial" w:eastAsia="Arial" w:hAnsi="Arial"/>
          <w:sz w:val="18"/>
          <w:szCs w:val="18"/>
          <w:color w:val="auto"/>
        </w:rPr>
        <w:t>You agree that, notwithstanding any provision to the contrary in this Agreement, in the event of a Potential Change in Control of the Company, you will not voluntarily resign as an employee of the Company until the earliest of (A) a date which is six (6) months after the occurrence of such Potential Change in Control of the Company or (B) the termination by you of your employment by reason of Disability as defined in Section 4(b)(i) or for Good Reason as defined in Section 4(b)(iii).</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5" w:name="page56"/>
    <w:bookmarkEnd w:id="55"/>
    <w:p>
      <w:pPr>
        <w:ind w:left="600" w:hanging="17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Status; Termination Following Change in Control.</w:t>
      </w:r>
    </w:p>
    <w:p>
      <w:pPr>
        <w:spacing w:after="0" w:line="171" w:lineRule="exact"/>
        <w:rPr>
          <w:rFonts w:ascii="Arial" w:cs="Arial" w:eastAsia="Arial" w:hAnsi="Arial"/>
          <w:sz w:val="18"/>
          <w:szCs w:val="18"/>
          <w:color w:val="auto"/>
        </w:rPr>
      </w:pPr>
    </w:p>
    <w:p>
      <w:pPr>
        <w:ind w:left="-40" w:firstLine="921"/>
        <w:spacing w:after="0" w:line="290" w:lineRule="auto"/>
        <w:tabs>
          <w:tab w:leader="none" w:pos="1112" w:val="left"/>
        </w:tabs>
        <w:numPr>
          <w:ilvl w:val="1"/>
          <w:numId w:val="28"/>
        </w:numPr>
        <w:rPr>
          <w:rFonts w:ascii="Arial" w:cs="Arial" w:eastAsia="Arial" w:hAnsi="Arial"/>
          <w:sz w:val="16"/>
          <w:szCs w:val="16"/>
          <w:color w:val="auto"/>
        </w:rPr>
      </w:pPr>
      <w:r>
        <w:rPr>
          <w:rFonts w:ascii="Arial" w:cs="Arial" w:eastAsia="Arial" w:hAnsi="Arial"/>
          <w:sz w:val="16"/>
          <w:szCs w:val="16"/>
          <w:color w:val="auto"/>
        </w:rPr>
        <w:t>You acknowledge that this Agreement does not constitute a contract of employment or impose on the Company any obligation to retain you as an employee and, except as set forth in Section 3(b), this Agreement does not prevent you from terminating your employment at any time. If your employment with the Company terminates for any reason and subsequently a Change in Control shall have occurred, you shall not be entitled to any benefits hereunder. Any termination of your employment by the Company or by you following a Change in Control of the Company during the Term shall be communicated by written notice of termination (“Notice of Termination”) to the other party hereto in accordance with Section 7. The “Date of Termination” shall mean the effective date of such termination as specified in the Notice of Termination (provided that no such Notice of Termination shall specify an effective date more than 180 days after the date of such Notice of Termination).</w:t>
      </w:r>
    </w:p>
    <w:p>
      <w:pPr>
        <w:spacing w:after="0" w:line="118" w:lineRule="exact"/>
        <w:rPr>
          <w:rFonts w:ascii="Arial" w:cs="Arial" w:eastAsia="Arial" w:hAnsi="Arial"/>
          <w:sz w:val="16"/>
          <w:szCs w:val="16"/>
          <w:color w:val="auto"/>
        </w:rPr>
      </w:pPr>
    </w:p>
    <w:p>
      <w:pPr>
        <w:ind w:left="-40" w:firstLine="921"/>
        <w:spacing w:after="0" w:line="291" w:lineRule="auto"/>
        <w:tabs>
          <w:tab w:leader="none" w:pos="1122"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Notwithstanding anything to the contrary herein, you shall be entitled to the benefits provided in Section 5 only if either (1) an Approved Change in Control shall have occurred during the Term and your employment with the Company is subsequently terminated or terminates within 24 months after such Approved Change in Control, unless such termination is (A) because of your death, (B) by the Company for Disability (as defined in Section 4(b)(i)) or Cause (as defined in Section 4(b)(ii)), or (C) by you other than for Good Reason (as defined in Section 4(b)(iii)), or (2) a Hostile Change in Control shall have occurred during the Term and your employment with the Company is subsequently terminated by either you or the Company within 12 months after such Hostile Change in Control for any reason other than your death or Disability or termination by the Company for Cause.</w:t>
      </w:r>
    </w:p>
    <w:p>
      <w:pPr>
        <w:spacing w:after="0" w:line="120" w:lineRule="exact"/>
        <w:rPr>
          <w:rFonts w:ascii="Arial" w:cs="Arial" w:eastAsia="Arial" w:hAnsi="Arial"/>
          <w:sz w:val="16"/>
          <w:szCs w:val="16"/>
          <w:color w:val="auto"/>
        </w:rPr>
      </w:pPr>
    </w:p>
    <w:p>
      <w:pPr>
        <w:ind w:left="-40" w:right="60" w:firstLine="1948"/>
        <w:spacing w:after="0" w:line="298" w:lineRule="auto"/>
        <w:tabs>
          <w:tab w:leader="none" w:pos="2109"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as a result of incapacity due to physical or mental illness, you shall have been absent from the full-time performance of your duties with the Company for six (6) consecutive months and, within thirty (30) days after written Notice of Termination is given to you, you shall not have returned to the full-time performance of your duties, your employment may be terminated for “Disability.” Any termination for Disability under this Agreement shall not affect any rights you may otherwise have under the Company’s Long-Term Disability Plan.</w:t>
      </w:r>
    </w:p>
    <w:p>
      <w:pPr>
        <w:spacing w:after="0" w:line="112" w:lineRule="exact"/>
        <w:rPr>
          <w:rFonts w:ascii="Arial" w:cs="Arial" w:eastAsia="Arial" w:hAnsi="Arial"/>
          <w:sz w:val="16"/>
          <w:szCs w:val="16"/>
          <w:color w:val="auto"/>
        </w:rPr>
      </w:pPr>
    </w:p>
    <w:p>
      <w:pPr>
        <w:ind w:left="-40" w:firstLine="1948"/>
        <w:spacing w:after="0" w:line="253" w:lineRule="auto"/>
        <w:tabs>
          <w:tab w:leader="none" w:pos="2158"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Termination by the Company of your employment for “Cause” shall mean termination (A) upon your willful and continued failure to substantially perform your duties with the Company (other than any such failure resulting from your incapacity due to physical or mental illness or any such actual or anticipated failure after the issuance of a Notice of Termination by you for Good Reason as defined in Section 4(b)(iii)), provided that a written demand for substantial performance has been delivered to you by the Company specifically identifying the manner in which the Company believes that you have not substantially performed your duties and you have not cured such failure within 30 days after such demand, or (B) by reason of your willful engaging in conduct which is demonstrably and materially injurious to the Company. For purposes of this subsection, no act or failure to act on your part shall be deemed “willful” unless done or omitted to be done by you not in good faith and without reasonable belief that your action or omission was in the best interest of the Company.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56" w:name="page57"/>
    <w:bookmarkEnd w:id="56"/>
    <w:p>
      <w:pPr>
        <w:ind w:right="80" w:firstLine="1948"/>
        <w:spacing w:after="0" w:line="306" w:lineRule="auto"/>
        <w:tabs>
          <w:tab w:leader="none" w:pos="224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Reason</w:t>
      </w:r>
      <w:r>
        <w:rPr>
          <w:rFonts w:ascii="Arial" w:cs="Arial" w:eastAsia="Arial" w:hAnsi="Arial"/>
          <w:sz w:val="16"/>
          <w:szCs w:val="16"/>
          <w:color w:val="auto"/>
        </w:rPr>
        <w:t>. For purposes of this Agreement, “Good Reason” shall mean, without your written consent, the occurrence after a Change in Control of the Company of any of the following circumstances unless, in the case of paragraphs (A), (C), (D), (F) or (G), such circumstances are fully corrected prior to the Date of Termination (as defined in Section 4(a)) specified in the Notice of Termination (as defined in Section 4(a)) given in respect thereof:</w:t>
      </w:r>
    </w:p>
    <w:p>
      <w:pPr>
        <w:spacing w:after="0" w:line="106" w:lineRule="exact"/>
        <w:rPr>
          <w:rFonts w:ascii="Arial" w:cs="Arial" w:eastAsia="Arial" w:hAnsi="Arial"/>
          <w:sz w:val="16"/>
          <w:szCs w:val="16"/>
          <w:color w:val="auto"/>
        </w:rPr>
      </w:pPr>
    </w:p>
    <w:p>
      <w:pPr>
        <w:ind w:left="2700" w:hanging="296"/>
        <w:spacing w:after="0"/>
        <w:tabs>
          <w:tab w:leader="none" w:pos="2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significant diminution in your position, duties, responsibilities, power, title or office as in effect immediately prior to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Change in Control;</w:t>
      </w:r>
    </w:p>
    <w:p>
      <w:pPr>
        <w:spacing w:after="0" w:line="164" w:lineRule="exact"/>
        <w:rPr>
          <w:rFonts w:ascii="Arial" w:cs="Arial" w:eastAsia="Arial" w:hAnsi="Arial"/>
          <w:sz w:val="16"/>
          <w:szCs w:val="16"/>
          <w:color w:val="auto"/>
        </w:rPr>
      </w:pPr>
    </w:p>
    <w:p>
      <w:pPr>
        <w:ind w:left="2680" w:hanging="276"/>
        <w:spacing w:after="0"/>
        <w:tabs>
          <w:tab w:leader="none" w:pos="26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reduction in your annual base salary as in effect on the date hereof or as the same may be increased from time to time;</w:t>
      </w:r>
    </w:p>
    <w:p>
      <w:pPr>
        <w:spacing w:after="0" w:line="205" w:lineRule="exact"/>
        <w:rPr>
          <w:rFonts w:ascii="Arial" w:cs="Arial" w:eastAsia="Arial" w:hAnsi="Arial"/>
          <w:sz w:val="15"/>
          <w:szCs w:val="15"/>
          <w:color w:val="auto"/>
        </w:rPr>
      </w:pPr>
    </w:p>
    <w:p>
      <w:pPr>
        <w:ind w:right="20" w:firstLine="2404"/>
        <w:spacing w:after="0" w:line="254" w:lineRule="auto"/>
        <w:tabs>
          <w:tab w:leader="none" w:pos="26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failure of the Company to continue in effect any material compensation or benefit plan in which you participate immediately prior to the Change in Control, unless an equitable arrangement (embodied in an ongoing substitute or alternative plan) has been made with respect to such plan, or the failure by the Company to continue your participation therein (or in such substitute or alternative plan) on a basis not materially less favorable, both in terms of the amount of benefits provided and the level of your participation relative to other participants, as existed at the time of the Change in Control or the failure by the Company to award cash bonuses to its executives in amounts substantially consistent with past practice in light of the Company’s financial performance;</w:t>
      </w:r>
    </w:p>
    <w:p>
      <w:pPr>
        <w:spacing w:after="0" w:line="144" w:lineRule="exact"/>
        <w:rPr>
          <w:rFonts w:ascii="Arial" w:cs="Arial" w:eastAsia="Arial" w:hAnsi="Arial"/>
          <w:sz w:val="18"/>
          <w:szCs w:val="18"/>
          <w:color w:val="auto"/>
        </w:rPr>
      </w:pPr>
    </w:p>
    <w:p>
      <w:pPr>
        <w:ind w:firstLine="2404"/>
        <w:spacing w:after="0" w:line="255" w:lineRule="auto"/>
        <w:tabs>
          <w:tab w:leader="none" w:pos="26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failure by the Company to continue to provide you with benefits substantially similar to those enjoyed by you under any of the Company’s life insurance, medical, health and accident, or disability plans in which you were participating at the time of the Change in Control, the taking of any action by the Company which would directly or indirectly materially reduce any of such benefits, or the failure by the Company to provide you with the number of paid vacation days to which you are entitled on the basis of years of service with the Company in accordance with the Company’s normal vacation policy in effect at the time of the Change in Control;</w:t>
      </w:r>
    </w:p>
    <w:p>
      <w:pPr>
        <w:spacing w:after="0" w:line="142" w:lineRule="exact"/>
        <w:rPr>
          <w:rFonts w:ascii="Arial" w:cs="Arial" w:eastAsia="Arial" w:hAnsi="Arial"/>
          <w:sz w:val="18"/>
          <w:szCs w:val="18"/>
          <w:color w:val="auto"/>
        </w:rPr>
      </w:pPr>
    </w:p>
    <w:p>
      <w:pPr>
        <w:ind w:right="180" w:firstLine="2404"/>
        <w:spacing w:after="0" w:line="332" w:lineRule="auto"/>
        <w:tabs>
          <w:tab w:leader="none" w:pos="2664"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requirement by the Company or of any person in control of the Company that the location at which you perform your principal duties for the Company be changed to a new location outside a radius of 50 miles from your principal residence at the time of the Change in Control;</w:t>
      </w:r>
    </w:p>
    <w:p>
      <w:pPr>
        <w:spacing w:after="0" w:line="85" w:lineRule="exact"/>
        <w:rPr>
          <w:rFonts w:ascii="Arial" w:cs="Arial" w:eastAsia="Arial" w:hAnsi="Arial"/>
          <w:sz w:val="16"/>
          <w:szCs w:val="16"/>
          <w:color w:val="auto"/>
        </w:rPr>
      </w:pPr>
    </w:p>
    <w:p>
      <w:pPr>
        <w:ind w:right="520" w:firstLine="2404"/>
        <w:spacing w:after="0" w:line="268" w:lineRule="auto"/>
        <w:tabs>
          <w:tab w:leader="none" w:pos="26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and agree to perform the Agreement, as contemplated in Section 6; or</w:t>
      </w:r>
    </w:p>
    <w:p>
      <w:pPr>
        <w:spacing w:after="0" w:line="131" w:lineRule="exact"/>
        <w:rPr>
          <w:rFonts w:ascii="Arial" w:cs="Arial" w:eastAsia="Arial" w:hAnsi="Arial"/>
          <w:sz w:val="18"/>
          <w:szCs w:val="18"/>
          <w:color w:val="auto"/>
        </w:rPr>
      </w:pPr>
    </w:p>
    <w:p>
      <w:pPr>
        <w:ind w:right="360" w:firstLine="2404"/>
        <w:spacing w:after="0" w:line="268" w:lineRule="auto"/>
        <w:tabs>
          <w:tab w:leader="none" w:pos="26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purported termination of your employment which is not effected pursuant to a Notice of Termination satisfying the requirements of Section 7, which purported termination shall not be effective for purposes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7" w:name="page58"/>
    <w:bookmarkEnd w:id="57"/>
    <w:p>
      <w:pPr>
        <w:ind w:left="-20" w:right="400" w:firstLine="464"/>
        <w:spacing w:after="0" w:line="332" w:lineRule="auto"/>
        <w:tabs>
          <w:tab w:leader="none" w:pos="61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Upon Termination</w:t>
      </w:r>
      <w:r>
        <w:rPr>
          <w:rFonts w:ascii="Arial" w:cs="Arial" w:eastAsia="Arial" w:hAnsi="Arial"/>
          <w:sz w:val="16"/>
          <w:szCs w:val="16"/>
          <w:color w:val="auto"/>
        </w:rPr>
        <w:t>. Following a Change in Control of the Company, you shall be entitled to the following benefits during a period of Disability, or upon termination of your employment, as the case may be, provided that such period or termination occurs during the Term:</w:t>
      </w:r>
    </w:p>
    <w:p>
      <w:pPr>
        <w:spacing w:after="0" w:line="85" w:lineRule="exact"/>
        <w:rPr>
          <w:rFonts w:ascii="Arial" w:cs="Arial" w:eastAsia="Arial" w:hAnsi="Arial"/>
          <w:sz w:val="16"/>
          <w:szCs w:val="16"/>
          <w:color w:val="auto"/>
        </w:rPr>
      </w:pPr>
    </w:p>
    <w:p>
      <w:pPr>
        <w:ind w:left="-20" w:firstLine="921"/>
        <w:spacing w:after="0" w:line="294" w:lineRule="auto"/>
        <w:tabs>
          <w:tab w:leader="none" w:pos="1132" w:val="left"/>
        </w:tabs>
        <w:numPr>
          <w:ilvl w:val="1"/>
          <w:numId w:val="30"/>
        </w:numPr>
        <w:rPr>
          <w:rFonts w:ascii="Arial" w:cs="Arial" w:eastAsia="Arial" w:hAnsi="Arial"/>
          <w:sz w:val="16"/>
          <w:szCs w:val="16"/>
          <w:color w:val="auto"/>
        </w:rPr>
      </w:pPr>
      <w:r>
        <w:rPr>
          <w:rFonts w:ascii="Arial" w:cs="Arial" w:eastAsia="Arial" w:hAnsi="Arial"/>
          <w:sz w:val="16"/>
          <w:szCs w:val="16"/>
          <w:color w:val="auto"/>
        </w:rPr>
        <w:t>During any period that you fail to perform your full-time duties with the Company as a result of incapacity due to physical or mental illness, you shall continue to receive base salary and all other earned compensation at the rate in effect at the commencement of any such period (offset by all compensation payable to you under the Company’s disability plan or program or other similar plan during such period) until your employment is terminated pursuant to Section 4(b)(i) hereof. Thereafter, or in the event your employment is terminated by reason of death, your benefits shall be determined under the Company’s long-term disability, retirement, insurance and other compensation programs then in effect in accordance with the terms of such programs.</w:t>
      </w:r>
    </w:p>
    <w:p>
      <w:pPr>
        <w:spacing w:after="0" w:line="115" w:lineRule="exact"/>
        <w:rPr>
          <w:rFonts w:ascii="Arial" w:cs="Arial" w:eastAsia="Arial" w:hAnsi="Arial"/>
          <w:sz w:val="16"/>
          <w:szCs w:val="16"/>
          <w:color w:val="auto"/>
        </w:rPr>
      </w:pPr>
    </w:p>
    <w:p>
      <w:pPr>
        <w:ind w:left="-20" w:right="20" w:firstLine="921"/>
        <w:spacing w:after="0" w:line="256" w:lineRule="auto"/>
        <w:tabs>
          <w:tab w:leader="none" w:pos="114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your employment shall be terminated by the Company for Cause or by you other than for Good Reason following an Approved Change in Control, the Company shall pay you your full base salary and all other compensation through the Date of Termination at the rate in effect at the time the Notice of Termination is given, plus all other amounts to which you are entitled under any compensation plan of the Company at the time such payments are due, and the Company shall have no further obligations to you under this Agreement.</w:t>
      </w:r>
    </w:p>
    <w:p>
      <w:pPr>
        <w:spacing w:after="0" w:line="143" w:lineRule="exact"/>
        <w:rPr>
          <w:rFonts w:ascii="Arial" w:cs="Arial" w:eastAsia="Arial" w:hAnsi="Arial"/>
          <w:sz w:val="18"/>
          <w:szCs w:val="18"/>
          <w:color w:val="auto"/>
        </w:rPr>
      </w:pPr>
    </w:p>
    <w:p>
      <w:pPr>
        <w:jc w:val="both"/>
        <w:ind w:left="-20" w:right="20" w:firstLine="921"/>
        <w:spacing w:after="0" w:line="256" w:lineRule="auto"/>
        <w:tabs>
          <w:tab w:leader="none" w:pos="11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your employment with the Company is terminated by the Company (other than for Cause, Disability or your death) or by you for Good Reason within 24 months after an Approved Change in Control or if your employment with the Company is terminated by you or the Company for any reason (other than your death or Disability or termination by the Company for Cause) within 12 months after a Hostile Change in Control, then you shall be entitled to the benefits below:</w:t>
      </w:r>
    </w:p>
    <w:p>
      <w:pPr>
        <w:spacing w:after="0" w:line="143" w:lineRule="exact"/>
        <w:rPr>
          <w:rFonts w:ascii="Arial" w:cs="Arial" w:eastAsia="Arial" w:hAnsi="Arial"/>
          <w:sz w:val="18"/>
          <w:szCs w:val="18"/>
          <w:color w:val="auto"/>
        </w:rPr>
      </w:pPr>
    </w:p>
    <w:p>
      <w:pPr>
        <w:ind w:left="-20" w:right="60" w:firstLine="1948"/>
        <w:spacing w:after="0" w:line="306" w:lineRule="auto"/>
        <w:tabs>
          <w:tab w:leader="none" w:pos="2130"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Company shall pay to you your full base salary and all other compensation through the Date of Termination at the rate in effect at the time the Notice of Termination is given, no later than the full fifth day following the Date of Termination, plus all other amounts to which you are entitled under any compensation plan of the Company at the time such payments are due under the terms of such plan;</w:t>
      </w:r>
    </w:p>
    <w:p>
      <w:pPr>
        <w:spacing w:after="0" w:line="106" w:lineRule="exact"/>
        <w:rPr>
          <w:rFonts w:ascii="Arial" w:cs="Arial" w:eastAsia="Arial" w:hAnsi="Arial"/>
          <w:sz w:val="16"/>
          <w:szCs w:val="16"/>
          <w:color w:val="auto"/>
        </w:rPr>
      </w:pPr>
    </w:p>
    <w:p>
      <w:pPr>
        <w:ind w:left="-20" w:firstLine="1948"/>
        <w:spacing w:after="0" w:line="255" w:lineRule="auto"/>
        <w:tabs>
          <w:tab w:leader="none" w:pos="2178" w:val="left"/>
        </w:tabs>
        <w:numPr>
          <w:ilvl w:val="2"/>
          <w:numId w:val="30"/>
        </w:numPr>
        <w:rPr>
          <w:rFonts w:ascii="Arial" w:cs="Arial" w:eastAsia="Arial" w:hAnsi="Arial"/>
          <w:sz w:val="18"/>
          <w:szCs w:val="18"/>
          <w:color w:val="auto"/>
        </w:rPr>
      </w:pPr>
      <w:r>
        <w:rPr>
          <w:rFonts w:ascii="Arial" w:cs="Arial" w:eastAsia="Arial" w:hAnsi="Arial"/>
          <w:sz w:val="18"/>
          <w:szCs w:val="18"/>
          <w:color w:val="auto"/>
        </w:rPr>
        <w:t>in lieu of any further salary payments for periods subsequent to the Date of Termination, the Company will pay as severance to you, at the time specified in Subsection (e) below, a lump sum payment (together with the payments provided in paragraph (iv) below, the “Severance Payments”) in an amount equal to the sum of (A) [200%] [299%] of the higher of (i) your annual base salary in effect on the Date of Termination or (ii) your annual base salary in effect immediately prior to the Change in Control, plus (B) [200%] [299%] of the aggregate cash bonuses paid or awarded to you in respect of the four fiscal quarters preceding the Date of Termination;</w:t>
      </w:r>
    </w:p>
    <w:p>
      <w:pPr>
        <w:spacing w:after="0" w:line="142" w:lineRule="exact"/>
        <w:rPr>
          <w:rFonts w:ascii="Arial" w:cs="Arial" w:eastAsia="Arial" w:hAnsi="Arial"/>
          <w:sz w:val="18"/>
          <w:szCs w:val="18"/>
          <w:color w:val="auto"/>
        </w:rPr>
      </w:pPr>
    </w:p>
    <w:p>
      <w:pPr>
        <w:ind w:left="-20" w:right="140" w:firstLine="1948"/>
        <w:spacing w:after="0" w:line="268" w:lineRule="auto"/>
        <w:tabs>
          <w:tab w:leader="none" w:pos="2227"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Company shall pay to you all legal fees and expenses incurred by you as a result of such termination (including all such fees and expenses, if any, incurred in contesting or disputing any such termination or in seeking to obtain or enforce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58" w:name="page59"/>
    <w:bookmarkEnd w:id="58"/>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or benefit provided by this Agreement or in connection with any tax audit or proceeding to the extent attributable to the application of Section 4999 of the Internal Revenue Code of 1986, as amended (the “Code”) to any payment or benefit provided hereunder); and</w:t>
      </w:r>
    </w:p>
    <w:p>
      <w:pPr>
        <w:spacing w:after="0" w:line="132" w:lineRule="exact"/>
        <w:rPr>
          <w:sz w:val="20"/>
          <w:szCs w:val="20"/>
          <w:color w:val="auto"/>
        </w:rPr>
      </w:pPr>
    </w:p>
    <w:p>
      <w:pPr>
        <w:ind w:right="80" w:firstLine="1948"/>
        <w:spacing w:after="0" w:line="255" w:lineRule="auto"/>
        <w:tabs>
          <w:tab w:leader="none" w:pos="2237" w:val="left"/>
        </w:tabs>
        <w:numPr>
          <w:ilvl w:val="2"/>
          <w:numId w:val="31"/>
        </w:numPr>
        <w:rPr>
          <w:rFonts w:ascii="Arial" w:cs="Arial" w:eastAsia="Arial" w:hAnsi="Arial"/>
          <w:sz w:val="18"/>
          <w:szCs w:val="18"/>
          <w:color w:val="auto"/>
        </w:rPr>
      </w:pPr>
      <w:r>
        <w:rPr>
          <w:rFonts w:ascii="Arial" w:cs="Arial" w:eastAsia="Arial" w:hAnsi="Arial"/>
          <w:sz w:val="18"/>
          <w:szCs w:val="18"/>
          <w:color w:val="auto"/>
        </w:rPr>
        <w:t>for a twenty-four (24) month period after such termination, the Company shall arrange to provide you with life, disability, dental, accident and group health insurance benefits substantially similar to those which you were receiving immediately prior to the Notice of Termination. Notwithstanding the foregoing, the Company shall not provide any benefit otherwise receivable by you pursuant to this paragraph (iv) if an equivalent benefit is actually received by you during the twenty-four (24) month period following your termination. Any such benefit actually received by you shall be reported by you to the Company.</w:t>
      </w:r>
    </w:p>
    <w:p>
      <w:pPr>
        <w:spacing w:after="0" w:line="142" w:lineRule="exact"/>
        <w:rPr>
          <w:rFonts w:ascii="Arial" w:cs="Arial" w:eastAsia="Arial" w:hAnsi="Arial"/>
          <w:sz w:val="18"/>
          <w:szCs w:val="18"/>
          <w:color w:val="auto"/>
        </w:rPr>
      </w:pPr>
    </w:p>
    <w:p>
      <w:pPr>
        <w:ind w:right="60" w:firstLine="921"/>
        <w:spacing w:after="0" w:line="291" w:lineRule="auto"/>
        <w:tabs>
          <w:tab w:leader="none" w:pos="1162"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payments provided for in Subsections 5(b) and (c) shall be made not later than the fifth day following the Date of Termination; provided, however, that, if the amounts of such payments cannot be finally determined on or before such day, the Company shall pay to you on such day an estimate, as determined in good faith by the Company, of the minimum amount of such payments and shall pay the remainder of such payments (together with interest at the rate provided in Section 1274(b)(2)(B) of the Code) as soon as the amount thereof can be determined but in no event later than the thirtieth day after the Date of Termination. In the event that the amount of the estimated payments exceeds the amount subsequently determined to have been due, such excess shall be payable on the fifth day after demand by the Company (together with interest at the rate provided in Section 1274(b)(2)(B) of the Code).</w:t>
      </w:r>
    </w:p>
    <w:p>
      <w:pPr>
        <w:spacing w:after="0" w:line="120" w:lineRule="exact"/>
        <w:rPr>
          <w:rFonts w:ascii="Arial" w:cs="Arial" w:eastAsia="Arial" w:hAnsi="Arial"/>
          <w:sz w:val="16"/>
          <w:szCs w:val="16"/>
          <w:color w:val="auto"/>
        </w:rPr>
      </w:pPr>
    </w:p>
    <w:p>
      <w:pPr>
        <w:ind w:firstLine="921"/>
        <w:spacing w:after="0" w:line="256" w:lineRule="auto"/>
        <w:tabs>
          <w:tab w:leader="none" w:pos="11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Except as provided in the second sentence of Subsection 5(c)(iv) hereof, you shall not be required to mitigate the amount of any payment provided for in this Section 5 by seeking other employment or otherwise, nor shall the amount of any payment or benefit provided for in this Section 5 be reduced by any compensation earned by you as a result of employment by another employer, by retirement benefits or by offset against any amount claimed to be owed by you to the Company or otherwise.</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p>
    <w:p>
      <w:pPr>
        <w:spacing w:after="0" w:line="171" w:lineRule="exact"/>
        <w:rPr>
          <w:rFonts w:ascii="Arial" w:cs="Arial" w:eastAsia="Arial" w:hAnsi="Arial"/>
          <w:sz w:val="18"/>
          <w:szCs w:val="18"/>
          <w:color w:val="auto"/>
        </w:rPr>
      </w:pPr>
    </w:p>
    <w:p>
      <w:pPr>
        <w:ind w:right="40" w:firstLine="921"/>
        <w:spacing w:after="0" w:line="289" w:lineRule="auto"/>
        <w:tabs>
          <w:tab w:leader="none" w:pos="11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will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such succession had taken place. Failure of the Company to obtain an assumption of this Agreement prior to the effectiveness of any succession shall be a breach of this Agreement and shall entitle you to compensation from the Company in the same amount and on the same terms as you would be entitled hereunder if you had terminated your employment for Good Reason immediately after an Approved Change in Control of the Company, except that for purposes of implementing the foregoing, the date on which any such succession becomes effective shall be deemed the Date of Termination. As used in this Agreement, “Company” shall mean the Company as defined above and any successor to its business or assets as aforesaid which assumes and agrees to perform this Agreement by operation of law,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9" w:name="page60"/>
    <w:bookmarkEnd w:id="59"/>
    <w:p>
      <w:pPr>
        <w:ind w:right="160" w:firstLine="921"/>
        <w:spacing w:after="0" w:line="256" w:lineRule="auto"/>
        <w:tabs>
          <w:tab w:leader="none" w:pos="1162"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inure to the benefit of and be enforceable by your personal or legal representatives, executors, administrators, successors, heirs, distributees, devisees and legatees. If you should die while any amount would still be payable to you hereunder if you had continued to live, all such amounts, unless otherwise provided herein, shall be paid in accordance with the terms of this Agreement to your devisee, legatee or other designee or if there is no such designee, to your estate.</w:t>
      </w:r>
    </w:p>
    <w:p>
      <w:pPr>
        <w:spacing w:after="0" w:line="143" w:lineRule="exact"/>
        <w:rPr>
          <w:rFonts w:ascii="Arial" w:cs="Arial" w:eastAsia="Arial" w:hAnsi="Arial"/>
          <w:sz w:val="18"/>
          <w:szCs w:val="18"/>
          <w:color w:val="auto"/>
        </w:rPr>
      </w:pPr>
    </w:p>
    <w:p>
      <w:pPr>
        <w:ind w:right="60" w:firstLine="464"/>
        <w:spacing w:after="0" w:line="291"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xml:space="preserve"> This Agreement is intended to comply with Section 409A so that none of the payments hereunder will be subject to the additional tax imposed by Section 409A, and any ambiguities herein will be interpreted to so comply. The Company shall have no right to accelerate any payment or provision of any benefits under this Agreement or to make or provide any such payment or benefits if such payment or provision of such benefits would, as a result, be subject to tax under Section 409A of the Code. You and the Company agree to work together in good faith to consider amendments to this Agreement and to take such reasonable steps as necessary, appropriate or desirable to avoid imposition of any additional tax or income recognition prior to actual payment to you under Section 409A.</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Notwithstanding anything in this Agreement to the contrary, if you are determined to be a “Specified Employee” (as defined below) at the time of your termination, to the extent this Agreement provides for a “deferral of compensation” within the meaning of Code Section 409A, such benefits shall not be paid to you prior to the earlier of (i) the expiration of the six-month period measured from the date of your termination of employment; or (ii) the date of your death. Upon the occurrence of one of those events, all benefits deferred pursuant to this Section 7 and otherwise due shall be paid to you in a single lump-sum payment as soon as administratively practicable.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purposes of this Agreement, “Specified Employee” shall mean each officer of the Company and its affiliates, up to a maximum of fifty (50), having annual compensation in excess of $145,000 (as adjusted), a five percent owner of the Company and a one percent owner of the Company having annual compensation from the Company and its affiliates in excess of $150,000 (as adjusted), in each case determined pursuant to Section 416(i)(1)(A)(i), (ii), or (iii) of the Code (applied in accordance with the regulations thereunder) any time during the 12-month period ending on December 31</w:t>
      </w:r>
      <w:r>
        <w:rPr>
          <w:rFonts w:ascii="Arial" w:cs="Arial" w:eastAsia="Arial" w:hAnsi="Arial"/>
          <w:sz w:val="10"/>
          <w:szCs w:val="10"/>
          <w:color w:val="auto"/>
        </w:rPr>
        <w:t>st</w:t>
      </w:r>
      <w:r>
        <w:rPr>
          <w:rFonts w:ascii="Arial" w:cs="Arial" w:eastAsia="Arial" w:hAnsi="Arial"/>
          <w:sz w:val="16"/>
          <w:szCs w:val="16"/>
          <w:color w:val="auto"/>
        </w:rPr>
        <w:t xml:space="preserve"> of a calendar year, based on taxable wages as reported in Box 1 of Form W-2 for such period plus amounts that would be included in wages for such period but for pre-tax deferrals to a tax-favored retirement plan or cafeteria plan or for qualified transportation benefits, who performed services for the Company or its affiliates at any time during the 12-month period ending on December 31</w:t>
      </w:r>
      <w:r>
        <w:rPr>
          <w:rFonts w:ascii="Arial" w:cs="Arial" w:eastAsia="Arial" w:hAnsi="Arial"/>
          <w:sz w:val="10"/>
          <w:szCs w:val="10"/>
          <w:color w:val="auto"/>
        </w:rPr>
        <w:t>st</w:t>
      </w:r>
      <w:r>
        <w:rPr>
          <w:rFonts w:ascii="Arial" w:cs="Arial" w:eastAsia="Arial" w:hAnsi="Arial"/>
          <w:sz w:val="16"/>
          <w:szCs w:val="16"/>
          <w:color w:val="auto"/>
        </w:rPr>
        <w:t xml:space="preserve"> of such calendar year.</w:t>
      </w:r>
    </w:p>
    <w:p>
      <w:pPr>
        <w:spacing w:after="0" w:line="118" w:lineRule="exact"/>
        <w:rPr>
          <w:sz w:val="20"/>
          <w:szCs w:val="20"/>
          <w:color w:val="auto"/>
        </w:rPr>
      </w:pPr>
    </w:p>
    <w:p>
      <w:pPr>
        <w:ind w:firstLine="464"/>
        <w:spacing w:after="0" w:line="298"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For the purposes of this Agreement, notices and all other communications provided for in this Agreement shall be in writing and shall be duly given when delivered or when mailed by United States registered or certified mail, return receipt requested, postage prepaid, addressed to the President of the Company, at One Technology Way, Norwood, Massachusetts 02062, and to you at the address shown above or to such other address as either the Company or you may have furnished to the other in writing in accordance herewith, except that notice of change of address shall be effective only upon receipt.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60" w:name="page61"/>
    <w:bookmarkEnd w:id="60"/>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71" w:lineRule="exact"/>
        <w:rPr>
          <w:rFonts w:ascii="Arial" w:cs="Arial" w:eastAsia="Arial" w:hAnsi="Arial"/>
          <w:sz w:val="18"/>
          <w:szCs w:val="18"/>
          <w:color w:val="auto"/>
        </w:rPr>
      </w:pPr>
    </w:p>
    <w:p>
      <w:pPr>
        <w:ind w:right="160" w:firstLine="921"/>
        <w:spacing w:after="0" w:line="268" w:lineRule="auto"/>
        <w:tabs>
          <w:tab w:leader="none" w:pos="11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invalidity or unenforceability of any provision of this Agreement shall not affect the validity or enforceability of any other provision of this Agreement, which shall remain in full force and effect.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validity, interpretation, construction and performance of this Agreement shall be governed by the laws of the Commonwealth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Massachusetts.</w:t>
      </w:r>
    </w:p>
    <w:p>
      <w:pPr>
        <w:spacing w:after="0" w:line="164" w:lineRule="exact"/>
        <w:rPr>
          <w:rFonts w:ascii="Arial" w:cs="Arial" w:eastAsia="Arial" w:hAnsi="Arial"/>
          <w:sz w:val="16"/>
          <w:szCs w:val="16"/>
          <w:color w:val="auto"/>
        </w:rPr>
      </w:pPr>
    </w:p>
    <w:p>
      <w:pPr>
        <w:ind w:right="220" w:firstLine="921"/>
        <w:spacing w:after="0" w:line="268" w:lineRule="auto"/>
        <w:tabs>
          <w:tab w:leader="none" w:pos="11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waiver by you at any time of any breach of, or compliance with, any provision of this Agreement to be performed by the Company shall be deemed a waiver of that or any other provision at any subsequent time.</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to be an original but all of which together will constitute one and the same instrument.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payments provided for hereunder shall be paid net of any applicable withholding required under federal, state or local law.</w:t>
      </w:r>
    </w:p>
    <w:p>
      <w:pPr>
        <w:spacing w:after="0" w:line="171" w:lineRule="exact"/>
        <w:rPr>
          <w:rFonts w:ascii="Arial" w:cs="Arial" w:eastAsia="Arial" w:hAnsi="Arial"/>
          <w:sz w:val="18"/>
          <w:szCs w:val="18"/>
          <w:color w:val="auto"/>
        </w:rPr>
      </w:pPr>
    </w:p>
    <w:p>
      <w:pPr>
        <w:ind w:right="420" w:firstLine="921"/>
        <w:spacing w:after="0" w:line="256" w:lineRule="auto"/>
        <w:tabs>
          <w:tab w:leader="none" w:pos="113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cancelled.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61" w:name="page62"/>
    <w:bookmarkEnd w:id="61"/>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this letter sets forth our agreement on the subject matter hereof, kindly sign and return to the Company the enclosed copy of this letter, which will then constitute our agreement on this subject.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tabs>
          <w:tab w:leader="none" w:pos="1620" w:val="left"/>
          <w:tab w:leader="none" w:pos="2680" w:val="left"/>
          <w:tab w:leader="none" w:pos="3040" w:val="left"/>
        </w:tabs>
        <w:rPr>
          <w:sz w:val="20"/>
          <w:szCs w:val="20"/>
          <w:color w:val="auto"/>
        </w:rPr>
      </w:pPr>
      <w:r>
        <w:rPr>
          <w:rFonts w:ascii="Arial" w:cs="Arial" w:eastAsia="Arial" w:hAnsi="Arial"/>
          <w:sz w:val="18"/>
          <w:szCs w:val="18"/>
          <w:color w:val="auto"/>
        </w:rPr>
        <w:t>Agreed to as of this</w:t>
        <w:tab/>
        <w:t>day of</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update: September 28, 2009</w:t>
      </w:r>
    </w:p>
    <w:p>
      <w:pPr>
        <w:sectPr>
          <w:pgSz w:w="11900" w:h="16838" w:orient="portrait"/>
          <w:cols w:equalWidth="0" w:num="1">
            <w:col w:w="11420"/>
          </w:cols>
          <w:pgMar w:left="240" w:top="2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243330" cy="351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4333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NON-QUALIFIED STOCK OPTION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{EMPNAME}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{EMPNUM}</w:t>
      </w:r>
    </w:p>
    <w:p>
      <w:pPr>
        <w:spacing w:after="0" w:line="16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2006 Stock Incentive Plan (the “Plan”), and this Global Non-Qualified Stock Option Agreement, including Appendix A, which includes any applicable country-specific provisions (this agreement, together with Appendix A, the “Agreement”). The grant of this Option reflects the Company’s confidence in the Optionee’s commitment and contributions to the success and continued growth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212" w:lineRule="exact"/>
        <w:rPr>
          <w:sz w:val="20"/>
          <w:szCs w:val="20"/>
          <w:color w:val="auto"/>
        </w:rPr>
      </w:pPr>
    </w:p>
    <w:p>
      <w:pPr>
        <w:ind w:left="460" w:right="16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Subject to the terms and conditions of the Plan and this Agreement, the Company has granted to the Optionee an Option to purchase that number of shares of the Company’s Common Stock (the “Option Shares”) effective on the Date of Grant set forth below:</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Date of Grant:</w:t>
            </w:r>
          </w:p>
        </w:tc>
        <w:tc>
          <w:tcPr>
            <w:tcW w:w="3980" w:type="dxa"/>
            <w:vAlign w:val="bottom"/>
          </w:tcPr>
          <w:p>
            <w:pPr>
              <w:jc w:val="right"/>
              <w:spacing w:after="0"/>
              <w:rPr>
                <w:sz w:val="20"/>
                <w:szCs w:val="20"/>
                <w:color w:val="auto"/>
              </w:rPr>
            </w:pPr>
            <w:r>
              <w:rPr>
                <w:rFonts w:ascii="Arial" w:cs="Arial" w:eastAsia="Arial" w:hAnsi="Arial"/>
                <w:sz w:val="18"/>
                <w:szCs w:val="18"/>
                <w:color w:val="auto"/>
              </w:rPr>
              <w:t>{GRANTDATE}</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3980" w:type="dxa"/>
            <w:vAlign w:val="bottom"/>
          </w:tcPr>
          <w:p>
            <w:pPr>
              <w:jc w:val="right"/>
              <w:spacing w:after="0"/>
              <w:rPr>
                <w:sz w:val="20"/>
                <w:szCs w:val="20"/>
                <w:color w:val="auto"/>
              </w:rPr>
            </w:pPr>
            <w:r>
              <w:rPr>
                <w:rFonts w:ascii="Arial" w:cs="Arial" w:eastAsia="Arial" w:hAnsi="Arial"/>
                <w:sz w:val="18"/>
                <w:szCs w:val="18"/>
                <w:color w:val="auto"/>
              </w:rPr>
              <w:t>{SOSHARESGRANTED}</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3980" w:type="dxa"/>
            <w:vAlign w:val="bottom"/>
          </w:tcPr>
          <w:p>
            <w:pPr>
              <w:jc w:val="right"/>
              <w:spacing w:after="0"/>
              <w:rPr>
                <w:sz w:val="20"/>
                <w:szCs w:val="20"/>
                <w:color w:val="auto"/>
              </w:rPr>
            </w:pPr>
            <w:r>
              <w:rPr>
                <w:rFonts w:ascii="Arial" w:cs="Arial" w:eastAsia="Arial" w:hAnsi="Arial"/>
                <w:sz w:val="18"/>
                <w:szCs w:val="18"/>
                <w:color w:val="auto"/>
              </w:rPr>
              <w:t>{EXERCISEPRICE}</w:t>
            </w:r>
          </w:p>
        </w:tc>
      </w:tr>
    </w:tbl>
    <w:p>
      <w:pPr>
        <w:spacing w:after="0" w:line="196" w:lineRule="exact"/>
        <w:rPr>
          <w:sz w:val="20"/>
          <w:szCs w:val="20"/>
          <w:color w:val="auto"/>
        </w:rPr>
      </w:pPr>
    </w:p>
    <w:p>
      <w:pPr>
        <w:ind w:left="460" w:right="1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Vesting and Exercise of Option</w:t>
      </w:r>
      <w:r>
        <w:rPr>
          <w:rFonts w:ascii="Arial" w:cs="Arial" w:eastAsia="Arial" w:hAnsi="Arial"/>
          <w:sz w:val="18"/>
          <w:szCs w:val="18"/>
          <w:color w:val="auto"/>
        </w:rPr>
        <w:t>. Subject to the Optionee’s continued employment with the Company or the Employer (as defined in 3(h) below) and other limitations set forth in this Agreement and the Plan, the Option will vest as to a set number of shares on each of the vesting dates set out in the following schedule:</w:t>
      </w: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VEST DATE</w:t>
            </w:r>
          </w:p>
        </w:tc>
        <w:tc>
          <w:tcPr>
            <w:tcW w:w="356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NUMBER OF SHARES</w:t>
            </w:r>
          </w:p>
        </w:tc>
      </w:tr>
      <w:tr>
        <w:trPr>
          <w:trHeight w:val="309"/>
        </w:trPr>
        <w:tc>
          <w:tcPr>
            <w:tcW w:w="4320" w:type="dxa"/>
            <w:vAlign w:val="bottom"/>
            <w:gridSpan w:val="2"/>
          </w:tcPr>
          <w:p>
            <w:pPr>
              <w:spacing w:after="0"/>
              <w:rPr>
                <w:sz w:val="20"/>
                <w:szCs w:val="20"/>
                <w:color w:val="auto"/>
              </w:rPr>
            </w:pPr>
            <w:r>
              <w:rPr>
                <w:rFonts w:ascii="Arial" w:cs="Arial" w:eastAsia="Arial" w:hAnsi="Arial"/>
                <w:sz w:val="18"/>
                <w:szCs w:val="18"/>
                <w:color w:val="auto"/>
              </w:rPr>
              <w:t>{SOVESTDATE1}</w:t>
            </w:r>
          </w:p>
        </w:tc>
        <w:tc>
          <w:tcPr>
            <w:tcW w:w="1420" w:type="dxa"/>
            <w:vAlign w:val="bottom"/>
          </w:tcPr>
          <w:p>
            <w:pPr>
              <w:jc w:val="right"/>
              <w:spacing w:after="0"/>
              <w:rPr>
                <w:sz w:val="20"/>
                <w:szCs w:val="20"/>
                <w:color w:val="auto"/>
              </w:rPr>
            </w:pPr>
            <w:r>
              <w:rPr>
                <w:rFonts w:ascii="Arial" w:cs="Arial" w:eastAsia="Arial" w:hAnsi="Arial"/>
                <w:sz w:val="18"/>
                <w:szCs w:val="18"/>
                <w:color w:val="auto"/>
              </w:rPr>
              <w:t>{SHARES1}</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{SOVESTDATE2}</w:t>
            </w:r>
          </w:p>
        </w:tc>
        <w:tc>
          <w:tcPr>
            <w:tcW w:w="1420" w:type="dxa"/>
            <w:vAlign w:val="bottom"/>
          </w:tcPr>
          <w:p>
            <w:pPr>
              <w:jc w:val="right"/>
              <w:spacing w:after="0"/>
              <w:rPr>
                <w:sz w:val="20"/>
                <w:szCs w:val="20"/>
                <w:color w:val="auto"/>
              </w:rPr>
            </w:pPr>
            <w:r>
              <w:rPr>
                <w:rFonts w:ascii="Arial" w:cs="Arial" w:eastAsia="Arial" w:hAnsi="Arial"/>
                <w:sz w:val="18"/>
                <w:szCs w:val="18"/>
                <w:color w:val="auto"/>
              </w:rPr>
              <w:t>{SHARES2}</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{SOVESTDATE3}</w:t>
            </w:r>
          </w:p>
        </w:tc>
        <w:tc>
          <w:tcPr>
            <w:tcW w:w="1420" w:type="dxa"/>
            <w:vAlign w:val="bottom"/>
          </w:tcPr>
          <w:p>
            <w:pPr>
              <w:jc w:val="right"/>
              <w:spacing w:after="0"/>
              <w:rPr>
                <w:sz w:val="20"/>
                <w:szCs w:val="20"/>
                <w:color w:val="auto"/>
              </w:rPr>
            </w:pPr>
            <w:r>
              <w:rPr>
                <w:rFonts w:ascii="Arial" w:cs="Arial" w:eastAsia="Arial" w:hAnsi="Arial"/>
                <w:sz w:val="18"/>
                <w:szCs w:val="18"/>
                <w:color w:val="auto"/>
              </w:rPr>
              <w:t>{SHARES3}</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{SOVESTDATE4}</w:t>
            </w:r>
          </w:p>
        </w:tc>
        <w:tc>
          <w:tcPr>
            <w:tcW w:w="1420" w:type="dxa"/>
            <w:vAlign w:val="bottom"/>
          </w:tcPr>
          <w:p>
            <w:pPr>
              <w:jc w:val="right"/>
              <w:spacing w:after="0"/>
              <w:rPr>
                <w:sz w:val="20"/>
                <w:szCs w:val="20"/>
                <w:color w:val="auto"/>
              </w:rPr>
            </w:pPr>
            <w:r>
              <w:rPr>
                <w:rFonts w:ascii="Arial" w:cs="Arial" w:eastAsia="Arial" w:hAnsi="Arial"/>
                <w:sz w:val="18"/>
                <w:szCs w:val="18"/>
                <w:color w:val="auto"/>
              </w:rPr>
              <w:t>{SHARES4}</w:t>
            </w: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{SOVESTDATE5}</w:t>
            </w:r>
          </w:p>
        </w:tc>
        <w:tc>
          <w:tcPr>
            <w:tcW w:w="1420" w:type="dxa"/>
            <w:vAlign w:val="bottom"/>
          </w:tcPr>
          <w:p>
            <w:pPr>
              <w:jc w:val="right"/>
              <w:spacing w:after="0"/>
              <w:rPr>
                <w:sz w:val="20"/>
                <w:szCs w:val="20"/>
                <w:color w:val="auto"/>
              </w:rPr>
            </w:pPr>
            <w:r>
              <w:rPr>
                <w:rFonts w:ascii="Arial" w:cs="Arial" w:eastAsia="Arial" w:hAnsi="Arial"/>
                <w:sz w:val="18"/>
                <w:szCs w:val="18"/>
                <w:color w:val="auto"/>
              </w:rPr>
              <w:t>{SHARES5}</w:t>
            </w:r>
          </w:p>
        </w:tc>
      </w:tr>
    </w:tbl>
    <w:p>
      <w:pPr>
        <w:spacing w:after="0" w:line="15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right of exercise is cumulative, so that an Option, once vested, may be exercised, in whole or in part, at any time up to {EXPDATE}, the expiration date, or such earlier date as provided in Section 3 below or in the country-specific provisions in Appendix A.</w:t>
      </w:r>
    </w:p>
    <w:p>
      <w:pPr>
        <w:spacing w:after="0" w:line="17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 of Option; 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term of the Option is ten (10) years after the Date of Grant, subject, however, to the early termination provisions set forth herein.</w:t>
      </w:r>
    </w:p>
    <w:p>
      <w:pPr>
        <w:spacing w:after="0" w:line="113" w:lineRule="exact"/>
        <w:rPr>
          <w:rFonts w:ascii="Arial" w:cs="Arial" w:eastAsia="Arial" w:hAnsi="Arial"/>
          <w:sz w:val="16"/>
          <w:szCs w:val="16"/>
          <w:color w:val="auto"/>
        </w:rPr>
      </w:pPr>
    </w:p>
    <w:p>
      <w:pPr>
        <w:ind w:left="900" w:right="24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Except as otherwise provided herein, the Option shall be exercisable by the Optionee (or his/her successor in interest) following the termination of the Optionee’s employment only to the extent that the Option was vested on or prior to the date of such termination.</w:t>
      </w:r>
    </w:p>
    <w:p>
      <w:pPr>
        <w:spacing w:after="0" w:line="4" w:lineRule="exact"/>
        <w:rPr>
          <w:rFonts w:ascii="Arial" w:cs="Arial" w:eastAsia="Arial" w:hAnsi="Arial"/>
          <w:sz w:val="16"/>
          <w:szCs w:val="16"/>
          <w:color w:val="auto"/>
        </w:rPr>
      </w:pPr>
    </w:p>
    <w:p>
      <w:pPr>
        <w:ind w:left="900" w:right="20" w:hanging="446"/>
        <w:spacing w:after="0" w:line="298"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The vesting of the Option shall terminate on the date the Optionee </w:t>
      </w:r>
      <w:r>
        <w:rPr>
          <w:rFonts w:ascii="Arial" w:cs="Arial" w:eastAsia="Arial" w:hAnsi="Arial"/>
          <w:sz w:val="16"/>
          <w:szCs w:val="16"/>
          <w:u w:val="single" w:color="auto"/>
          <w:color w:val="auto"/>
        </w:rPr>
        <w:t>voluntarily terminates</w:t>
      </w:r>
      <w:r>
        <w:rPr>
          <w:rFonts w:ascii="Arial" w:cs="Arial" w:eastAsia="Arial" w:hAnsi="Arial"/>
          <w:sz w:val="16"/>
          <w:szCs w:val="16"/>
          <w:color w:val="auto"/>
        </w:rPr>
        <w:t xml:space="preserve"> employment with the Company or the Employer (as defined in Section 3(h))(except by reason of retirement after attaining age 60 as provided below) or on the date his/her employment is terminated by the Company or the Employer without “Cause” (as defined in paragraph d), but any Option Shares that are vested on the date of such termination shall continue to be exercisable for a period of three (3) months following such termination date.</w:t>
      </w:r>
    </w:p>
    <w:p>
      <w:pPr>
        <w:spacing w:after="0" w:line="31" w:lineRule="exact"/>
        <w:rPr>
          <w:rFonts w:ascii="Arial" w:cs="Arial" w:eastAsia="Arial" w:hAnsi="Arial"/>
          <w:sz w:val="16"/>
          <w:szCs w:val="16"/>
          <w:color w:val="auto"/>
        </w:rPr>
      </w:pPr>
    </w:p>
    <w:p>
      <w:pPr>
        <w:ind w:left="900" w:right="260" w:hanging="446"/>
        <w:spacing w:after="0" w:line="306"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the Employer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3" w:name="page64"/>
    <w:bookmarkEnd w:id="63"/>
    <w:p>
      <w:pPr>
        <w:jc w:val="both"/>
        <w:ind w:left="892" w:right="60" w:hanging="446"/>
        <w:spacing w:after="0" w:line="357" w:lineRule="auto"/>
        <w:tabs>
          <w:tab w:leader="none" w:pos="892" w:val="left"/>
        </w:tabs>
        <w:numPr>
          <w:ilvl w:val="1"/>
          <w:numId w:val="4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 xml:space="preserve">Upon the </w:t>
      </w:r>
      <w:r>
        <w:rPr>
          <w:rFonts w:ascii="Arial" w:cs="Arial" w:eastAsia="Arial" w:hAnsi="Arial"/>
          <w:sz w:val="15"/>
          <w:szCs w:val="15"/>
          <w:u w:val="single" w:color="auto"/>
          <w:color w:val="auto"/>
        </w:rPr>
        <w:t>death</w:t>
      </w:r>
      <w:r>
        <w:rPr>
          <w:rFonts w:ascii="Arial" w:cs="Arial" w:eastAsia="Arial" w:hAnsi="Arial"/>
          <w:sz w:val="15"/>
          <w:szCs w:val="15"/>
          <w:color w:val="auto"/>
        </w:rPr>
        <w:t xml:space="preserve"> of the Optionee while he/she is an employee of the Company or the Employer, the Option shall become immediately vested in full as to all shares on the date of death and shall continue to be exercisable (by the Optionee’s successor in interest) over the remaining term of the Option.</w:t>
      </w:r>
    </w:p>
    <w:p>
      <w:pPr>
        <w:ind w:left="892" w:right="220" w:hanging="446"/>
        <w:spacing w:after="0" w:line="255" w:lineRule="auto"/>
        <w:tabs>
          <w:tab w:leader="none" w:pos="8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the Optionee’s employment with the Company or the Employer terminates by reason of the retirement of the Optionee after attaining age 60, the vesting of the Option shall terminate on the date of such retirement, but any Option Shares that are vested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the Employer (as determined in the sole discretion of the Company).</w:t>
      </w:r>
    </w:p>
    <w:p>
      <w:pPr>
        <w:spacing w:after="0" w:line="61" w:lineRule="exact"/>
        <w:rPr>
          <w:rFonts w:ascii="Arial" w:cs="Arial" w:eastAsia="Arial" w:hAnsi="Arial"/>
          <w:sz w:val="18"/>
          <w:szCs w:val="18"/>
          <w:color w:val="auto"/>
        </w:rPr>
      </w:pPr>
    </w:p>
    <w:p>
      <w:pPr>
        <w:ind w:left="892" w:hanging="446"/>
        <w:spacing w:after="0" w:line="290" w:lineRule="auto"/>
        <w:tabs>
          <w:tab w:leader="none" w:pos="892"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If the Optionee becomes Disabled (as defined below), </w:t>
      </w:r>
      <w:r>
        <w:rPr>
          <w:rFonts w:ascii="Arial" w:cs="Arial" w:eastAsia="Arial" w:hAnsi="Arial"/>
          <w:sz w:val="16"/>
          <w:szCs w:val="16"/>
          <w:u w:val="single" w:color="auto"/>
          <w:color w:val="auto"/>
        </w:rPr>
        <w:t>regardless of whether Optionee terminates employment with the Company or the Employer</w:t>
      </w:r>
      <w:r>
        <w:rPr>
          <w:rFonts w:ascii="Arial" w:cs="Arial" w:eastAsia="Arial" w:hAnsi="Arial"/>
          <w:sz w:val="16"/>
          <w:szCs w:val="16"/>
          <w:color w:val="auto"/>
        </w:rPr>
        <w:t>, the Option Shares that are not vested as of the date of disability shall vest on the date or dates (over the remaining term of the Option) that they otherwise would have vested if the Optionee had not become Disabled. Any Option Shares that are vested upon disability prior to giving effect to this provision shall continue to be vested over the remaining term of the Option. For the purpose of this Agreement, “</w:t>
      </w:r>
      <w:r>
        <w:rPr>
          <w:rFonts w:ascii="Arial" w:cs="Arial" w:eastAsia="Arial" w:hAnsi="Arial"/>
          <w:sz w:val="16"/>
          <w:szCs w:val="16"/>
          <w:u w:val="single" w:color="auto"/>
          <w:color w:val="auto"/>
        </w:rPr>
        <w:t>Disabled</w:t>
      </w:r>
      <w:r>
        <w:rPr>
          <w:rFonts w:ascii="Arial" w:cs="Arial" w:eastAsia="Arial" w:hAnsi="Arial"/>
          <w:sz w:val="16"/>
          <w:szCs w:val="16"/>
          <w:color w:val="auto"/>
        </w:rPr>
        <w:t>” is defined pursuant to Internal Revenue Code Section 22(e)(3) and means the Optionee’s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37" w:lineRule="exact"/>
        <w:rPr>
          <w:rFonts w:ascii="Arial" w:cs="Arial" w:eastAsia="Arial" w:hAnsi="Arial"/>
          <w:sz w:val="16"/>
          <w:szCs w:val="16"/>
          <w:color w:val="auto"/>
        </w:rPr>
      </w:pPr>
    </w:p>
    <w:p>
      <w:pPr>
        <w:ind w:left="892" w:right="40" w:hanging="446"/>
        <w:spacing w:after="0" w:line="294" w:lineRule="auto"/>
        <w:tabs>
          <w:tab w:leader="none" w:pos="892" w:val="left"/>
        </w:tabs>
        <w:numPr>
          <w:ilvl w:val="1"/>
          <w:numId w:val="41"/>
        </w:numPr>
        <w:rPr>
          <w:rFonts w:ascii="Arial" w:cs="Arial" w:eastAsia="Arial" w:hAnsi="Arial"/>
          <w:sz w:val="16"/>
          <w:szCs w:val="16"/>
          <w:color w:val="auto"/>
        </w:rPr>
      </w:pPr>
      <w:r>
        <w:rPr>
          <w:rFonts w:ascii="Arial" w:cs="Arial" w:eastAsia="Arial" w:hAnsi="Arial"/>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34" w:lineRule="exact"/>
        <w:rPr>
          <w:rFonts w:ascii="Arial" w:cs="Arial" w:eastAsia="Arial" w:hAnsi="Arial"/>
          <w:sz w:val="16"/>
          <w:szCs w:val="16"/>
          <w:color w:val="auto"/>
        </w:rPr>
      </w:pPr>
    </w:p>
    <w:p>
      <w:pPr>
        <w:ind w:left="892" w:right="60" w:hanging="446"/>
        <w:spacing w:after="0" w:line="259" w:lineRule="auto"/>
        <w:tabs>
          <w:tab w:leader="none" w:pos="8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following payment methods may be used to purchase Option Shares: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cashless exercise in a manner described in Section 5(f)(2) of the Plan.</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90" w:lineRule="exact"/>
        <w:rPr>
          <w:rFonts w:ascii="Arial" w:cs="Arial" w:eastAsia="Arial" w:hAnsi="Arial"/>
          <w:sz w:val="18"/>
          <w:szCs w:val="18"/>
          <w:color w:val="auto"/>
        </w:rPr>
      </w:pPr>
    </w:p>
    <w:p>
      <w:pPr>
        <w:ind w:left="892" w:right="580" w:hanging="446"/>
        <w:spacing w:after="0" w:line="268" w:lineRule="auto"/>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owned by the Optionee and subject to such other terms and conditions contained in the Plan.</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211" w:lineRule="exact"/>
        <w:rPr>
          <w:rFonts w:ascii="Arial" w:cs="Arial" w:eastAsia="Arial" w:hAnsi="Arial"/>
          <w:sz w:val="18"/>
          <w:szCs w:val="18"/>
          <w:color w:val="auto"/>
        </w:rPr>
      </w:pPr>
    </w:p>
    <w:p>
      <w:pPr>
        <w:ind w:left="452" w:right="80" w:hanging="452"/>
        <w:spacing w:after="0" w:line="306"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47" w:lineRule="exact"/>
        <w:rPr>
          <w:rFonts w:ascii="Arial" w:cs="Arial" w:eastAsia="Arial" w:hAnsi="Arial"/>
          <w:sz w:val="16"/>
          <w:szCs w:val="16"/>
          <w:color w:val="auto"/>
        </w:rPr>
      </w:pPr>
    </w:p>
    <w:p>
      <w:pPr>
        <w:ind w:left="452" w:right="100" w:hanging="452"/>
        <w:spacing w:after="0" w:line="332"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Adjustment</w:t>
      </w:r>
      <w:r>
        <w:rPr>
          <w:rFonts w:ascii="Arial" w:cs="Arial" w:eastAsia="Arial" w:hAnsi="Arial"/>
          <w:sz w:val="16"/>
          <w:szCs w:val="16"/>
          <w:color w:val="auto"/>
        </w:rPr>
        <w: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25" w:lineRule="exact"/>
        <w:rPr>
          <w:rFonts w:ascii="Arial" w:cs="Arial" w:eastAsia="Arial" w:hAnsi="Arial"/>
          <w:sz w:val="16"/>
          <w:szCs w:val="16"/>
          <w:color w:val="auto"/>
        </w:rPr>
      </w:pPr>
    </w:p>
    <w:p>
      <w:pPr>
        <w:ind w:left="452" w:right="200" w:hanging="452"/>
        <w:spacing w:after="0" w:line="283"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Regardless of any action the Company or the Employer, if different, takes with respect to any or all income tax, social insurance, payroll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w:t>
      </w:r>
    </w:p>
    <w:p>
      <w:pPr>
        <w:spacing w:after="0" w:line="2" w:lineRule="exact"/>
        <w:rPr>
          <w:rFonts w:ascii="Arial" w:cs="Arial" w:eastAsia="Arial" w:hAnsi="Arial"/>
          <w:sz w:val="16"/>
          <w:szCs w:val="16"/>
          <w:color w:val="auto"/>
        </w:rPr>
      </w:pPr>
    </w:p>
    <w:p>
      <w:pPr>
        <w:ind w:left="452" w:right="220" w:hanging="6"/>
        <w:spacing w:after="0" w:line="252" w:lineRule="auto"/>
        <w:tabs>
          <w:tab w:leader="none" w:pos="6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1063" w:right="239" w:bottom="1440" w:gutter="0" w:footer="0" w:header="0"/>
        </w:sectPr>
      </w:pPr>
    </w:p>
    <w:bookmarkStart w:id="64" w:name="page65"/>
    <w:bookmarkEnd w:id="64"/>
    <w:p>
      <w:pPr>
        <w:ind w:left="452"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Prior to the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 (i) withholding from the Optionee’s wages or other cash compensation paid to the Optionee by the Company and/or the Employer; or (ii) withholding from proceeds of the sale of Option Shares acquired at exercise of the Option either through a voluntary sale or through a mandatory sale arranged by the Company (on the Optionee’s behalf pursuant to this authorization); or (iii) withholding a sufficient number of whole Option Shares otherwise issuable upon the exercise of the Option that have an aggregate Fair Market Value (as defined under the Plan) sufficient to pay the minimum Tax-Related Items required to be withheld with respect to the exercised Option. The cash equivalent of the Option Shares withheld will be used to settle the obligation to withhold the Tax-Related Items (determined by reference to the closing price of the Common Stock on the New York Stock Exchange on the applicable exercise date).</w:t>
      </w:r>
    </w:p>
    <w:p>
      <w:pPr>
        <w:spacing w:after="0" w:line="39"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To avoid any negative accounting treatment, the Company may withhold or account for Tax-Related Items by considering applicable minimum statutory withholding amounts or other applicable withholding rates. If the obligation for Tax-Related Items is satisfied by withholding in whole Option Shares, for tax purposes, the Optionee is deemed to have been issued the full number of Option Shares subject to the exercised Options, notwithstanding that a number of the Option Shares are held back solely for the purpose of paying the Tax-Related Items due as a result of any aspect of the Optionee’s participation in the Plan. No fractional Option Shares will be withheld or issued pursuant to the grant of the Option and the issuance of Option Shares hereunder.</w:t>
      </w:r>
    </w:p>
    <w:p>
      <w:pPr>
        <w:spacing w:after="0" w:line="35"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84" w:lineRule="exact"/>
        <w:rPr>
          <w:sz w:val="20"/>
          <w:szCs w:val="20"/>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Option, the Optionee acknowledges, understands and agrees that:</w:t>
      </w:r>
    </w:p>
    <w:p>
      <w:pPr>
        <w:spacing w:after="0" w:line="90"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w:t>
      </w:r>
    </w:p>
    <w:p>
      <w:pPr>
        <w:spacing w:after="0" w:line="5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the Company;</w:t>
      </w:r>
    </w:p>
    <w:p>
      <w:pPr>
        <w:spacing w:after="0" w:line="90"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Optionee is voluntarily participating in the Plan;</w:t>
      </w:r>
    </w:p>
    <w:p>
      <w:pPr>
        <w:spacing w:after="0" w:line="90" w:lineRule="exact"/>
        <w:rPr>
          <w:rFonts w:ascii="Arial" w:cs="Arial" w:eastAsia="Arial" w:hAnsi="Arial"/>
          <w:sz w:val="18"/>
          <w:szCs w:val="18"/>
          <w:color w:val="auto"/>
        </w:rPr>
      </w:pPr>
    </w:p>
    <w:p>
      <w:pPr>
        <w:ind w:left="892" w:right="20" w:hanging="446"/>
        <w:spacing w:after="0" w:line="256"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Option and any Option Shares acquired under the Plan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62"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Option grant and the Optionee’s participation in the Plan will not be interpreted to form an employment or service contract or relationship with the Company or the Employer;</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future value of the Option Shares underlying the Option is unknown and cannot be predicted with certainty;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underlying Option Shares do not increase in value, the Option will have no value;</w:t>
      </w:r>
    </w:p>
    <w:p>
      <w:pPr>
        <w:spacing w:after="0" w:line="90"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Optionee exercises the Option and acquires Option Shares, the value of such Option Shares may increase or decrease in value, even below the Exercise Price;</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 Optionees who reside outside the U.S., the following additional provisions shall apply:</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Option and any Option Shares acquired under the Plan are not intended to replace any pension rights or compensation;</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982" w:right="259" w:bottom="1440" w:gutter="0" w:footer="0" w:header="0"/>
        </w:sectPr>
      </w:pPr>
    </w:p>
    <w:bookmarkStart w:id="65" w:name="page66"/>
    <w:bookmarkEnd w:id="65"/>
    <w:p>
      <w:pPr>
        <w:ind w:left="1472" w:right="380" w:hanging="567"/>
        <w:spacing w:after="0" w:line="259" w:lineRule="auto"/>
        <w:tabs>
          <w:tab w:leader="none" w:pos="1472"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the Option and any Option Shares acquired under the Plan are extraordinary items that do not constitute compensation of any kind for services of any kind rendered to the Company or the Employer, and which is outside the scope of the Optionee’s employment or service contract, if any;</w:t>
      </w:r>
    </w:p>
    <w:p>
      <w:pPr>
        <w:spacing w:after="0" w:line="59" w:lineRule="exact"/>
        <w:rPr>
          <w:rFonts w:ascii="Arial" w:cs="Arial" w:eastAsia="Arial" w:hAnsi="Arial"/>
          <w:sz w:val="18"/>
          <w:szCs w:val="18"/>
          <w:color w:val="auto"/>
        </w:rPr>
      </w:pPr>
    </w:p>
    <w:p>
      <w:pPr>
        <w:ind w:left="1472" w:right="160" w:hanging="567"/>
        <w:spacing w:after="0" w:line="306" w:lineRule="auto"/>
        <w:tabs>
          <w:tab w:leader="none" w:pos="1472"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25" w:lineRule="exact"/>
        <w:rPr>
          <w:rFonts w:ascii="Arial" w:cs="Arial" w:eastAsia="Arial" w:hAnsi="Arial"/>
          <w:sz w:val="16"/>
          <w:szCs w:val="16"/>
          <w:color w:val="auto"/>
        </w:rPr>
      </w:pPr>
    </w:p>
    <w:p>
      <w:pPr>
        <w:ind w:left="1472" w:right="100" w:hanging="567"/>
        <w:spacing w:after="0" w:line="290" w:lineRule="auto"/>
        <w:tabs>
          <w:tab w:leader="none" w:pos="1472"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termination of the Optionee’s employment by the Company or the Employer (for any reason whatsoever and whether or not in breach of local labor laws) and in consideration of the grant of the Option to which the Optionee is otherwise not entitled, the Optionee irrevocably agrees never to institute any claim against the Company or the Employer, waive his or her ability, if any, to bring any such claim, and release the Company and the Employer from any such claim; if, notwithstanding the foregoing, any such claim is allowed by a court of competent jurisdiction, then, by participating in the Plan, the Optionee shall be deemed irrevocably to have agreed not to pursue such claim and agree to execute any and all documents necessary to request dismissal or withdrawal of such claims.</w:t>
      </w:r>
    </w:p>
    <w:p>
      <w:pPr>
        <w:spacing w:after="0" w:line="158" w:lineRule="exact"/>
        <w:rPr>
          <w:rFonts w:ascii="Arial" w:cs="Arial" w:eastAsia="Arial" w:hAnsi="Arial"/>
          <w:sz w:val="16"/>
          <w:szCs w:val="16"/>
          <w:color w:val="auto"/>
        </w:rPr>
      </w:pPr>
    </w:p>
    <w:p>
      <w:pPr>
        <w:ind w:left="452" w:right="40" w:hanging="452"/>
        <w:spacing w:after="0" w:line="306" w:lineRule="auto"/>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hereby advised to consult with his or her own personal tax, legal and financial advisors regarding his or her participation in the Plan before taking any action related to the Plan.</w:t>
      </w:r>
    </w:p>
    <w:p>
      <w:pPr>
        <w:spacing w:after="0" w:line="147" w:lineRule="exact"/>
        <w:rPr>
          <w:rFonts w:ascii="Arial" w:cs="Arial" w:eastAsia="Arial" w:hAnsi="Arial"/>
          <w:sz w:val="16"/>
          <w:szCs w:val="16"/>
          <w:color w:val="auto"/>
        </w:rPr>
      </w:pPr>
    </w:p>
    <w:p>
      <w:pPr>
        <w:ind w:left="452" w:right="420" w:hanging="452"/>
        <w:spacing w:after="0" w:line="256"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w:t>
      </w:r>
      <w:r>
        <w:rPr>
          <w:rFonts w:ascii="Arial" w:cs="Arial" w:eastAsia="Arial" w:hAnsi="Arial"/>
          <w:sz w:val="18"/>
          <w:szCs w:val="18"/>
          <w:i w:val="1"/>
          <w:iCs w:val="1"/>
          <w:color w:val="auto"/>
        </w:rPr>
        <w:t>. This Section 10 applies if the Optionee resides outside the U.S.: The Optionee hereby explicitly and unambiguously consents to the collection, use and transfer, in electronic or other form, of the Optionee’s personal data as described in this Agreement and any other Option grant materials by and among, as applicable, the Employer, the Company and its subsidiaries for the exclusive purpose of implementing, administering and managing the Optionee’s participation in the Plan.</w:t>
      </w:r>
    </w:p>
    <w:p>
      <w:pPr>
        <w:spacing w:after="0" w:line="62"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i w:val="1"/>
          <w:iCs w:val="1"/>
          <w:color w:val="auto"/>
        </w:rPr>
        <w:t>The Optionee understands that the Company and the Employer may hold certain personal information about the Optionee, including, but not limited to, the Optionee’s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 (“Data”).</w:t>
      </w:r>
    </w:p>
    <w:p>
      <w:pPr>
        <w:spacing w:after="0" w:line="31" w:lineRule="exact"/>
        <w:rPr>
          <w:rFonts w:ascii="Arial" w:cs="Arial" w:eastAsia="Arial" w:hAnsi="Arial"/>
          <w:sz w:val="18"/>
          <w:szCs w:val="18"/>
          <w:color w:val="auto"/>
        </w:rPr>
      </w:pPr>
    </w:p>
    <w:p>
      <w:pPr>
        <w:ind w:left="452" w:right="20"/>
        <w:spacing w:after="0" w:line="286" w:lineRule="auto"/>
        <w:rPr>
          <w:rFonts w:ascii="Arial" w:cs="Arial" w:eastAsia="Arial" w:hAnsi="Arial"/>
          <w:sz w:val="18"/>
          <w:szCs w:val="18"/>
          <w:color w:val="auto"/>
        </w:rPr>
      </w:pPr>
      <w:r>
        <w:rPr>
          <w:rFonts w:ascii="Arial" w:cs="Arial" w:eastAsia="Arial" w:hAnsi="Arial"/>
          <w:sz w:val="16"/>
          <w:szCs w:val="16"/>
          <w:i w:val="1"/>
          <w:iCs w:val="1"/>
          <w:color w:val="auto"/>
        </w:rPr>
        <w:t>The Optionee understands that Data will be transferred to such other stock plan service provider as may be selected by the Company that assists the Company with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the Optionee’s local human resources representative. The Optionee authorizes the Company, the stock plan service provider,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his or her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61"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Commonwealth of Massachusetts without regard to any applicable conflicts of laws.</w:t>
      </w:r>
    </w:p>
    <w:p>
      <w:pPr>
        <w:spacing w:after="0" w:line="172" w:lineRule="exact"/>
        <w:rPr>
          <w:rFonts w:ascii="Arial" w:cs="Arial" w:eastAsia="Arial" w:hAnsi="Arial"/>
          <w:sz w:val="18"/>
          <w:szCs w:val="18"/>
          <w:color w:val="auto"/>
        </w:rPr>
      </w:pPr>
    </w:p>
    <w:p>
      <w:pPr>
        <w:ind w:left="452" w:right="60" w:hanging="452"/>
        <w:spacing w:after="0" w:line="309" w:lineRule="auto"/>
        <w:tabs>
          <w:tab w:leader="none" w:pos="452"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Compliance with Law</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SEC or any state or foreign securities commission or to seek approval or clearance from any governmental authority for the issuance or sale of the Option Shares.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1063" w:right="259" w:bottom="1440" w:gutter="0" w:footer="0" w:header="0"/>
        </w:sectPr>
      </w:pPr>
    </w:p>
    <w:bookmarkStart w:id="66" w:name="page67"/>
    <w:bookmarkEnd w:id="66"/>
    <w:p>
      <w:pPr>
        <w:ind w:left="460" w:hanging="452"/>
        <w:spacing w:after="0" w:line="30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Electronic Delivery</w:t>
      </w:r>
      <w:r>
        <w:rPr>
          <w:rFonts w:ascii="Arial" w:cs="Arial" w:eastAsia="Arial" w:hAnsi="Arial"/>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rFonts w:ascii="Arial" w:cs="Arial" w:eastAsia="Arial" w:hAnsi="Arial"/>
          <w:sz w:val="16"/>
          <w:szCs w:val="16"/>
          <w:color w:val="auto"/>
        </w:rPr>
      </w:pPr>
    </w:p>
    <w:p>
      <w:pPr>
        <w:ind w:left="460" w:right="22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25"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2"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The Option shall be subject to any special provisions set forth in the Appendix for the Optionee’s country of residence, if any. If the Optionee relocates to one of the countries included in the Appendix during the life of the Option, the special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83"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Option and the Option Shares purchased upon exercise of the Option, to the extent the Company determines it is necessary or advisable in order to comply with local laws or facilitate the administration of the Plan, and to require the Optionee to sign any additional agreements or undertakings that may be necessary to accomplish the foregoing.</w:t>
      </w:r>
    </w:p>
    <w:p>
      <w:pPr>
        <w:spacing w:after="0" w:line="107"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A copy of the Plan prospectus is available on the Company’s Intranet at http://signals.corpnt.analog.com/default.aspx. (From Signals home page, click Knowledge Centers, HR, Employee Stock Programs. The related documents can be found in the right-hand column.) If the Optionee is unable to access this information via the Intranet, ADI’s or the Optionee’s regional stock plan administrator can provide the Optionee with copies.</w:t>
      </w:r>
    </w:p>
    <w:p>
      <w:pPr>
        <w:sectPr>
          <w:pgSz w:w="11900" w:h="16838" w:orient="portrait"/>
          <w:cols w:equalWidth="0" w:num="1">
            <w:col w:w="11420"/>
          </w:cols>
          <w:pgMar w:left="240" w:top="1185" w:right="239" w:bottom="1440" w:gutter="0" w:footer="0" w:header="0"/>
        </w:sectPr>
      </w:pPr>
    </w:p>
    <w:p>
      <w:pPr>
        <w:spacing w:after="0" w:line="1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Ray Stata</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174" w:lineRule="exact"/>
        <w:rPr>
          <w:sz w:val="20"/>
          <w:szCs w:val="20"/>
          <w:color w:val="auto"/>
        </w:rPr>
      </w:pPr>
    </w:p>
    <w:p>
      <w:pPr>
        <w:sectPr>
          <w:pgSz w:w="11900" w:h="16838" w:orient="portrait"/>
          <w:cols w:equalWidth="0" w:num="2">
            <w:col w:w="5340" w:space="720"/>
            <w:col w:w="5360"/>
          </w:cols>
          <w:pgMar w:left="240" w:top="1185"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185" w:right="239" w:bottom="1440" w:gutter="0" w:footer="0" w:header="0"/>
          <w:type w:val="continuous"/>
        </w:sectPr>
      </w:pPr>
    </w:p>
    <w:bookmarkStart w:id="67" w:name="page68"/>
    <w:bookmarkEnd w:id="67"/>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NON-QUALIFIED STOCK OPTION AGREEMENT</w:t>
      </w:r>
    </w:p>
    <w:p>
      <w:pPr>
        <w:spacing w:after="0" w:line="16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This Appendix A includes additional terms and conditions that govern the Options granted to the Optionee if the Optionee resides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January 2012.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the information is general in nature and may not apply to the Optionee’s particular situation, and the Company is not in a position to assure the Optionee of any particular result. Therefore, the Optionee is advised to seek appropriate professional advice as to how the relevant laws in the Optionee’s country may apply to his or her situation.</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Finally, the Optionee understands that if he or she is a citizen or resident of a country other than the one in which the Optionee is currently working, transfers employment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Taxation of Option</w:t>
      </w:r>
      <w:r>
        <w:rPr>
          <w:rFonts w:ascii="Arial" w:cs="Arial" w:eastAsia="Arial" w:hAnsi="Arial"/>
          <w:sz w:val="18"/>
          <w:szCs w:val="18"/>
          <w:color w:val="auto"/>
        </w:rPr>
        <w:t>. The Option must be accepted in writing either (i) within 60 days of the offer (for tax at offer), or (ii) after 60 days of the offer (for tax at exercise). The Optionee has received a separate offer letter, acceptance form and undertaking form in addition to the Agreement. The Optionee should refer to the offer letter for a more detailed description of the tax consequences of choosing to accept the Option. The Optionee should consult with his or her personal tax advisor regarding completion of the additional forms.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supplements Section 10 of the Agreement:</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further authorizes the Company and the Employer to record such information and to keep such information in the Optionee’s employee file.</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u w:val="single" w:color="auto"/>
          <w:color w:val="auto"/>
        </w:rPr>
        <w:t>Payment of Exercise Price and Withholding Taxes</w:t>
      </w:r>
      <w:r>
        <w:rPr>
          <w:rFonts w:ascii="Arial" w:cs="Arial" w:eastAsia="Arial" w:hAnsi="Arial"/>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following supplements Section 4 of the Agreement: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 - 1</w:t>
      </w:r>
    </w:p>
    <w:p>
      <w:pPr>
        <w:sectPr>
          <w:pgSz w:w="11900" w:h="16838" w:orient="portrait"/>
          <w:cols w:equalWidth="0" w:num="1">
            <w:col w:w="11380"/>
          </w:cols>
          <w:pgMar w:left="240" w:top="976" w:right="279" w:bottom="1440" w:gutter="0" w:footer="0" w:header="0"/>
        </w:sectPr>
      </w:pPr>
    </w:p>
    <w:bookmarkStart w:id="68" w:name="page69"/>
    <w:bookmarkEnd w:id="68"/>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Option Shares after exercise. The Optionee understands and agrees that the Tax-Related Items with respect to the exercise of the Options may be taken by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notwithstanding Section 3(e) or Section (g) of the Agreement, if the Optionee terminates employment with the Company or the Employer due to death or disability, the vesting of the Option shall terminate on the date of such termination, and the Option Shares that are vested on the date of such termination shall continue to be exercisable for a period of three (3) months following such termination date. If the Optionee or the Optionee’s heirs do not exercise the Option within three (3) months of the Optionee’s termination due to death or disability, the Option will be forfeited and the Optionee or the Optionee’s heirs will not be able to exercise the Option.</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Danish Stock Option Act</w:t>
      </w:r>
      <w:r>
        <w:rPr>
          <w:rFonts w:ascii="Arial" w:cs="Arial" w:eastAsia="Arial" w:hAnsi="Arial"/>
          <w:sz w:val="18"/>
          <w:szCs w:val="18"/>
          <w:color w:val="auto"/>
        </w:rPr>
        <w:t>. By participating in the Plan, the Optionee acknowledges that he or she received an Employer Statement translated into Danish, which is being provided to comply with the Danish Stock Option Act. To the extent more favorable to the Optionee, the terms set forth in the Employer Statement will apply to the Optionee’s participation in the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of Grant</w:t>
      </w:r>
      <w:r>
        <w:rPr>
          <w:rFonts w:ascii="Arial" w:cs="Arial" w:eastAsia="Arial" w:hAnsi="Arial"/>
          <w:sz w:val="18"/>
          <w:szCs w:val="18"/>
          <w:color w:val="auto"/>
        </w:rPr>
        <w:t>. This provision supplements Section 8 in the Agreement:</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By accepting the Option, the Optionee acknowledges, understands and agrees that this grant relates to future services to be performed and is not a bonus or compensation for past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u w:val="single" w:color="auto"/>
          <w:color w:val="auto"/>
        </w:rPr>
        <w:t>French Qualified Option</w:t>
      </w:r>
      <w:r>
        <w:rPr>
          <w:rFonts w:ascii="Arial" w:cs="Arial" w:eastAsia="Arial" w:hAnsi="Arial"/>
          <w:sz w:val="18"/>
          <w:szCs w:val="18"/>
          <w:color w:val="auto"/>
        </w:rPr>
        <w:t>. This Option is intended to qualify for favorable tax and social security treatment applicable to stock options granted under Section L.225-177 to L.225-186-1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Plan Terms</w:t>
      </w:r>
      <w:r>
        <w:rPr>
          <w:rFonts w:ascii="Arial" w:cs="Arial" w:eastAsia="Arial" w:hAnsi="Arial"/>
          <w:sz w:val="18"/>
          <w:szCs w:val="18"/>
          <w:color w:val="auto"/>
        </w:rPr>
        <w:t>. The Options are subject to the terms and conditions of the Plan and the Rules of the Analog Devices, Inc. 2006 Stock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Option Exercise Price Per Share</w:t>
      </w:r>
      <w:r>
        <w:rPr>
          <w:rFonts w:ascii="Arial" w:cs="Arial" w:eastAsia="Arial" w:hAnsi="Arial"/>
          <w:sz w:val="18"/>
          <w:szCs w:val="18"/>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of the Option</w:t>
      </w:r>
      <w:r>
        <w:rPr>
          <w:rFonts w:ascii="Arial" w:cs="Arial" w:eastAsia="Arial" w:hAnsi="Arial"/>
          <w:sz w:val="18"/>
          <w:szCs w:val="18"/>
          <w:color w:val="auto"/>
        </w:rPr>
        <w:t>. This provision replaces Section 2 of the Agreement:</w:t>
      </w:r>
    </w:p>
    <w:p>
      <w:pPr>
        <w:spacing w:after="0" w:line="17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Subject to the Optionee’s continued employment, the Option will vest and become exercisable with respect to 100% of the Option Shares on the fourth anniversary of the Effective Grant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- 2</w:t>
      </w:r>
    </w:p>
    <w:p>
      <w:pPr>
        <w:sectPr>
          <w:pgSz w:w="11900" w:h="16838" w:orient="portrait"/>
          <w:cols w:equalWidth="0" w:num="1">
            <w:col w:w="11420"/>
          </w:cols>
          <w:pgMar w:left="240" w:top="98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Expiration</w:t>
      </w:r>
      <w:r>
        <w:rPr>
          <w:rFonts w:ascii="Arial" w:cs="Arial" w:eastAsia="Arial" w:hAnsi="Arial"/>
          <w:sz w:val="18"/>
          <w:szCs w:val="18"/>
          <w:color w:val="auto"/>
        </w:rPr>
        <w:t>. This provision replaces Section 3(c) of the Agreement:</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Notwithstanding Section 3(a) of the Agreement, the Option will expire 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years after the Effective Grant Date ({FRENCHEXPDATE}), as defined in the French Sub-plan.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Upon Death</w:t>
      </w:r>
      <w:r>
        <w:rPr>
          <w:rFonts w:ascii="Arial" w:cs="Arial" w:eastAsia="Arial" w:hAnsi="Arial"/>
          <w:sz w:val="18"/>
          <w:szCs w:val="18"/>
          <w:color w:val="auto"/>
        </w:rPr>
        <w:t>. This provision replaces Section 3(e) of the Agreement:</w:t>
      </w:r>
    </w:p>
    <w:p>
      <w:pPr>
        <w:spacing w:after="0" w:line="171"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If the Optionee’s employment is terminated because of death, the Optionee’s the unvested portion of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Consentement a la Langue</w:t>
      </w:r>
      <w:r>
        <w:rPr>
          <w:rFonts w:ascii="Arial" w:cs="Arial" w:eastAsia="Arial" w:hAnsi="Arial"/>
          <w:sz w:val="18"/>
          <w:szCs w:val="18"/>
          <w:color w:val="auto"/>
        </w:rPr>
        <w:t>. En signant et renvoyant cet Accord, ou par acceptant autrement l’Accord, le Titulaire de l’Option confirme ainsi avoir lu et compris</w:t>
      </w:r>
      <w:r>
        <w:rPr>
          <w:rFonts w:ascii="Arial" w:cs="Arial" w:eastAsia="Arial" w:hAnsi="Arial"/>
          <w:sz w:val="18"/>
          <w:szCs w:val="18"/>
          <w:i w:val="1"/>
          <w:iCs w:val="1"/>
          <w:color w:val="auto"/>
        </w:rPr>
        <w:t xml:space="preserve"> </w:t>
      </w:r>
      <w:r>
        <w:rPr>
          <w:rFonts w:ascii="Arial" w:cs="Arial" w:eastAsia="Arial" w:hAnsi="Arial"/>
          <w:sz w:val="18"/>
          <w:szCs w:val="18"/>
          <w:color w:val="auto"/>
        </w:rPr>
        <w:t>les documents relatifs à l’Option, (c’est-à-dire, Le Plan, Le Plan pour la France et cet Accord) qui ont été fournis en langue anglaise. Le Titulaire de l’Option accepte les termes de ces documents en connaissance de cause.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9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i w:val="1"/>
          <w:iCs w:val="1"/>
          <w:color w:val="auto"/>
        </w:rPr>
        <w:t>Warning: The Options and Option Shares acquired upon exercise of the Options do not constitute a public offering of securities under Hong Kong law and are available only to employees of the Company. The Agreement, including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Options are intended only for the personal use of each eligible employee of the Company and may not be distributed to any other person. If the Optionee is in any doubt about any of the contents of the Agreement, including Appendix A or the Plan, the Optionee should obtain independent professional advice.</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To facilitate compliance with securities laws in Hong Kong, in the event the Optionee’s Options vest and become exercisable within six (6) months of the Date of Grant, the Optionee agrees not to sell the Option Shares issued upon exercise of the Options prior to the six-month anniversary of the Date of Grant.</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Nature of Scheme</w:t>
      </w:r>
      <w:r>
        <w:rPr>
          <w:rFonts w:ascii="Arial" w:cs="Arial" w:eastAsia="Arial" w:hAnsi="Arial"/>
          <w:sz w:val="18"/>
          <w:szCs w:val="18"/>
          <w:color w:val="auto"/>
        </w:rPr>
        <w:t>. The Company specifically intends that the Plan will not be an occupational retirement scheme for purposes of the Occupational Retirement Schemes Ordinance (“ORSO”). Notwithstanding the foregoing, if the Plan is deemed to constitute an occupational retirement scheme for the purposes of ORSO, then the Optionee’s grant shall be void.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to the contrary in the Agreement, due to legal restrictions in India, the Optionee will not be permitted to pay the Exercise Price by</w:t>
      </w:r>
    </w:p>
    <w:p>
      <w:pPr>
        <w:spacing w:after="0" w:line="38" w:lineRule="exact"/>
        <w:rPr>
          <w:sz w:val="20"/>
          <w:szCs w:val="20"/>
          <w:color w:val="auto"/>
        </w:rPr>
      </w:pPr>
    </w:p>
    <w:p>
      <w:pPr>
        <w:jc w:val="both"/>
        <w:ind w:firstLine="8"/>
        <w:spacing w:after="0" w:line="295" w:lineRule="auto"/>
        <w:tabs>
          <w:tab w:leader="none" w:pos="2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delivery of shares of Common Stock (as set forth in Section 4(c) of the Agreement) or (ii) a broker assisted partial cashless exercise such that a certain number of Option Shares subject to the exercised Option are sold immediately upon exercise and the proceeds of the sale remitted to the Company to cover the aggregate Exercise Price and any Tax-Related Items. However, payment of the Exercise Price may be made by any of the other methods of payment set forth in Section 4 of the Agreement. The Company reserves the right to provide the Optionee with this method of payment depending on the development of local law.</w:t>
      </w:r>
    </w:p>
    <w:p>
      <w:pPr>
        <w:spacing w:after="0" w:line="1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u w:val="single" w:color="auto"/>
          <w:color w:val="auto"/>
        </w:rPr>
        <w:t>Exchange Control Notification</w:t>
      </w:r>
      <w:r>
        <w:rPr>
          <w:rFonts w:ascii="Arial" w:cs="Arial" w:eastAsia="Arial" w:hAnsi="Arial"/>
          <w:sz w:val="18"/>
          <w:szCs w:val="18"/>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 - 3</w:t>
      </w:r>
    </w:p>
    <w:p>
      <w:pPr>
        <w:sectPr>
          <w:pgSz w:w="11900" w:h="16838" w:orient="portrait"/>
          <w:cols w:equalWidth="0" w:num="1">
            <w:col w:w="11380"/>
          </w:cols>
          <w:pgMar w:left="240" w:top="982"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IRELAND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This provision supplements Section 8 of the Agreement:</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By accepting the Option, the Optionee acknowledges, understands, and agrees that the benefits received under the Plan will not be taken into account for any redundancy or unfair dismissal claim.</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Optionee is a director, shadow director</w:t>
      </w:r>
      <w:r>
        <w:rPr>
          <w:rFonts w:ascii="Arial" w:cs="Arial" w:eastAsia="Arial" w:hAnsi="Arial"/>
          <w:sz w:val="10"/>
          <w:szCs w:val="10"/>
          <w:color w:val="auto"/>
        </w:rPr>
        <w:t>1</w:t>
      </w:r>
      <w:r>
        <w:rPr>
          <w:rFonts w:ascii="Arial" w:cs="Arial" w:eastAsia="Arial" w:hAnsi="Arial"/>
          <w:sz w:val="16"/>
          <w:szCs w:val="16"/>
          <w:color w:val="auto"/>
        </w:rPr>
        <w:t xml:space="preserve"> or secretary of an Irish subsidiary of the Company, the Optionee is subject to certain notification requirements under Section 53 of the Companies Act, 1990. Among these requirements is an obligation to notify the Irish affiliate in writing within five (5) business days when the Optionee receives an interest (e.g., Options, Option Shares) in the Company and the number and class of shares or rights to which the interest relates. In addition, the Optionee must notify the Irish subsidiary within five (5) business days when the Optionee sells Option Shares acquired under the Plan. This notification requirement also applies to any rights or Option Shares acquired by the Optionee’s spouse or children (under the age of 18).</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Restriction on Type of Shares Issued to Directors</w:t>
      </w:r>
      <w:r>
        <w:rPr>
          <w:rFonts w:ascii="Arial" w:cs="Arial" w:eastAsia="Arial" w:hAnsi="Arial"/>
          <w:sz w:val="18"/>
          <w:szCs w:val="18"/>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u w:val="single" w:color="auto"/>
          <w:color w:val="auto"/>
        </w:rPr>
        <w:t>Trust Arrangement</w:t>
      </w:r>
      <w:r>
        <w:rPr>
          <w:rFonts w:ascii="Arial" w:cs="Arial" w:eastAsia="Arial" w:hAnsi="Arial"/>
          <w:sz w:val="18"/>
          <w:szCs w:val="18"/>
          <w:color w:val="auto"/>
        </w:rPr>
        <w:t>. The Optionee understands and agrees that the Options are offered subject to and in accordance with the terms of the Israeli Sub-Plan (the “Sub-Plan”) under the 102 Capital Gains Track (as defined in the Sub-Plan), the Trust Agreement among the trustee appointed by Analog Devices (Israel) Ltd. and Analog Development (Israel) 1996 Ltd., and the Agreement. This includes the option exercise price per share and any other requirements set out in the Sub-plan. In the event of any inconsistencies among the Sub-Plan, the Agreement and/or the Plan, the Sub-Plan will govern the Options granted to the Optionee in Israel.</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If the Optionee resides in Israel and has not already executed an Israeli Appendix in connection with grants made under the Plan, then the Optionee must print, sign &amp; deliver the signed copy of the Israeli Appendix within 90 days to: Stock Plan Administrator, Treasury Department, Analog Devices, Inc., Norwood, Massachusetts, 02062 USA. If Analog Devices, (Israel) Ltd. or Analog Devices, Inc. does not receive the signed Israeli Appendix within 90 days, the Options shall terminate and will become null and void.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17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w:t>
      </w:r>
    </w:p>
    <w:p>
      <w:pPr>
        <w:ind w:right="80" w:firstLine="8"/>
        <w:spacing w:after="0" w:line="302" w:lineRule="auto"/>
        <w:tabs>
          <w:tab w:leader="none" w:pos="21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17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w:t>
      </w:r>
    </w:p>
    <w:p>
      <w:pPr>
        <w:ind w:right="80" w:firstLine="8"/>
        <w:spacing w:after="0" w:line="302" w:lineRule="auto"/>
        <w:tabs>
          <w:tab w:leader="none" w:pos="21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replaces Section 10 of the Agreement:</w:t>
      </w:r>
    </w:p>
    <w:p>
      <w:pPr>
        <w:spacing w:after="0" w:line="17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i w:val="1"/>
          <w:iCs w:val="1"/>
          <w:color w:val="auto"/>
        </w:rPr>
        <w:t>The Optionee understands that the Employer, the Company and any subsidiary as a data processor of the Company may hold certain personal information about the Optionee, including, but not limited to, the Optionee’s name, home address and telephone number, date of birth, social insurance or other identification number, salary, nationality, job title, any Option Shares or directorships held in the Company or any subsidiary, details of all Options, or any other entitlement to Option Shares awarded, canceled, exercised, vested, unvested or outstanding in the Optionee’s favor, and that the Company and the Employer will process said data and other data lawfully received from third party (“Data”) for the exclusive purpose of implementing, managing and administering the Plan and complying with applicable laws, regulations and community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460" w:right="40" w:hanging="452"/>
        <w:spacing w:after="0" w:line="228" w:lineRule="auto"/>
        <w:tabs>
          <w:tab w:leader="none" w:pos="46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A shadow director is an individual who is not on the board of directors of the Irish subsidiary but who has sufficient control so that the board of directors of the Irish subsidiary acts in accordance with the “directions or instructions” of the individual.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- 4</w:t>
      </w:r>
    </w:p>
    <w:p>
      <w:pPr>
        <w:sectPr>
          <w:pgSz w:w="11900" w:h="16838" w:orient="portrait"/>
          <w:cols w:equalWidth="0" w:num="1">
            <w:col w:w="11420"/>
          </w:cols>
          <w:pgMar w:left="240" w:top="976" w:right="239" w:bottom="1440" w:gutter="0" w:footer="0" w:header="0"/>
        </w:sectPr>
      </w:pPr>
    </w:p>
    <w:bookmarkStart w:id="71" w:name="page72"/>
    <w:bookmarkEnd w:id="71"/>
    <w:p>
      <w:pPr>
        <w:spacing w:after="0" w:line="318"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The Optionee also understands that providing the Company with Data is mandatory for compliance with laws and is necessary for the performance of the Plan and that the Optionee’s refusal to provide such Data would make it impossible for the Company to perform its contractual obligations and may affect the Optionee’s ability to participate in the Plan. The Controller of personal data processing is Analog Devices, Inc., with registered offices at Analog Devices, Inc., Three Technology Way, Norwood, Massachusetts, 02062 U.S.A. and, pursuant to Legislative Decree no. 196/2003, its Representative in Italy for privacy purposes is Analog Devices SRL with its registered offices at Centro Direzionale Milano 2, Palazzo Bernini 20090 Segrate, Milan, Italy.</w:t>
      </w:r>
    </w:p>
    <w:p>
      <w:pPr>
        <w:spacing w:after="0" w:line="100"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b w:val="1"/>
          <w:bCs w:val="1"/>
          <w:i w:val="1"/>
          <w:iCs w:val="1"/>
          <w:color w:val="auto"/>
        </w:rPr>
        <w:t>The Optionee understands that Data will not be publicized, but it may be accessible by the Employer as the data processor of the Company and within the Employer’s organization by its internal and external personnel in charge of processing. Furthermore, Data may be transferred to banks, other financial institutions, or brokers involved in the management and administration of the Plan. The Optionee understands that Data may also be transferred to the independent registered public accounting firm engaged by the Company, and also to the legitimate addresses under applicable laws. The Optionee further understands that the Company and/or any subsidiary will transfer Data among themselves as necessary for the purpose of implementing, administering and managing the Optionee’s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the Optionee may elect to deposit any Option Shares acquired at exercise of the Option. Such recipients may receive, possess, use, retain, and transfer Data in electronic or other form, for the purposes of implementing, administering, and managing the Optionee’s participation in the Plan. The Optionee understand that these recipients may be acting as controllers, processors, or persons in charge of processing, as the case may be, according to applicable privacy laws, and that they may be located in or outside the European Economic Area, such as in Japan or the United States or elsewhere, in countries that do not provide an adequate level of data protection as intended under Italian privacy law.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08"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b w:val="1"/>
          <w:bCs w:val="1"/>
          <w:i w:val="1"/>
          <w:iCs w:val="1"/>
          <w:color w:val="auto"/>
        </w:rPr>
        <w:t>The Optionee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of the European Economic Area, as herein specified and pursuant to applicable laws and regulations, does not require the Optionee’s consent thereto, as the processing is necessary to performance of law and contractual obligations related to implementation, administration, and management of the Plan. The Optionee understands that, pursuant to Section 7 of the Legislative Decree no. 196/2003, the Optionee has the right at any moment to, including but not limited to, obtain confirmation that Data exist or not, access, verify their content, origin and accuracy, delete, update, integrate, correct, block or terminate, for legitimate reason, the Data processing. To exercise privacy rights the Optionee should address the Employer.</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Furthermore, the Optionee is aware that Data will not be used for direct-marketing purposes. In addition, Data provided can be reviewed and questions or complaints can be addressed by contacting the Optionee’s local human resources representative.</w:t>
      </w:r>
    </w:p>
    <w:p>
      <w:pPr>
        <w:spacing w:after="0" w:line="13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u w:val="single" w:color="auto"/>
          <w:color w:val="auto"/>
        </w:rPr>
        <w:t>Plan Document Acknowledgment</w:t>
      </w:r>
      <w:r>
        <w:rPr>
          <w:rFonts w:ascii="Arial" w:cs="Arial" w:eastAsia="Arial" w:hAnsi="Arial"/>
          <w:sz w:val="18"/>
          <w:szCs w:val="18"/>
          <w:color w:val="auto"/>
        </w:rPr>
        <w:t>. In accepting the Option, the Optionee acknowledges a copy of the Plan was made available to the Optionee, and that the Optionee has reviewed the Plan and the Agreement, including Appendix A, in their entirety and fully understand and accept all provisions of the Plan, the Agreement and Appendix A.</w:t>
      </w:r>
    </w:p>
    <w:p>
      <w:pPr>
        <w:spacing w:after="0" w:line="14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Optionee further acknowledges that he or she has read and specifically and expressly approves the following provision in the Agreement: Term of Option; Termination of Employment; Withholding Taxes; Nature of Grant; Imposition of Other Requirement; and the Data Privacy provision in this Appendix 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- 5</w:t>
      </w:r>
    </w:p>
    <w:p>
      <w:pPr>
        <w:sectPr>
          <w:pgSz w:w="11900" w:h="16838" w:orient="portrait"/>
          <w:cols w:equalWidth="0" w:num="1">
            <w:col w:w="11400"/>
          </w:cols>
          <w:pgMar w:left="240" w:top="982"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MALAYSIA</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Optionee is a director of a subsidiary or other related company in Malaysia, then the Optionee is subject to certain notification requirements under the Malaysian Companies Act, 1965.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Malaysian insider-trading rules may impact the acquisition or disposal of Option Shares or rights to Option Shares under the Plan. Under such rules, the Optionee is prohibited from acquiring Option Shares or rights to Option Shares (e.g., Options) or selling Option Shares when he or she possesses information that is not generally available and which the Optionee knows or should know will have a material effect on the price of the Option Shares once such information is generally available. By accepting this grant, the Optionee acknowledges that he or she is not in possession of any material, non-publicly disclosed information regarding the Company at the time of grant and will not acquire or sell Option Shares when in possession of any material, non-publicly disclosed information regarding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This provision supplements Section 8 of the Agreement:</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By accepting the Option, the Optionee acknowledges that the Option is intended as an incentive for the Optionee to remain employed with the Employer and is not intended as remuneration for labor performed.</w:t>
      </w:r>
    </w:p>
    <w:p>
      <w:pPr>
        <w:spacing w:after="0" w:line="132"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u w:val="single" w:color="auto"/>
          <w:color w:val="auto"/>
        </w:rPr>
        <w:t>Securities Law Acknowledgment</w:t>
      </w:r>
      <w:r>
        <w:rPr>
          <w:rFonts w:ascii="Arial" w:cs="Arial" w:eastAsia="Arial" w:hAnsi="Arial"/>
          <w:sz w:val="15"/>
          <w:szCs w:val="15"/>
          <w:color w:val="auto"/>
        </w:rPr>
        <w:t>. The Optionee should be aware of the Dutch insider-trading rules, which may impact the sale of Option Shares issued upon exercise of the Option. In particular, the Optionee may be prohibited from effectuating certain transactions if he or she has inside information about the Company.</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Article 5:56 of the Dutch Financial Supervision Act, anyone who has “insider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 regardless of the development of the price. The insider could be any employee of any subsidiary in the Netherlands who has inside information as described herein.</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Given the broad scope of the definition of inside information, certain employees working at a subsidiary in the Netherlands may have inside information and, thus, would be prohibited from effectuating a transaction in securities in the Netherlands at a time when the employee has such inside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the Optionee is uncertain whether the insider-trading rules apply to him or her, then the Optionee should consult with his or her personal legal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xml:space="preserve">. The sale or disposal of Option Shares acquired under the Plan may be subject to certain restrictions under Philippines securities laws. Those restrictions should not apply if the offer and resale of Option Shares takes place outside of the Philippines through the facilities of a stock exchange on which the Option Shares are listed. The Option Shares are currently listed on the New York Stock Exchange (the “NYSE”). The Company’s designated broker should be able to assist the Optionee in the sale of Option Shares on the NYSE. </w:t>
      </w:r>
      <w:r>
        <w:rPr>
          <w:rFonts w:ascii="Arial" w:cs="Arial" w:eastAsia="Arial" w:hAnsi="Arial"/>
          <w:sz w:val="16"/>
          <w:szCs w:val="16"/>
          <w:i w:val="1"/>
          <w:iCs w:val="1"/>
          <w:color w:val="auto"/>
        </w:rPr>
        <w:t>If the Optionee has questions with regard to the application of Philippines</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laws to the disposal or sale of Option Shares acquired under the Plan the Optionee should consult with his or her legal advisor.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Options were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Optionee’s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 (Chapter 289, 2006 Ed.).</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If the Optionee is a director, associate director or shadow director of a subsidiary or other related company in Singapore, the Optionee is subject to certain notification requirements under the Singapore Companies Act. Among these requirements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- 6</w:t>
      </w:r>
    </w:p>
    <w:p>
      <w:pPr>
        <w:sectPr>
          <w:pgSz w:w="11900" w:h="16838" w:orient="portrait"/>
          <w:cols w:equalWidth="0" w:num="1">
            <w:col w:w="11420"/>
          </w:cols>
          <w:pgMar w:left="240" w:top="976" w:right="239" w:bottom="1440" w:gutter="0" w:footer="0" w:header="0"/>
        </w:sectPr>
      </w:pPr>
    </w:p>
    <w:bookmarkStart w:id="73" w:name="page74"/>
    <w:bookmarkEnd w:id="73"/>
    <w:p>
      <w:pPr>
        <w:ind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acquiring or disposing of any interest in the Company or any related company. In addition, a notification must be made of the Optionee’s interests in the Company or any related company within two (2) business days of becoming a director.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SLOVAKIA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No Entitlement for Claims or Compensation</w:t>
      </w:r>
      <w:r>
        <w:rPr>
          <w:rFonts w:ascii="Arial" w:cs="Arial" w:eastAsia="Arial" w:hAnsi="Arial"/>
          <w:sz w:val="16"/>
          <w:szCs w:val="16"/>
          <w:color w:val="auto"/>
        </w:rPr>
        <w:t>. In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2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Further, the vesting of the Option is expressly conditioned on the Optionee’s continued rendering of service, such that if the Optionee’s employment terminates for any reason whatsoever, the Award may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may automatically lose any rights to Options that were not vested on the date of the Optionee’s termination of employment, as described in the Plan and the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Optionee acknowledges that he or she has read and specifically accepts the conditions referred to in Section 3 of the Agreement.</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u w:val="single" w:color="auto"/>
          <w:color w:val="auto"/>
        </w:rPr>
        <w:t>Securities Law Notification</w:t>
      </w:r>
      <w:r>
        <w:rPr>
          <w:rFonts w:ascii="Arial" w:cs="Arial" w:eastAsia="Arial" w:hAnsi="Arial"/>
          <w:sz w:val="18"/>
          <w:szCs w:val="18"/>
          <w:color w:val="auto"/>
        </w:rPr>
        <w:t>. The grant of Options and the Option Shares issued upon exercise of the Option are considered a private placement outside of the scope of Spanish laws on public offerings and issuances of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u w:val="single" w:color="auto"/>
          <w:color w:val="auto"/>
        </w:rPr>
        <w:t>Automatic Cashless Exercise and Sale</w:t>
      </w:r>
      <w:r>
        <w:rPr>
          <w:rFonts w:ascii="Arial" w:cs="Arial" w:eastAsia="Arial" w:hAnsi="Arial"/>
          <w:sz w:val="16"/>
          <w:szCs w:val="16"/>
          <w:color w:val="auto"/>
        </w:rPr>
        <w:t>. This Option grant is conditioned upon the Optionee’s consent to the automatic cashless exercise, which the Company will provide to the Optionee. If the Company does not receive the Optionee’s signed consent, then the Option will terminate and will become null and void.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- 7</w:t>
      </w:r>
    </w:p>
    <w:p>
      <w:pPr>
        <w:sectPr>
          <w:pgSz w:w="11900" w:h="16838" w:orient="portrait"/>
          <w:cols w:equalWidth="0" w:num="1">
            <w:col w:w="11400"/>
          </w:cols>
          <w:pgMar w:left="240" w:top="982" w:right="259" w:bottom="1440" w:gutter="0" w:footer="0" w:header="0"/>
        </w:sectPr>
      </w:pPr>
    </w:p>
    <w:bookmarkStart w:id="74" w:name="page75"/>
    <w:bookmarkEnd w:id="7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 - 8</w:t>
      </w:r>
    </w:p>
    <w:p>
      <w:pPr>
        <w:sectPr>
          <w:pgSz w:w="11900" w:h="16838" w:orient="portrait"/>
          <w:cols w:equalWidth="0" w:num="1">
            <w:col w:w="11380"/>
          </w:cols>
          <w:pgMar w:left="240" w:top="982" w:right="27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243330" cy="351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4333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RESTRICTED STOCK UNIT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{EMPNAME}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{EMPNUM}</w:t>
      </w:r>
    </w:p>
    <w:p>
      <w:pPr>
        <w:spacing w:after="0" w:line="165"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2006 Stock Incentive Plan (the “Plan”) and this Global Restricted Stock Unit Agreement, including Appendix A, which includes any applicable country-specific provisions (this agreement, together with Appendix A,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5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Restricted Stock Unit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580"/>
        <w:spacing w:after="0" w:line="268" w:lineRule="auto"/>
        <w:rPr>
          <w:rFonts w:ascii="Arial" w:cs="Arial" w:eastAsia="Arial" w:hAnsi="Arial"/>
          <w:sz w:val="18"/>
          <w:szCs w:val="18"/>
          <w:color w:val="auto"/>
        </w:rPr>
      </w:pPr>
      <w:r>
        <w:rPr>
          <w:rFonts w:ascii="Arial" w:cs="Arial" w:eastAsia="Arial" w:hAnsi="Arial"/>
          <w:sz w:val="18"/>
          <w:szCs w:val="18"/>
          <w:color w:val="auto"/>
        </w:rPr>
        <w:t>Subject to the terms and conditions of the Plan and this Agreement, the Company has granted to the Participant that number of RSUs (the “Award”) effective on the Date of Grant set forth below:</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Date of Grant:</w:t>
            </w:r>
          </w:p>
        </w:tc>
        <w:tc>
          <w:tcPr>
            <w:tcW w:w="3900" w:type="dxa"/>
            <w:vAlign w:val="bottom"/>
          </w:tcPr>
          <w:p>
            <w:pPr>
              <w:jc w:val="right"/>
              <w:spacing w:after="0"/>
              <w:rPr>
                <w:sz w:val="20"/>
                <w:szCs w:val="20"/>
                <w:color w:val="auto"/>
              </w:rPr>
            </w:pPr>
            <w:r>
              <w:rPr>
                <w:rFonts w:ascii="Arial" w:cs="Arial" w:eastAsia="Arial" w:hAnsi="Arial"/>
                <w:sz w:val="18"/>
                <w:szCs w:val="18"/>
                <w:color w:val="auto"/>
              </w:rPr>
              <w:t>{GRANTDATE}</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Number of RSUs:</w:t>
            </w:r>
          </w:p>
        </w:tc>
        <w:tc>
          <w:tcPr>
            <w:tcW w:w="3900" w:type="dxa"/>
            <w:vAlign w:val="bottom"/>
          </w:tcPr>
          <w:p>
            <w:pPr>
              <w:jc w:val="right"/>
              <w:spacing w:after="0"/>
              <w:rPr>
                <w:sz w:val="20"/>
                <w:szCs w:val="20"/>
                <w:color w:val="auto"/>
              </w:rPr>
            </w:pPr>
            <w:r>
              <w:rPr>
                <w:rFonts w:ascii="Arial" w:cs="Arial" w:eastAsia="Arial" w:hAnsi="Arial"/>
                <w:sz w:val="18"/>
                <w:szCs w:val="18"/>
                <w:color w:val="auto"/>
              </w:rPr>
              <w:t>{RSSHARESGRANTED}</w:t>
            </w: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Vesting Schedule:</w:t>
            </w:r>
          </w:p>
        </w:tc>
        <w:tc>
          <w:tcPr>
            <w:tcW w:w="3900" w:type="dxa"/>
            <w:vAlign w:val="bottom"/>
          </w:tcPr>
          <w:p>
            <w:pPr>
              <w:jc w:val="right"/>
              <w:spacing w:after="0"/>
              <w:rPr>
                <w:sz w:val="20"/>
                <w:szCs w:val="20"/>
                <w:color w:val="auto"/>
              </w:rPr>
            </w:pPr>
            <w:r>
              <w:rPr>
                <w:rFonts w:ascii="Arial" w:cs="Arial" w:eastAsia="Arial" w:hAnsi="Arial"/>
                <w:sz w:val="18"/>
                <w:szCs w:val="18"/>
                <w:color w:val="auto"/>
              </w:rPr>
              <w:t>{RSVESTSCHED}</w:t>
            </w:r>
          </w:p>
        </w:tc>
      </w:tr>
    </w:tbl>
    <w:p>
      <w:pPr>
        <w:spacing w:after="0" w:line="15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Each one (1) RSU shall, if and when it vests in accordance with this Agreement,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8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Vesting and Conversion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80" w:hanging="446"/>
        <w:spacing w:after="0" w:line="287"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Subject to the terms of the Plan and this Agreement, the RSUs shall vest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41" w:lineRule="exact"/>
        <w:rPr>
          <w:rFonts w:ascii="Arial" w:cs="Arial" w:eastAsia="Arial" w:hAnsi="Arial"/>
          <w:sz w:val="16"/>
          <w:szCs w:val="16"/>
          <w:color w:val="auto"/>
        </w:rPr>
      </w:pPr>
    </w:p>
    <w:p>
      <w:pPr>
        <w:ind w:left="900" w:right="120" w:hanging="446"/>
        <w:spacing w:after="0" w:line="256"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62"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In the event the Participant’s employment with the Company or the Employer is terminated by reason of the Participant’s </w:t>
      </w:r>
      <w:r>
        <w:rPr>
          <w:rFonts w:ascii="Arial" w:cs="Arial" w:eastAsia="Arial" w:hAnsi="Arial"/>
          <w:sz w:val="18"/>
          <w:szCs w:val="18"/>
          <w:u w:val="single" w:color="auto"/>
          <w:color w:val="auto"/>
        </w:rPr>
        <w:t>death</w:t>
      </w:r>
      <w:r>
        <w:rPr>
          <w:rFonts w:ascii="Arial" w:cs="Arial" w:eastAsia="Arial" w:hAnsi="Arial"/>
          <w:sz w:val="18"/>
          <w:szCs w:val="18"/>
          <w:color w:val="auto"/>
        </w:rPr>
        <w:t>, all Unvested RSUs shall vest in full as of the date of the Participant’s death.</w:t>
      </w:r>
    </w:p>
    <w:p>
      <w:pPr>
        <w:spacing w:after="0" w:line="50" w:lineRule="exact"/>
        <w:rPr>
          <w:rFonts w:ascii="Arial" w:cs="Arial" w:eastAsia="Arial" w:hAnsi="Arial"/>
          <w:sz w:val="18"/>
          <w:szCs w:val="18"/>
          <w:color w:val="auto"/>
        </w:rPr>
      </w:pPr>
    </w:p>
    <w:p>
      <w:pPr>
        <w:ind w:left="900" w:right="20" w:hanging="446"/>
        <w:spacing w:after="0" w:line="255"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event the Participant’s employment with the Company or the Employer terminates by reason of Disability (as defined below), the Unvested RSUs as of the date of the Participant’s termination shall vest in full as of the date of the termination. For the purpose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means (i) the Participant’s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61" w:lineRule="exact"/>
        <w:rPr>
          <w:rFonts w:ascii="Arial" w:cs="Arial" w:eastAsia="Arial" w:hAnsi="Arial"/>
          <w:sz w:val="18"/>
          <w:szCs w:val="18"/>
          <w:color w:val="auto"/>
        </w:rPr>
      </w:pPr>
    </w:p>
    <w:p>
      <w:pPr>
        <w:ind w:left="900" w:right="60" w:hanging="446"/>
        <w:spacing w:after="0" w:line="318" w:lineRule="auto"/>
        <w:tabs>
          <w:tab w:leader="none" w:pos="900" w:val="left"/>
        </w:tabs>
        <w:numPr>
          <w:ilvl w:val="1"/>
          <w:numId w:val="53"/>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ectPr>
          <w:pgSz w:w="11900" w:h="16838" w:orient="portrait"/>
          <w:cols w:equalWidth="0" w:num="1">
            <w:col w:w="11420"/>
          </w:cols>
          <w:pgMar w:left="240" w:top="125" w:right="239" w:bottom="1440" w:gutter="0" w:footer="0" w:header="0"/>
        </w:sectPr>
      </w:pP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5" w:right="239" w:bottom="1440" w:gutter="0" w:footer="0" w:header="0"/>
          <w:type w:val="continuous"/>
        </w:sectPr>
      </w:pPr>
    </w:p>
    <w:bookmarkStart w:id="76" w:name="page77"/>
    <w:bookmarkEnd w:id="76"/>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243330" cy="3517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Restrictions on Transfer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Participant shall not sell, assign, transfer, pledge or otherwise encumber any RSUs, either voluntarily or by operation of law.</w:t>
      </w:r>
    </w:p>
    <w:p>
      <w:pPr>
        <w:spacing w:after="0" w:line="90" w:lineRule="exact"/>
        <w:rPr>
          <w:rFonts w:ascii="Arial" w:cs="Arial" w:eastAsia="Arial" w:hAnsi="Arial"/>
          <w:sz w:val="18"/>
          <w:szCs w:val="18"/>
          <w:color w:val="auto"/>
        </w:rPr>
      </w:pPr>
    </w:p>
    <w:p>
      <w:pPr>
        <w:jc w:val="both"/>
        <w:ind w:left="892" w:right="120" w:hanging="446"/>
        <w:spacing w:after="0" w:line="259" w:lineRule="auto"/>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80" w:lineRule="exact"/>
        <w:rPr>
          <w:rFonts w:ascii="Arial" w:cs="Arial" w:eastAsia="Arial" w:hAnsi="Arial"/>
          <w:sz w:val="18"/>
          <w:szCs w:val="18"/>
          <w:color w:val="auto"/>
        </w:rPr>
      </w:pPr>
    </w:p>
    <w:p>
      <w:pPr>
        <w:ind w:left="452" w:right="40" w:hanging="452"/>
        <w:spacing w:after="0" w:line="323" w:lineRule="auto"/>
        <w:tabs>
          <w:tab w:leader="none" w:pos="452"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Not a Shareholder</w:t>
      </w:r>
      <w:r>
        <w:rPr>
          <w:rFonts w:ascii="Arial" w:cs="Arial" w:eastAsia="Arial" w:hAnsi="Arial"/>
          <w:sz w:val="15"/>
          <w:szCs w:val="15"/>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38" w:lineRule="exact"/>
        <w:rPr>
          <w:rFonts w:ascii="Arial" w:cs="Arial" w:eastAsia="Arial" w:hAnsi="Arial"/>
          <w:sz w:val="15"/>
          <w:szCs w:val="15"/>
          <w:color w:val="auto"/>
        </w:rPr>
      </w:pPr>
    </w:p>
    <w:p>
      <w:pPr>
        <w:ind w:left="452" w:right="260" w:hanging="452"/>
        <w:spacing w:after="0" w:line="306" w:lineRule="auto"/>
        <w:tabs>
          <w:tab w:leader="none" w:pos="45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Provisions of the Plan</w:t>
      </w:r>
      <w:r>
        <w:rPr>
          <w:rFonts w:ascii="Arial" w:cs="Arial" w:eastAsia="Arial" w:hAnsi="Arial"/>
          <w:sz w:val="16"/>
          <w:szCs w:val="16"/>
          <w:color w:val="auto"/>
        </w:rPr>
        <w:t>. The RSUs and Shares, including the grant and issuance thereof, are subject to the provisions of the Plan. A copy of the Plan prospectus is available on the Company’s Intranet at http://signals.corpnt.analog.com/default.aspx. (From Signals home page, click Knowledge Centers, HR, Employee Stock Programs. The related documents can be found in the right-hand column).</w:t>
      </w:r>
    </w:p>
    <w:p>
      <w:pPr>
        <w:spacing w:after="0" w:line="147" w:lineRule="exact"/>
        <w:rPr>
          <w:rFonts w:ascii="Arial" w:cs="Arial" w:eastAsia="Arial" w:hAnsi="Arial"/>
          <w:sz w:val="16"/>
          <w:szCs w:val="16"/>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40" w:hanging="446"/>
        <w:spacing w:after="0" w:line="287" w:lineRule="auto"/>
        <w:tabs>
          <w:tab w:leader="none" w:pos="892" w:val="left"/>
        </w:tabs>
        <w:numPr>
          <w:ilvl w:val="1"/>
          <w:numId w:val="54"/>
        </w:numPr>
        <w:rPr>
          <w:rFonts w:ascii="Arial" w:cs="Arial" w:eastAsia="Arial" w:hAnsi="Arial"/>
          <w:sz w:val="16"/>
          <w:szCs w:val="16"/>
          <w:color w:val="auto"/>
        </w:rPr>
      </w:pPr>
      <w:r>
        <w:rPr>
          <w:rFonts w:ascii="Arial" w:cs="Arial" w:eastAsia="Arial" w:hAnsi="Arial"/>
          <w:sz w:val="16"/>
          <w:szCs w:val="16"/>
          <w:color w:val="auto"/>
        </w:rPr>
        <w:t>Regardless of any action the Company and/or the Employer, if different, takes with respect to any or all income tax (including U.S. federal, state and local taxes and/or non-U.S. taxes), social insurance, payroll tax, payment on account or other tax-related withholding (“Tax-Related Items”), the Participant acknowledges that the ultimate liability for all Tax-Related Items legally applicable to the Participant is and remains the Participant’s responsibility and may exceed the amount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41" w:lineRule="exact"/>
        <w:rPr>
          <w:rFonts w:ascii="Arial" w:cs="Arial" w:eastAsia="Arial" w:hAnsi="Arial"/>
          <w:sz w:val="16"/>
          <w:szCs w:val="16"/>
          <w:color w:val="auto"/>
        </w:rPr>
      </w:pPr>
    </w:p>
    <w:p>
      <w:pPr>
        <w:ind w:left="892" w:right="160" w:hanging="446"/>
        <w:spacing w:after="0" w:line="306" w:lineRule="auto"/>
        <w:tabs>
          <w:tab w:leader="none" w:pos="892" w:val="left"/>
        </w:tabs>
        <w:numPr>
          <w:ilvl w:val="1"/>
          <w:numId w:val="54"/>
        </w:numPr>
        <w:rPr>
          <w:rFonts w:ascii="Arial" w:cs="Arial" w:eastAsia="Arial" w:hAnsi="Arial"/>
          <w:sz w:val="16"/>
          <w:szCs w:val="16"/>
          <w:color w:val="auto"/>
        </w:rPr>
      </w:pPr>
      <w:r>
        <w:rPr>
          <w:rFonts w:ascii="Arial" w:cs="Arial" w:eastAsia="Arial" w:hAnsi="Arial"/>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with regard to all Tax-Related Items by one or a combination of the methods set forth below:</w:t>
      </w:r>
    </w:p>
    <w:p>
      <w:pPr>
        <w:spacing w:after="0" w:line="25" w:lineRule="exact"/>
        <w:rPr>
          <w:rFonts w:ascii="Arial" w:cs="Arial" w:eastAsia="Arial" w:hAnsi="Arial"/>
          <w:sz w:val="16"/>
          <w:szCs w:val="16"/>
          <w:color w:val="auto"/>
        </w:rPr>
      </w:pPr>
    </w:p>
    <w:p>
      <w:pPr>
        <w:ind w:left="1472" w:hanging="567"/>
        <w:spacing w:after="0" w:line="298" w:lineRule="auto"/>
        <w:tabs>
          <w:tab w:leader="none" w:pos="1472" w:val="left"/>
        </w:tabs>
        <w:numPr>
          <w:ilvl w:val="2"/>
          <w:numId w:val="54"/>
        </w:numPr>
        <w:rPr>
          <w:rFonts w:ascii="Arial" w:cs="Arial" w:eastAsia="Arial" w:hAnsi="Arial"/>
          <w:sz w:val="16"/>
          <w:szCs w:val="16"/>
          <w:color w:val="auto"/>
        </w:rPr>
      </w:pPr>
      <w:r>
        <w:rPr>
          <w:rFonts w:ascii="Arial" w:cs="Arial" w:eastAsia="Arial" w:hAnsi="Arial"/>
          <w:sz w:val="16"/>
          <w:szCs w:val="16"/>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New York Stock Exchange on the applicable vesting date).</w:t>
      </w:r>
    </w:p>
    <w:p>
      <w:pPr>
        <w:spacing w:after="0" w:line="31" w:lineRule="exact"/>
        <w:rPr>
          <w:rFonts w:ascii="Arial" w:cs="Arial" w:eastAsia="Arial" w:hAnsi="Arial"/>
          <w:sz w:val="16"/>
          <w:szCs w:val="16"/>
          <w:color w:val="auto"/>
        </w:rPr>
      </w:pPr>
    </w:p>
    <w:p>
      <w:pPr>
        <w:ind w:left="1472" w:right="480" w:hanging="567"/>
        <w:spacing w:after="0" w:line="268" w:lineRule="auto"/>
        <w:tabs>
          <w:tab w:leader="none" w:pos="1472"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Company may, in its discretion, withhold any amount necessary to pay the Tax-Related Items from the Participant’s salary or other amounts payable to the Participant; or</w:t>
      </w:r>
    </w:p>
    <w:p>
      <w:pPr>
        <w:spacing w:after="0" w:line="50" w:lineRule="exact"/>
        <w:rPr>
          <w:rFonts w:ascii="Arial" w:cs="Arial" w:eastAsia="Arial" w:hAnsi="Arial"/>
          <w:sz w:val="18"/>
          <w:szCs w:val="18"/>
          <w:color w:val="auto"/>
        </w:rPr>
      </w:pPr>
    </w:p>
    <w:p>
      <w:pPr>
        <w:ind w:left="1472" w:right="100" w:hanging="567"/>
        <w:spacing w:after="0" w:line="268" w:lineRule="auto"/>
        <w:tabs>
          <w:tab w:leader="none" w:pos="1472"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Company may withhold from proceeds of the sale of Shares either through a voluntary sale or through a mandatory sale arranged by the Company (on the Participant’s behalf pursuant to this authorization).</w:t>
      </w:r>
    </w:p>
    <w:p>
      <w:pPr>
        <w:spacing w:after="0" w:line="50" w:lineRule="exact"/>
        <w:rPr>
          <w:rFonts w:ascii="Arial" w:cs="Arial" w:eastAsia="Arial" w:hAnsi="Arial"/>
          <w:sz w:val="18"/>
          <w:szCs w:val="18"/>
          <w:color w:val="auto"/>
        </w:rPr>
      </w:pPr>
    </w:p>
    <w:p>
      <w:pPr>
        <w:ind w:left="1492" w:right="60"/>
        <w:spacing w:after="0" w:line="253" w:lineRule="auto"/>
        <w:rPr>
          <w:rFonts w:ascii="Arial" w:cs="Arial" w:eastAsia="Arial" w:hAnsi="Arial"/>
          <w:sz w:val="18"/>
          <w:szCs w:val="18"/>
          <w:color w:val="auto"/>
        </w:rPr>
      </w:pPr>
      <w:r>
        <w:rPr>
          <w:rFonts w:ascii="Arial" w:cs="Arial" w:eastAsia="Arial" w:hAnsi="Arial"/>
          <w:sz w:val="18"/>
          <w:szCs w:val="18"/>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of Directors)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85" w:lineRule="exact"/>
        <w:rPr>
          <w:rFonts w:ascii="Arial" w:cs="Arial" w:eastAsia="Arial" w:hAnsi="Arial"/>
          <w:sz w:val="18"/>
          <w:szCs w:val="18"/>
          <w:color w:val="auto"/>
        </w:rPr>
      </w:pPr>
    </w:p>
    <w:p>
      <w:pPr>
        <w:ind w:left="452" w:right="20" w:hanging="452"/>
        <w:spacing w:after="0" w:line="256"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Option of Company to Deliver Cash</w:t>
      </w:r>
      <w:r>
        <w:rPr>
          <w:rFonts w:ascii="Arial" w:cs="Arial" w:eastAsia="Arial" w:hAnsi="Arial"/>
          <w:sz w:val="18"/>
          <w:szCs w:val="18"/>
          <w:color w:val="auto"/>
        </w:rPr>
        <w:t>. Notwithstanding any of the other provisions of this Agreement and except as set forth in Appendix A, where otherwise prohibited under local law or where cash settlement may present adverse tax consequences to the Participant, at the time the RSUs vest, the Company may elect, in the sole discretion of the Compensation Committee of the Board of Directors, to deliver by wire transfer to the Participant in lieu of Shares an equivalent amount of cash (determined by reference to the</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1184" w:right="259" w:bottom="1440" w:gutter="0" w:footer="0" w:header="0"/>
        </w:sectPr>
      </w:pPr>
    </w:p>
    <w:bookmarkStart w:id="77" w:name="page78"/>
    <w:bookmarkEnd w:id="77"/>
    <w:p>
      <w:pPr>
        <w:ind w:left="452"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closing price of the Common Stock on the New York Stock Exchange on the applicable vesting date). If the Company elects to deliver cash to the Participant, the Company is authorized to retain such amount as is sufficient in the opinion of the Company to satisfy the Tax-Related Items withholding obligations of the Company pursuant to Section 6 herein.</w:t>
      </w:r>
    </w:p>
    <w:p>
      <w:pPr>
        <w:spacing w:after="0" w:line="181" w:lineRule="exact"/>
        <w:rPr>
          <w:sz w:val="20"/>
          <w:szCs w:val="20"/>
          <w:color w:val="auto"/>
        </w:rPr>
      </w:pPr>
    </w:p>
    <w:p>
      <w:pPr>
        <w:ind w:left="452" w:hanging="452"/>
        <w:spacing w:after="0" w:line="253"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w:t>
      </w:r>
      <w:r>
        <w:rPr>
          <w:rFonts w:ascii="Arial" w:cs="Arial" w:eastAsia="Arial" w:hAnsi="Arial"/>
          <w:sz w:val="18"/>
          <w:szCs w:val="18"/>
          <w:i w:val="1"/>
          <w:iCs w:val="1"/>
          <w:color w:val="auto"/>
        </w:rPr>
        <w:t>. This Section 8 applies if the Participant resides outside the U.S.: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66" w:lineRule="exact"/>
        <w:rPr>
          <w:rFonts w:ascii="Arial" w:cs="Arial" w:eastAsia="Arial" w:hAnsi="Arial"/>
          <w:sz w:val="18"/>
          <w:szCs w:val="18"/>
          <w:color w:val="auto"/>
        </w:rPr>
      </w:pPr>
    </w:p>
    <w:p>
      <w:pPr>
        <w:ind w:left="452"/>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The Company holds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41" w:lineRule="exact"/>
        <w:rPr>
          <w:rFonts w:ascii="Arial" w:cs="Arial" w:eastAsia="Arial" w:hAnsi="Arial"/>
          <w:sz w:val="18"/>
          <w:szCs w:val="18"/>
          <w:color w:val="auto"/>
        </w:rPr>
      </w:pPr>
    </w:p>
    <w:p>
      <w:pPr>
        <w:ind w:left="452"/>
        <w:spacing w:after="0" w:line="290" w:lineRule="auto"/>
        <w:rPr>
          <w:rFonts w:ascii="Arial" w:cs="Arial" w:eastAsia="Arial" w:hAnsi="Arial"/>
          <w:sz w:val="18"/>
          <w:szCs w:val="18"/>
          <w:color w:val="auto"/>
        </w:rPr>
      </w:pPr>
      <w:r>
        <w:rPr>
          <w:rFonts w:ascii="Arial" w:cs="Arial" w:eastAsia="Arial" w:hAnsi="Arial"/>
          <w:sz w:val="16"/>
          <w:szCs w:val="16"/>
          <w:i w:val="1"/>
          <w:iCs w:val="1"/>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United States, the European Economic Area,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3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The Participant may, at any time, exercise the Participant’s rights provided under applicable personal data protection laws, which may include the right to</w:t>
      </w:r>
    </w:p>
    <w:p>
      <w:pPr>
        <w:spacing w:after="0" w:line="38" w:lineRule="exact"/>
        <w:rPr>
          <w:rFonts w:ascii="Arial" w:cs="Arial" w:eastAsia="Arial" w:hAnsi="Arial"/>
          <w:sz w:val="18"/>
          <w:szCs w:val="18"/>
          <w:color w:val="auto"/>
        </w:rPr>
      </w:pPr>
    </w:p>
    <w:p>
      <w:pPr>
        <w:ind w:left="452" w:right="140" w:firstLine="4"/>
        <w:spacing w:after="0" w:line="295" w:lineRule="auto"/>
        <w:tabs>
          <w:tab w:leader="none" w:pos="691" w:val="left"/>
        </w:tabs>
        <w:numPr>
          <w:ilvl w:val="2"/>
          <w:numId w:val="55"/>
        </w:numPr>
        <w:rPr>
          <w:rFonts w:ascii="Arial" w:cs="Arial" w:eastAsia="Arial" w:hAnsi="Arial"/>
          <w:sz w:val="16"/>
          <w:szCs w:val="16"/>
          <w:color w:val="auto"/>
        </w:rPr>
      </w:pPr>
      <w:r>
        <w:rPr>
          <w:rFonts w:ascii="Arial" w:cs="Arial" w:eastAsia="Arial" w:hAnsi="Arial"/>
          <w:sz w:val="16"/>
          <w:szCs w:val="16"/>
          <w:color w:val="auto"/>
        </w:rPr>
        <w:t>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Participant’s local HR manager.</w:t>
      </w:r>
    </w:p>
    <w:p>
      <w:pPr>
        <w:spacing w:after="0" w:line="155" w:lineRule="exact"/>
        <w:rPr>
          <w:rFonts w:ascii="Arial" w:cs="Arial" w:eastAsia="Arial" w:hAnsi="Arial"/>
          <w:sz w:val="16"/>
          <w:szCs w:val="16"/>
          <w:color w:val="auto"/>
        </w:rPr>
      </w:pPr>
    </w:p>
    <w:p>
      <w:pPr>
        <w:ind w:left="452" w:right="40" w:hanging="452"/>
        <w:spacing w:after="0" w:line="314" w:lineRule="auto"/>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Repatriation and Other Legal Requirements</w:t>
      </w:r>
      <w:r>
        <w:rPr>
          <w:rFonts w:ascii="Arial" w:cs="Arial" w:eastAsia="Arial" w:hAnsi="Arial"/>
          <w:sz w:val="15"/>
          <w:szCs w:val="15"/>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45" w:lineRule="exact"/>
        <w:rPr>
          <w:rFonts w:ascii="Arial" w:cs="Arial" w:eastAsia="Arial" w:hAnsi="Arial"/>
          <w:sz w:val="15"/>
          <w:szCs w:val="15"/>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100" w:hanging="446"/>
        <w:spacing w:after="0" w:line="298" w:lineRule="auto"/>
        <w:tabs>
          <w:tab w:leader="none" w:pos="892"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31" w:lineRule="exact"/>
        <w:rPr>
          <w:rFonts w:ascii="Arial" w:cs="Arial" w:eastAsia="Arial" w:hAnsi="Arial"/>
          <w:sz w:val="16"/>
          <w:szCs w:val="16"/>
          <w:color w:val="auto"/>
        </w:rPr>
      </w:pPr>
    </w:p>
    <w:p>
      <w:pPr>
        <w:ind w:left="892" w:right="20" w:hanging="446"/>
        <w:spacing w:after="0" w:line="318" w:lineRule="auto"/>
        <w:tabs>
          <w:tab w:leader="none" w:pos="892" w:val="left"/>
        </w:tabs>
        <w:numPr>
          <w:ilvl w:val="1"/>
          <w:numId w:val="55"/>
        </w:numPr>
        <w:rPr>
          <w:rFonts w:ascii="Arial" w:cs="Arial" w:eastAsia="Arial" w:hAnsi="Arial"/>
          <w:sz w:val="15"/>
          <w:szCs w:val="15"/>
          <w:color w:val="auto"/>
        </w:rPr>
      </w:pPr>
      <w:r>
        <w:rPr>
          <w:rFonts w:ascii="Arial" w:cs="Arial" w:eastAsia="Arial" w:hAnsi="Arial"/>
          <w:sz w:val="15"/>
          <w:szCs w:val="15"/>
          <w:u w:val="single" w:color="auto"/>
          <w:color w:val="auto"/>
        </w:rPr>
        <w:t>Discretionary Nature</w:t>
      </w:r>
      <w:r>
        <w:rPr>
          <w:rFonts w:ascii="Arial" w:cs="Arial" w:eastAsia="Arial" w:hAnsi="Arial"/>
          <w:sz w:val="15"/>
          <w:szCs w:val="15"/>
          <w:color w:val="auto"/>
        </w:rPr>
        <w:t>. The Participant acknowledges and agrees that the Plan is discretionary in nature and may be amended, cancelled, or terminated by the Company, in its sole discretion, at any time.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w:t>
      </w:r>
    </w:p>
    <w:p>
      <w:pPr>
        <w:spacing w:after="0" w:line="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982" w:right="259" w:bottom="1440" w:gutter="0" w:footer="0" w:header="0"/>
        </w:sectPr>
      </w:pPr>
    </w:p>
    <w:bookmarkStart w:id="78" w:name="page79"/>
    <w:bookmarkEnd w:id="78"/>
    <w:p>
      <w:pPr>
        <w:ind w:left="466"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243330" cy="3517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pension, or retirement benefits or similar payments.</w:t>
      </w:r>
    </w:p>
    <w:p>
      <w:pPr>
        <w:spacing w:after="0" w:line="59" w:lineRule="exact"/>
        <w:rPr>
          <w:sz w:val="20"/>
          <w:szCs w:val="20"/>
          <w:color w:val="auto"/>
        </w:rPr>
      </w:pPr>
    </w:p>
    <w:p>
      <w:pPr>
        <w:ind w:left="446" w:right="100" w:hanging="446"/>
        <w:spacing w:after="0" w:line="323" w:lineRule="auto"/>
        <w:tabs>
          <w:tab w:leader="none" w:pos="446"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Exclusion from Termination Indemnities and Other Benefits</w:t>
      </w:r>
      <w:r>
        <w:rPr>
          <w:rFonts w:ascii="Arial" w:cs="Arial" w:eastAsia="Arial" w:hAnsi="Arial"/>
          <w:sz w:val="15"/>
          <w:szCs w:val="15"/>
          <w:color w:val="auto"/>
        </w:rPr>
        <w:t>. This Section 10(c)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is not part of normal or expected compensation. Further, the RSUs and the Shares are not intended to replace any pension rights or compensation.</w:t>
      </w:r>
    </w:p>
    <w:p>
      <w:pPr>
        <w:spacing w:after="0" w:line="16" w:lineRule="exact"/>
        <w:rPr>
          <w:rFonts w:ascii="Arial" w:cs="Arial" w:eastAsia="Arial" w:hAnsi="Arial"/>
          <w:sz w:val="15"/>
          <w:szCs w:val="15"/>
          <w:color w:val="auto"/>
        </w:rPr>
      </w:pPr>
    </w:p>
    <w:p>
      <w:pPr>
        <w:ind w:left="446" w:hanging="446"/>
        <w:spacing w:after="0" w:line="294"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Section 10(d) applies if the Participant resides outside the U.S.: In consideration of the grant of RSUs, no claim or entitlement to compensation or damages shall arise from forfeiture of the RSUs resulting from termination of the Participant’s employment with the Company or the Employer (for any reason whatsoever and whether or not in breach of local labor laws),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34" w:lineRule="exact"/>
        <w:rPr>
          <w:rFonts w:ascii="Arial" w:cs="Arial" w:eastAsia="Arial" w:hAnsi="Arial"/>
          <w:sz w:val="16"/>
          <w:szCs w:val="16"/>
          <w:color w:val="auto"/>
        </w:rPr>
      </w:pPr>
    </w:p>
    <w:p>
      <w:pPr>
        <w:ind w:left="446" w:right="220" w:hanging="446"/>
        <w:spacing w:after="0" w:line="256"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Exchange Rates</w:t>
      </w:r>
      <w:r>
        <w:rPr>
          <w:rFonts w:ascii="Arial" w:cs="Arial" w:eastAsia="Arial" w:hAnsi="Arial"/>
          <w:sz w:val="18"/>
          <w:szCs w:val="18"/>
          <w:color w:val="auto"/>
        </w:rPr>
        <w:t>. This Section 10(e)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62" w:lineRule="exact"/>
        <w:rPr>
          <w:rFonts w:ascii="Arial" w:cs="Arial" w:eastAsia="Arial" w:hAnsi="Arial"/>
          <w:sz w:val="18"/>
          <w:szCs w:val="18"/>
          <w:color w:val="auto"/>
        </w:rPr>
      </w:pPr>
    </w:p>
    <w:p>
      <w:pPr>
        <w:ind w:left="446" w:right="660" w:hanging="446"/>
        <w:spacing w:after="0" w:line="332"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4" w:lineRule="exact"/>
        <w:rPr>
          <w:rFonts w:ascii="Arial" w:cs="Arial" w:eastAsia="Arial" w:hAnsi="Arial"/>
          <w:sz w:val="16"/>
          <w:szCs w:val="16"/>
          <w:color w:val="auto"/>
        </w:rPr>
      </w:pPr>
    </w:p>
    <w:p>
      <w:pPr>
        <w:ind w:left="446" w:right="20" w:hanging="446"/>
        <w:spacing w:after="0" w:line="357" w:lineRule="auto"/>
        <w:tabs>
          <w:tab w:leader="none" w:pos="446"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3 of this Agreement.</w:t>
      </w:r>
    </w:p>
    <w:p>
      <w:pPr>
        <w:ind w:left="446" w:right="40" w:hanging="446"/>
        <w:spacing w:after="0" w:line="255"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Three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61"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50" w:lineRule="exact"/>
        <w:rPr>
          <w:rFonts w:ascii="Arial" w:cs="Arial" w:eastAsia="Arial" w:hAnsi="Arial"/>
          <w:sz w:val="18"/>
          <w:szCs w:val="18"/>
          <w:color w:val="auto"/>
        </w:rPr>
      </w:pPr>
    </w:p>
    <w:p>
      <w:pPr>
        <w:ind w:left="446" w:right="420" w:hanging="446"/>
        <w:spacing w:after="0" w:line="268"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understanding between the parties, and supersede all prior agreements and understandings, relating to the subject matter of these documents.</w:t>
      </w:r>
    </w:p>
    <w:p>
      <w:pPr>
        <w:spacing w:after="0" w:line="50" w:lineRule="exact"/>
        <w:rPr>
          <w:rFonts w:ascii="Arial" w:cs="Arial" w:eastAsia="Arial" w:hAnsi="Arial"/>
          <w:sz w:val="18"/>
          <w:szCs w:val="18"/>
          <w:color w:val="auto"/>
        </w:rPr>
      </w:pPr>
    </w:p>
    <w:p>
      <w:pPr>
        <w:ind w:left="446" w:right="680" w:hanging="446"/>
        <w:spacing w:after="0" w:line="268"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Commonwealth of Massachusetts without regard to any applicable conflicts of laws.</w:t>
      </w:r>
    </w:p>
    <w:p>
      <w:pPr>
        <w:spacing w:after="0" w:line="50" w:lineRule="exact"/>
        <w:rPr>
          <w:rFonts w:ascii="Arial" w:cs="Arial" w:eastAsia="Arial" w:hAnsi="Arial"/>
          <w:sz w:val="18"/>
          <w:szCs w:val="18"/>
          <w:color w:val="auto"/>
        </w:rPr>
      </w:pPr>
    </w:p>
    <w:p>
      <w:pPr>
        <w:ind w:left="446" w:right="20" w:hanging="446"/>
        <w:spacing w:after="0" w:line="309" w:lineRule="auto"/>
        <w:tabs>
          <w:tab w:leader="none" w:pos="446"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27" w:lineRule="exact"/>
        <w:rPr>
          <w:rFonts w:ascii="Arial" w:cs="Arial" w:eastAsia="Arial" w:hAnsi="Arial"/>
          <w:sz w:val="15"/>
          <w:szCs w:val="15"/>
          <w:color w:val="auto"/>
        </w:rPr>
      </w:pPr>
    </w:p>
    <w:p>
      <w:pPr>
        <w:ind w:left="446" w:right="200" w:hanging="446"/>
        <w:spacing w:after="0" w:line="268"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this Agreement or the Plan, or other matters related to the Plan, by the Compensation Committee of the Board of Directors of the Company shall be final and conclusive.</w:t>
      </w:r>
    </w:p>
    <w:p>
      <w:pPr>
        <w:spacing w:after="0" w:line="50" w:lineRule="exact"/>
        <w:rPr>
          <w:rFonts w:ascii="Arial" w:cs="Arial" w:eastAsia="Arial" w:hAnsi="Arial"/>
          <w:sz w:val="18"/>
          <w:szCs w:val="18"/>
          <w:color w:val="auto"/>
        </w:rPr>
      </w:pPr>
    </w:p>
    <w:p>
      <w:pPr>
        <w:ind w:left="446" w:right="160" w:hanging="446"/>
        <w:spacing w:after="0" w:line="306"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Participant’s Acceptance</w:t>
      </w:r>
      <w:r>
        <w:rPr>
          <w:rFonts w:ascii="Arial" w:cs="Arial" w:eastAsia="Arial" w:hAnsi="Arial"/>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982" w:right="259" w:bottom="1440" w:gutter="0" w:footer="0" w:header="0"/>
        </w:sectPr>
      </w:pPr>
    </w:p>
    <w:bookmarkStart w:id="79" w:name="page80"/>
    <w:bookmarkEnd w:id="79"/>
    <w:p>
      <w:pPr>
        <w:ind w:left="446" w:right="280" w:hanging="446"/>
        <w:spacing w:after="0" w:line="256"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Electronic Delivery</w:t>
      </w:r>
      <w:r>
        <w:rPr>
          <w:rFonts w:ascii="Arial" w:cs="Arial" w:eastAsia="Arial" w:hAnsi="Arial"/>
          <w:sz w:val="18"/>
          <w:szCs w:val="18"/>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62"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31" w:lineRule="exact"/>
        <w:rPr>
          <w:rFonts w:ascii="Arial" w:cs="Arial" w:eastAsia="Arial" w:hAnsi="Arial"/>
          <w:sz w:val="16"/>
          <w:szCs w:val="16"/>
          <w:color w:val="auto"/>
        </w:rPr>
      </w:pPr>
    </w:p>
    <w:p>
      <w:pPr>
        <w:ind w:left="446" w:right="160" w:hanging="446"/>
        <w:spacing w:after="0" w:line="294"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Appendix A</w:t>
      </w:r>
      <w:r>
        <w:rPr>
          <w:rFonts w:ascii="Arial" w:cs="Arial" w:eastAsia="Arial" w:hAnsi="Arial"/>
          <w:sz w:val="16"/>
          <w:szCs w:val="16"/>
          <w:color w:val="auto"/>
        </w:rPr>
        <w:t>. Notwithstanding any provisions herein to the contrary, if the Participant transfers the Participant’s residence and/or employment to a country other than the United States, the RSUs shall be subject to any special terms and conditions for such country as may be set forth in Appendix A to this Agreement. Moreover, if the Participant relocates to one of the countries included in Appendix A, the special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34" w:lineRule="exact"/>
        <w:rPr>
          <w:rFonts w:ascii="Arial" w:cs="Arial" w:eastAsia="Arial" w:hAnsi="Arial"/>
          <w:sz w:val="16"/>
          <w:szCs w:val="16"/>
          <w:color w:val="auto"/>
        </w:rPr>
      </w:pPr>
    </w:p>
    <w:p>
      <w:pPr>
        <w:ind w:left="446" w:right="20" w:hanging="446"/>
        <w:spacing w:after="0" w:line="298"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in order to comply with local law or to facilitate the administration of the Plan. Such requirements may include (but are not limited to) requiring the Participant to sign any agreements or undertakings that may be necessary to accomplish the foregoing.</w:t>
      </w:r>
    </w:p>
    <w:p>
      <w:pPr>
        <w:spacing w:after="0" w:line="31" w:lineRule="exact"/>
        <w:rPr>
          <w:rFonts w:ascii="Arial" w:cs="Arial" w:eastAsia="Arial" w:hAnsi="Arial"/>
          <w:sz w:val="16"/>
          <w:szCs w:val="16"/>
          <w:color w:val="auto"/>
        </w:rPr>
      </w:pPr>
    </w:p>
    <w:p>
      <w:pPr>
        <w:ind w:left="446" w:right="60" w:hanging="446"/>
        <w:spacing w:after="0" w:line="256"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62" w:lineRule="exact"/>
        <w:rPr>
          <w:rFonts w:ascii="Arial" w:cs="Arial" w:eastAsia="Arial" w:hAnsi="Arial"/>
          <w:sz w:val="18"/>
          <w:szCs w:val="18"/>
          <w:color w:val="auto"/>
        </w:rPr>
      </w:pPr>
    </w:p>
    <w:p>
      <w:pPr>
        <w:jc w:val="both"/>
        <w:ind w:left="446" w:right="20" w:hanging="446"/>
        <w:spacing w:after="0" w:line="256"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Directors of the Company.</w:t>
      </w:r>
    </w:p>
    <w:p>
      <w:pPr>
        <w:spacing w:after="0" w:line="62" w:lineRule="exact"/>
        <w:rPr>
          <w:rFonts w:ascii="Arial" w:cs="Arial" w:eastAsia="Arial" w:hAnsi="Arial"/>
          <w:sz w:val="18"/>
          <w:szCs w:val="18"/>
          <w:color w:val="auto"/>
        </w:rPr>
      </w:pPr>
    </w:p>
    <w:p>
      <w:pPr>
        <w:jc w:val="both"/>
        <w:ind w:left="446" w:right="300" w:hanging="446"/>
        <w:spacing w:after="0" w:line="256"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Shares. The Participant is hereby advised to consult with his or her own personal tax, legal and financial advisors regarding his or her participation in the Plan before taking any action related to the Plan.</w:t>
      </w:r>
    </w:p>
    <w:p>
      <w:pPr>
        <w:sectPr>
          <w:pgSz w:w="11900" w:h="16838" w:orient="portrait"/>
          <w:cols w:equalWidth="0" w:num="1">
            <w:col w:w="10946"/>
          </w:cols>
          <w:pgMar w:left="694" w:top="982" w:right="259" w:bottom="1440" w:gutter="0" w:footer="0" w:header="0"/>
        </w:sectPr>
      </w:pPr>
    </w:p>
    <w:p>
      <w:pPr>
        <w:spacing w:after="0" w:line="184" w:lineRule="exact"/>
        <w:rPr>
          <w:sz w:val="20"/>
          <w:szCs w:val="20"/>
          <w:color w:val="auto"/>
        </w:rPr>
      </w:pPr>
    </w:p>
    <w:p>
      <w:pPr>
        <w:ind w:left="26"/>
        <w:spacing w:after="0"/>
        <w:rPr>
          <w:sz w:val="20"/>
          <w:szCs w:val="20"/>
          <w:color w:val="auto"/>
        </w:rPr>
      </w:pPr>
      <w:r>
        <w:rPr>
          <w:rFonts w:ascii="Arial" w:cs="Arial" w:eastAsia="Arial" w:hAnsi="Arial"/>
          <w:sz w:val="18"/>
          <w:szCs w:val="18"/>
          <w:color w:val="auto"/>
        </w:rPr>
        <w:t>Ray Stata</w:t>
      </w:r>
    </w:p>
    <w:p>
      <w:pPr>
        <w:spacing w:after="0" w:line="15" w:lineRule="exact"/>
        <w:rPr>
          <w:sz w:val="20"/>
          <w:szCs w:val="20"/>
          <w:color w:val="auto"/>
        </w:rPr>
      </w:pPr>
    </w:p>
    <w:p>
      <w:pPr>
        <w:ind w:left="26"/>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174" w:lineRule="exact"/>
        <w:rPr>
          <w:sz w:val="20"/>
          <w:szCs w:val="20"/>
          <w:color w:val="auto"/>
        </w:rPr>
      </w:pPr>
    </w:p>
    <w:p>
      <w:pPr>
        <w:sectPr>
          <w:pgSz w:w="11900" w:h="16838" w:orient="portrait"/>
          <w:cols w:equalWidth="0" w:num="2">
            <w:col w:w="4886" w:space="720"/>
            <w:col w:w="5340"/>
          </w:cols>
          <w:pgMar w:left="694" w:top="982" w:right="259" w:bottom="1440" w:gutter="0" w:footer="0" w:header="0"/>
          <w:type w:val="continuous"/>
        </w:sectPr>
      </w:pPr>
    </w:p>
    <w:p>
      <w:pPr>
        <w:jc w:val="center"/>
        <w:ind w:right="414"/>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946"/>
          </w:cols>
          <w:pgMar w:left="694" w:top="982" w:right="259" w:bottom="1440" w:gutter="0" w:footer="0" w:header="0"/>
          <w:type w:val="continuous"/>
        </w:sectPr>
      </w:pPr>
    </w:p>
    <w:bookmarkStart w:id="80" w:name="page81"/>
    <w:bookmarkEnd w:id="80"/>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RESTRICTED STOCK UNIT AGREEMENT</w:t>
      </w:r>
    </w:p>
    <w:p>
      <w:pPr>
        <w:spacing w:after="0" w:line="16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This Appendix A includes additional terms and conditions that govern the RSUs granted to the Participant if the Participant resides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February 2012.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the information is general in nature and may not apply to the Participant’s particular situation, and the Company is not in a position to assure the Participant of any particular result. Therefore, the Participant is advised to seek appropriate professional advice as to how the relevant laws in the Participant’s country may apply to his or her situation.</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Finally, the Participant understands that if he or she is a citizen or resident of a country other than the one in which the Participant is currently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u w:val="single" w:color="auto"/>
          <w:color w:val="auto"/>
        </w:rPr>
        <w:t>Additional Documents Pertaining to RSUs</w:t>
      </w:r>
      <w:r>
        <w:rPr>
          <w:rFonts w:ascii="Arial" w:cs="Arial" w:eastAsia="Arial" w:hAnsi="Arial"/>
          <w:sz w:val="18"/>
          <w:szCs w:val="18"/>
          <w:color w:val="auto"/>
        </w:rPr>
        <w:t>. In addition to the Agreement and the Plan, the Participant must review the Australian Offer Document dated {GRANTDATE} and the Australian Addendum to the Plan for additional information pertaining to the RSUs. This document can be accessed via the Company’s intranet site at http://signals.corpnt.analog.com/default.aspx, and by accepting the RSUs, the Participant acknowledges and confirms that the Participant has reviewed these documents.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supplements Section 8 of the Agreement:</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following provision applies if the Participant is a People’s Republic of China (“PRC”) national residing in the PRC:</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Exchange Control Requirements</w:t>
      </w:r>
      <w:r>
        <w:rPr>
          <w:rFonts w:ascii="Arial" w:cs="Arial" w:eastAsia="Arial" w:hAnsi="Arial"/>
          <w:sz w:val="18"/>
          <w:szCs w:val="18"/>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90 calendar days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- 1</w:t>
      </w:r>
    </w:p>
    <w:p>
      <w:pPr>
        <w:sectPr>
          <w:pgSz w:w="11900" w:h="16838" w:orient="portrait"/>
          <w:cols w:equalWidth="0" w:num="1">
            <w:col w:w="11420"/>
          </w:cols>
          <w:pgMar w:left="240" w:top="976" w:right="239" w:bottom="1440" w:gutter="0" w:footer="0" w:header="0"/>
        </w:sectPr>
      </w:pPr>
    </w:p>
    <w:bookmarkStart w:id="81" w:name="page82"/>
    <w:bookmarkEnd w:id="81"/>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RESTRICTED STOCK UNIT AGREEMENT</w:t>
      </w:r>
    </w:p>
    <w:p>
      <w:pPr>
        <w:spacing w:after="0" w:line="15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u w:val="single" w:color="auto"/>
          <w:color w:val="auto"/>
        </w:rPr>
        <w:t>Tax Liability</w:t>
      </w:r>
      <w:r>
        <w:rPr>
          <w:rFonts w:ascii="Arial" w:cs="Arial" w:eastAsia="Arial" w:hAnsi="Arial"/>
          <w:sz w:val="18"/>
          <w:szCs w:val="18"/>
          <w:color w:val="auto"/>
        </w:rPr>
        <w:t>. Taxes are due at the time of vesting of the RSUs. The Participant understands and agrees that Tax-Related Items may be taken by the Employer from the Participant’s salary or other cash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u w:val="single" w:color="auto"/>
          <w:color w:val="auto"/>
        </w:rPr>
        <w:t>Danish Stock Option Act</w:t>
      </w:r>
      <w:r>
        <w:rPr>
          <w:rFonts w:ascii="Arial" w:cs="Arial" w:eastAsia="Arial" w:hAnsi="Arial"/>
          <w:sz w:val="18"/>
          <w:szCs w:val="18"/>
          <w:color w:val="auto"/>
        </w:rPr>
        <w:t>. By participating in the Plan, the Participant acknowledges that he or she received an Employer Statement translated into Danish, which is being provided to comply with the Danish Stock Option Act. To the extent more favorable to the Participant, the terms set forth in the Employer Statement will apply to the Participant’s participation in the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Exclusion from Termination Indemnities and Other Benefits</w:t>
      </w:r>
      <w:r>
        <w:rPr>
          <w:rFonts w:ascii="Arial" w:cs="Arial" w:eastAsia="Arial" w:hAnsi="Arial"/>
          <w:sz w:val="18"/>
          <w:szCs w:val="18"/>
          <w:color w:val="auto"/>
        </w:rPr>
        <w:t>. This provision supplements Section 10(c) in the Agreement:</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By accepting the RSUs, the Participant acknowledges that he/she understands and agrees that this grant relates to future services to be performed and is not a bonus or compensation for past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u w:val="single" w:color="auto"/>
          <w:color w:val="auto"/>
        </w:rPr>
        <w:t>French-Qualified RSUs</w:t>
      </w:r>
      <w:r>
        <w:rPr>
          <w:rFonts w:ascii="Arial" w:cs="Arial" w:eastAsia="Arial" w:hAnsi="Arial"/>
          <w:sz w:val="16"/>
          <w:szCs w:val="16"/>
          <w:color w:val="auto"/>
        </w:rPr>
        <w:t>. The RSUs are intended to qualify for the favorable tax and social security regime in France under Section L. 225-197-1 to L. 225-197-6-1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1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u w:val="single" w:color="auto"/>
          <w:color w:val="auto"/>
        </w:rPr>
        <w:t>Plan Terms</w:t>
      </w:r>
      <w:r>
        <w:rPr>
          <w:rFonts w:ascii="Arial" w:cs="Arial" w:eastAsia="Arial" w:hAnsi="Arial"/>
          <w:sz w:val="18"/>
          <w:szCs w:val="18"/>
          <w:color w:val="auto"/>
        </w:rPr>
        <w:t>. The RSUs are subject to the terms and conditions of the Plan and the Rules of the Analog Devices, Inc. 2006 Stock Incentive Plan for Grants to Participant in France (the “French Sub-plan”). To the extent that any term is defined in both the Plan and the French Sub-plan, for purposes of this grant of a French-qualified RSUs, the definitions in the French Sub-plan shall prevail.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This provision supplements Section 2 in the Agreement:</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Except in the event of the Participant’s death or Disability (as defined in the French Sub-plan and Section 2(d) of the Agreement) to benefit from the favorable tax and social security regime, no vesting shall occur prior to the second anniversary of the Date of Grant, or such other minimum period as required for the vesting period applicable to French-qualified RSUs under Section L.225-197-1 of the French Commercial Code, as amended, or relevant Sections of the French Tax Code or the French Social Security Code,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This provision supplements Section 2(d) in the Agreement:</w:t>
      </w:r>
    </w:p>
    <w:p>
      <w:pPr>
        <w:spacing w:after="0" w:line="171"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In the event the Participant’s employment with the Company or the Employer terminates by reason of Disability (as defined in the French Sub-plan and Section 2(d) of the Agreement), the Unvested RSUs as of the date of the Participant’s termination shall vest in full as of the date of the termination.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- 2</w:t>
      </w:r>
    </w:p>
    <w:p>
      <w:pPr>
        <w:sectPr>
          <w:pgSz w:w="11900" w:h="16838" w:orient="portrait"/>
          <w:cols w:equalWidth="0" w:num="1">
            <w:col w:w="11400"/>
          </w:cols>
          <w:pgMar w:left="240" w:top="989" w:right="259" w:bottom="1440" w:gutter="0" w:footer="0" w:header="0"/>
        </w:sectPr>
      </w:pPr>
    </w:p>
    <w:bookmarkStart w:id="82" w:name="page83"/>
    <w:bookmarkEnd w:id="82"/>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243330" cy="3517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ind w:right="3560" w:firstLine="3571"/>
        <w:spacing w:after="0" w:line="480" w:lineRule="auto"/>
        <w:rPr>
          <w:sz w:val="20"/>
          <w:szCs w:val="20"/>
          <w:color w:val="auto"/>
        </w:rPr>
      </w:pPr>
      <w:r>
        <w:rPr>
          <w:rFonts w:ascii="Arial" w:cs="Arial" w:eastAsia="Arial" w:hAnsi="Arial"/>
          <w:sz w:val="16"/>
          <w:szCs w:val="16"/>
          <w:b w:val="1"/>
          <w:bCs w:val="1"/>
          <w:color w:val="auto"/>
        </w:rPr>
        <w:t xml:space="preserve">GLOBAL RESTRICTED STOCK UNIT AGREEMENT </w:t>
      </w:r>
      <w:r>
        <w:rPr>
          <w:rFonts w:ascii="Arial" w:cs="Arial" w:eastAsia="Arial" w:hAnsi="Arial"/>
          <w:sz w:val="16"/>
          <w:szCs w:val="16"/>
          <w:u w:val="single" w:color="auto"/>
          <w:color w:val="auto"/>
        </w:rPr>
        <w:t>Restriction on Transfer and Sale of Shares</w:t>
      </w:r>
      <w:r>
        <w:rPr>
          <w:rFonts w:ascii="Arial" w:cs="Arial" w:eastAsia="Arial" w:hAnsi="Arial"/>
          <w:sz w:val="16"/>
          <w:szCs w:val="16"/>
          <w:color w:val="auto"/>
        </w:rPr>
        <w:t>. This provision supplements Section 3 in the Agreement:</w:t>
      </w:r>
    </w:p>
    <w:p>
      <w:pPr>
        <w:spacing w:after="0" w:line="289" w:lineRule="auto"/>
        <w:rPr>
          <w:sz w:val="20"/>
          <w:szCs w:val="20"/>
          <w:color w:val="auto"/>
        </w:rPr>
      </w:pPr>
      <w:r>
        <w:rPr>
          <w:rFonts w:ascii="Arial" w:cs="Arial" w:eastAsia="Arial" w:hAnsi="Arial"/>
          <w:sz w:val="16"/>
          <w:szCs w:val="16"/>
          <w:color w:val="auto"/>
        </w:rPr>
        <w:t>The Participant may not sell or transfer the Shares issued at vesting of the RSUs prior to the second anniversary of each of the respective vesting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Further, as long as the RSUs and the Shares acquired at vesting of the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This provision supplements Section 10(t) in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Certain adjustments may disqualify the RSUs, in which case they may no longer benefit from favorable tax and social security treatment in France.</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32"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u w:val="single" w:color="auto"/>
          <w:color w:val="auto"/>
        </w:rPr>
        <w:t>Consentement a la Langue</w:t>
      </w:r>
      <w:r>
        <w:rPr>
          <w:rFonts w:ascii="Arial" w:cs="Arial" w:eastAsia="Arial" w:hAnsi="Arial"/>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Warning: The RSUs and Shares do not constitute a public offering of securities under Hong Kong law and are available only to employees of the Company. The Agreement, including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RSUs are intended only for the personal use of each eligible employee of the Company and may not be distributed to any other person. If the Participant is in any doubt about any of the contents of the Agreement, including Appendix A or the Plan, the Participant should obtain independent professional advice.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 In no event will the Award be paid to Participant in the form of cash.</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To facilitate compliance with securities laws in Hong Kong, in the event the Participant’s RSUs vest and Shares are issued to the Participant within six (6) months of the Date of Grant, the Participant agrees that he or she will not dispose of any Shares acquired prior to the six-month anniversary of the Date of Grant.</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Nature of Scheme</w:t>
      </w:r>
      <w:r>
        <w:rPr>
          <w:rFonts w:ascii="Arial" w:cs="Arial" w:eastAsia="Arial" w:hAnsi="Arial"/>
          <w:sz w:val="18"/>
          <w:szCs w:val="18"/>
          <w:color w:val="auto"/>
        </w:rPr>
        <w:t>. The Company specifically intends that the Plan will not be an occupational retirement scheme for purposes of the Occupational Retirement Schemes Ordinance (“ORSO”). Notwithstanding the foregoing, if the Plan is deemed to constitute an occupational retirement scheme for the purposes of ORSO, then the Participant’s grant shall be void.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- 3</w:t>
      </w:r>
    </w:p>
    <w:p>
      <w:pPr>
        <w:sectPr>
          <w:pgSz w:w="11900" w:h="16838" w:orient="portrait"/>
          <w:cols w:equalWidth="0" w:num="1">
            <w:col w:w="11400"/>
          </w:cols>
          <w:pgMar w:left="240" w:top="989" w:right="259" w:bottom="1440" w:gutter="0" w:footer="0" w:header="0"/>
        </w:sectPr>
      </w:pPr>
    </w:p>
    <w:bookmarkStart w:id="83" w:name="page84"/>
    <w:bookmarkEnd w:id="8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243330" cy="351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RESTRICTED STOCK UNIT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 In no event will the Award be paid to Participant in the form of cash.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Exclusion from Termination Indemnities and Other Benefits</w:t>
      </w:r>
      <w:r>
        <w:rPr>
          <w:rFonts w:ascii="Arial" w:cs="Arial" w:eastAsia="Arial" w:hAnsi="Arial"/>
          <w:sz w:val="18"/>
          <w:szCs w:val="18"/>
          <w:color w:val="auto"/>
        </w:rPr>
        <w:t>. This provision supplements Section 10(c) of the Agreement:</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By accepting the RSUs, the Participant acknowledges, understands, and agrees that the benefits received under the Plan will not be taken into account for any redundancy or unfair dismissal claim.</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Participant is a director, shadow director</w:t>
      </w:r>
      <w:r>
        <w:rPr>
          <w:rFonts w:ascii="Arial" w:cs="Arial" w:eastAsia="Arial" w:hAnsi="Arial"/>
          <w:sz w:val="10"/>
          <w:szCs w:val="10"/>
          <w:color w:val="auto"/>
        </w:rPr>
        <w:t>1</w:t>
      </w:r>
      <w:r>
        <w:rPr>
          <w:rFonts w:ascii="Arial" w:cs="Arial" w:eastAsia="Arial" w:hAnsi="Arial"/>
          <w:sz w:val="16"/>
          <w:szCs w:val="16"/>
          <w:color w:val="auto"/>
        </w:rPr>
        <w:t xml:space="preserve"> or secretary of an Irish subsidiary of the Company, the Participant is subject to certain notification requirements under Section 53 of the Companies Act, 1990. Among these requirements is an obligation to notify the Irish affiliate in writing within five (5) business days when the Participant receives an interest (e.g., RSUs, Shares) in the Company and the number and class of shares or rights to which the interest relates. In addition, the Participant must notify the Irish subsidiary within five (5) business days when the Participant sells Shares acquired under the Plan. This notification requirement also applies to any rights or Shares acquired by the Participant’s spouse or children (under the age of 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u w:val="single" w:color="auto"/>
          <w:color w:val="auto"/>
        </w:rPr>
        <w:t>Trust Arrangement</w:t>
      </w:r>
      <w:r>
        <w:rPr>
          <w:rFonts w:ascii="Arial" w:cs="Arial" w:eastAsia="Arial" w:hAnsi="Arial"/>
          <w:sz w:val="18"/>
          <w:szCs w:val="18"/>
          <w:color w:val="auto"/>
        </w:rPr>
        <w:t>. The Participant hereby understands and agrees that the RSUs are offered subject to and in accordance with the terms of the Israeli Sub-Plan (the “Sub-Plan”) under the 102 Capital Gains Track (as defined in the Sub-Plan), the Trust Agreement between the trustee appointed by Analog Devices, (Israel) Ltd. (the “Trustee”), the Agreement, and the Plan. In the event of any inconsistencies among the Sub-Plan, the Agreement and/or the Plan, the Participant agrees that the Sub-Plan will govern the RSUs granted to the Participant in Israel.</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If the Participant resides in Israel and has not already executed an Israeli Appendix in connection with grants made under the Plan, then the Participant must print, sign &amp; deliver the signed copy of the Israeli Appendix within 90 days to: Stock Plan Administrator, Treasury Department, Analog Devices, Inc., Norwood, Massachusetts, 02062 USA. If Analog Devices, (Israel) Ltd. or Analog Devices, Inc. does not receive the signed Israeli Appendix within 90 days, the RSUs shall terminate and will become null and void.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This provision supplements Section 2(a) in the Agreement:</w:t>
      </w:r>
    </w:p>
    <w:p>
      <w:pPr>
        <w:spacing w:after="0" w:line="17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This provision supplements Section 3(a) in the Agreement:</w:t>
      </w:r>
    </w:p>
    <w:p>
      <w:pPr>
        <w:spacing w:after="0" w:line="17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Trustee shall not alienate, sale,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20" w:hanging="452"/>
        <w:spacing w:after="0" w:line="228" w:lineRule="auto"/>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A shadow director is an individual who is not on the board of directors of the Irish subsidiary but who has sufficient control so that the board of directors of the Irish subsidiary acts in accordance with the “directions or instructions” of the individual.</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 - 4</w:t>
      </w:r>
    </w:p>
    <w:p>
      <w:pPr>
        <w:sectPr>
          <w:pgSz w:w="11900" w:h="16838" w:orient="portrait"/>
          <w:cols w:equalWidth="0" w:num="1">
            <w:col w:w="11400"/>
          </w:cols>
          <w:pgMar w:left="240" w:top="989" w:right="259" w:bottom="1440" w:gutter="0" w:footer="0" w:header="0"/>
        </w:sectPr>
      </w:pPr>
    </w:p>
    <w:bookmarkStart w:id="84" w:name="page85"/>
    <w:bookmarkEnd w:id="84"/>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ind w:right="3580" w:firstLine="3571"/>
        <w:spacing w:after="0" w:line="426" w:lineRule="auto"/>
        <w:rPr>
          <w:sz w:val="20"/>
          <w:szCs w:val="20"/>
          <w:color w:val="auto"/>
        </w:rPr>
      </w:pPr>
      <w:r>
        <w:rPr>
          <w:rFonts w:ascii="Arial" w:cs="Arial" w:eastAsia="Arial" w:hAnsi="Arial"/>
          <w:sz w:val="18"/>
          <w:szCs w:val="18"/>
          <w:b w:val="1"/>
          <w:bCs w:val="1"/>
          <w:color w:val="auto"/>
        </w:rPr>
        <w:t xml:space="preserve">GLOBAL RESTRICTED STOCK UNIT AGREEMENT </w:t>
      </w: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 In no event will the Award be paid to Participant in the form of cash.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replaces in its entirety Section 8 of the Agreement:</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The Participant understands that the Employer, the Company and any subsidiary as a data processor of the Company may hold certain personal information about the Participant, including, but not limited to, the Participant’s name, home address and telephone number, date of birth, social insurance or other identification number, salary, nationality, job title, any Shares or directorships held in the Company or any subsidiary, details of all RSUs, or any other entitlement to Shares awarded, canceled, exercised, vested, unvested or outstanding in the Participant’s favor, and that the Company and the Employer will process said data and other data lawfully received from third party (“Data”) for the exclusive purpose of implementing, managing and administering the Plan and complying with applicable laws, regulations and community legislation.</w:t>
      </w:r>
    </w:p>
    <w:p>
      <w:pPr>
        <w:spacing w:after="0" w:line="120"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The Participant also understands that providing the Company with Data is mandatory for compliance with laws and is necessary for the performance of the Plan and that the Participant’s refusal to provide such Data would make it impossible for the Company to perform its contractual obligations and may affect the Participant’s ability to participate in the Plan. The Controller of personal data processing is Analog Devices, Inc., with registered offices at Analog Devices, Inc., Three Technology Way, Norwood, Massachusetts, 02062 U.S.A. and, pursuant to Legislative Decree no. 196/2003, its Representative in Italy for privacy purposes is Analog Devices SRL with its registered offices at Centro Direzionale Milano 2, Palazzo Bernini 20090 Segrate, Milan, Italy.</w:t>
      </w:r>
    </w:p>
    <w:p>
      <w:pPr>
        <w:spacing w:after="0" w:line="100"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i w:val="1"/>
          <w:iCs w:val="1"/>
          <w:color w:val="auto"/>
        </w:rPr>
        <w:t>The Participant understands that Data will not be publicized, but it may be accessible by the Employer as the data processor of the Company and within the Employer’s organization by its internal and external personnel in charge of processing. Furthermore, Data may be transferred to banks, other financial institutions, or brokers involved in the management and administration of the Plan. The Participant understands that Data may also be transferred to the independent registered public accounting firm engaged by the Company, and also to the legitimate addresses under applicable laws. The Participant further understands that the Company and/or any subsidiary will transfer Data among themselves as necessary for the purpose of implementing, administering and managing the Participant’s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the Participant may elect to deposit any Shares acquired at vesting of the RSU. Such recipients may receive, possess, use, retain, and transfer Data in electronic or other form, for the purposes of implementing, administering, and managing the Participant’s participation in the Plan. The Participant understands that these recipients may be acting as controllers, 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08"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b w:val="1"/>
          <w:bCs w:val="1"/>
          <w:i w:val="1"/>
          <w:iCs w:val="1"/>
          <w:color w:val="auto"/>
        </w:rPr>
        <w:t>The Participant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of the European Economic Area, as herein specified and pursuant to applicable laws and regulations, does not require the Participant’s consent thereto, as the processing is necessary to performance of law and contractual obligations related to implementation, administration, and management of the Plan. The Participant understands that, pursuant to Section 7 of the Legislative Decree no. 196/2003, the Participant has the right at any moment to, including but not limited to, obtain confirmation that Data exist or not, access, verify their content, origin and accuracy, delete, update, integrate, correct, block or terminate, for legitimate reason, the Data processing. To exercise privacy rights the Participant should address the Employer.</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Furthermore, the Participant is aware that Data will not be used for direct-marketing purposes. In addition, Data provided can be reviewed and questions or complaints can be addressed by contacting the Participant’s local human resources representative.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Plan Document Acknowledgment</w:t>
      </w:r>
      <w:r>
        <w:rPr>
          <w:rFonts w:ascii="Arial" w:cs="Arial" w:eastAsia="Arial" w:hAnsi="Arial"/>
          <w:sz w:val="18"/>
          <w:szCs w:val="18"/>
          <w:color w:val="auto"/>
        </w:rPr>
        <w:t>. In accepting the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- 5</w:t>
      </w:r>
    </w:p>
    <w:p>
      <w:pPr>
        <w:sectPr>
          <w:pgSz w:w="11900" w:h="16838" w:orient="portrait"/>
          <w:cols w:equalWidth="0" w:num="1">
            <w:col w:w="11420"/>
          </w:cols>
          <w:pgMar w:left="240" w:top="989" w:right="239" w:bottom="1440" w:gutter="0" w:footer="0" w:header="0"/>
        </w:sectPr>
      </w:pPr>
    </w:p>
    <w:bookmarkStart w:id="85" w:name="page86"/>
    <w:bookmarkEnd w:id="85"/>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RESTRICTED STOCK UNIT AGREEMENT</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Participant further acknowledges that he or she has read and specifically and expressly approves the following provision in the Agreement: Vesting and Conversion, Withholding Taxes, Miscellaneous, and the Data Privacy provision set forth in this Appendix 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Participant is a director of a subsidiary or other related company in Malaysia, then the Participant is subject to certain notification requirements under the Malaysian Companies Act, 1965.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Malaysian insider-trading rules may impact the acquisition or disposal of Shares or rights to Shares under the Plan. Under such rules, the Participant is prohibited from acquiring Shares or rights to Shares (e.g., RSUs) or selling Shares when he or she possesses information that is not generally available and which the Participant knows or should know will have a material effect on the price of the Shares once such information is generally available. By accepting this grant, the Participant acknowledges that he or she is not in possession of any material, non-publicly disclosed information regarding the Company at the time of grant and will not acquire or sell Shares when in possession of any material, non-publicly disclosed information regarding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Entitlement</w:t>
      </w:r>
      <w:r>
        <w:rPr>
          <w:rFonts w:ascii="Arial" w:cs="Arial" w:eastAsia="Arial" w:hAnsi="Arial"/>
          <w:sz w:val="18"/>
          <w:szCs w:val="18"/>
          <w:color w:val="auto"/>
        </w:rPr>
        <w:t>. This provision supplements Section 10(d) of the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By accepting the RSU, the Participant acknowledges that the RSU is intended as an incentive for the Participant to remain employed with the Employer and is not intended as remuneration for labor performed.</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u w:val="single" w:color="auto"/>
          <w:color w:val="auto"/>
        </w:rPr>
        <w:t>Securities Law Acknowledgment</w:t>
      </w:r>
      <w:r>
        <w:rPr>
          <w:rFonts w:ascii="Arial" w:cs="Arial" w:eastAsia="Arial" w:hAnsi="Arial"/>
          <w:sz w:val="16"/>
          <w:szCs w:val="16"/>
          <w:color w:val="auto"/>
        </w:rPr>
        <w:t>. The Participant should be aware of the Dutch insider-trading rules, which may impact the sale of Shares issued upon vesting of the RSU. In particular, the Participant may be prohibited from effectuating certain transactions if he or she has inside information about the Company.</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Article 5:56 of the Dutch Financial Supervision Act, anyone who has “insider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 regardless of the development of the price. The insider could be any employee of any subsidiary in the Netherlands who has inside information as described herein.</w:t>
      </w:r>
    </w:p>
    <w:p>
      <w:pPr>
        <w:spacing w:after="0" w:line="14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Given the broad scope of the definition of inside information, certain employees working at a subsidiary in the Netherlands may have inside information and, thus, would be prohibited from effectuating a transaction in securities in the Netherlands at a time when the employee has such inside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the Participant is uncertain whether the insider-trading rules apply to him or her, then the Participant should consult with his or her personal legal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xml:space="preserve">.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the New York Stock Exchange (the “NYSE”). The Company’s designated broker should be able to assist the Participant in the sale of Shares on the NYSE. </w:t>
      </w:r>
      <w:r>
        <w:rPr>
          <w:rFonts w:ascii="Arial" w:cs="Arial" w:eastAsia="Arial" w:hAnsi="Arial"/>
          <w:sz w:val="16"/>
          <w:szCs w:val="16"/>
          <w:i w:val="1"/>
          <w:iCs w:val="1"/>
          <w:color w:val="auto"/>
        </w:rPr>
        <w:t>If the Participant has questions with regard to the application of Philippines securities laws to the disposal or sale</w:t>
      </w:r>
      <w:r>
        <w:rPr>
          <w:rFonts w:ascii="Arial" w:cs="Arial" w:eastAsia="Arial" w:hAnsi="Arial"/>
          <w:sz w:val="16"/>
          <w:szCs w:val="16"/>
          <w:color w:val="auto"/>
        </w:rPr>
        <w:t xml:space="preserve"> </w:t>
      </w:r>
      <w:r>
        <w:rPr>
          <w:rFonts w:ascii="Arial" w:cs="Arial" w:eastAsia="Arial" w:hAnsi="Arial"/>
          <w:sz w:val="16"/>
          <w:szCs w:val="16"/>
          <w:i w:val="1"/>
          <w:iCs w:val="1"/>
          <w:color w:val="auto"/>
        </w:rPr>
        <w:t>of Shares acquired under the Plan the Participant should consult with his or her legal advisor.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- 6</w:t>
      </w:r>
    </w:p>
    <w:p>
      <w:pPr>
        <w:sectPr>
          <w:pgSz w:w="11900" w:h="16838" w:orient="portrait"/>
          <w:cols w:equalWidth="0" w:num="1">
            <w:col w:w="11400"/>
          </w:cols>
          <w:pgMar w:left="240" w:top="989" w:right="259" w:bottom="1440" w:gutter="0" w:footer="0" w:header="0"/>
        </w:sectPr>
      </w:pPr>
    </w:p>
    <w:bookmarkStart w:id="86" w:name="page87"/>
    <w:bookmarkEnd w:id="86"/>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RESTRICTED STOCK UNIT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(Chapter 289, 2006 Ed.).</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acquiring or disposing of any interest in the Company or any related company. In addition, a notification must be made of the Participant’s interests in the Company or any related company within two (2) business days of becoming a director.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SLOVAKIA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Entitlement</w:t>
      </w:r>
      <w:r>
        <w:rPr>
          <w:rFonts w:ascii="Arial" w:cs="Arial" w:eastAsia="Arial" w:hAnsi="Arial"/>
          <w:sz w:val="18"/>
          <w:szCs w:val="18"/>
          <w:color w:val="auto"/>
        </w:rPr>
        <w:t>. This provision supplements Section 10(d) of the Agreement:</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1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Further, the vesting of the RSUs is expressly conditioned on the Participant’s continued rendering of service, such that if the Participant’s employment terminates for any reason whatsoever, the RSUs may cease vesting immediately, in whole or in part, effective on the date of the Participant’s termination of employment (unless otherwise specifically provided in Section 2 of the Agreement in the event of death or Disability). This will be the case, for example, even if (1) the Participant is considered to be unfairly dismissed without good cause;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may automatically lose any rights to RSUs that were not vested on the date of the Participant’s termination of employment, as described in the Plan and the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acknowledges that he or she has read and specifically accepts the conditions referred to in Section 2 of the Agreement.</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u w:val="single" w:color="auto"/>
          <w:color w:val="auto"/>
        </w:rPr>
        <w:t>Securities Law Notification</w:t>
      </w:r>
      <w:r>
        <w:rPr>
          <w:rFonts w:ascii="Arial" w:cs="Arial" w:eastAsia="Arial" w:hAnsi="Arial"/>
          <w:sz w:val="18"/>
          <w:szCs w:val="18"/>
          <w:color w:val="auto"/>
        </w:rPr>
        <w:t>. The grant of RSUs and the Shares issued upon vesting of the RSUs are considered a private placement outside of the scope of Spanish laws on public offerings and issuances of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 - 7</w:t>
      </w:r>
    </w:p>
    <w:p>
      <w:pPr>
        <w:sectPr>
          <w:pgSz w:w="11900" w:h="16838" w:orient="portrait"/>
          <w:cols w:equalWidth="0" w:num="1">
            <w:col w:w="11400"/>
          </w:cols>
          <w:pgMar w:left="240" w:top="990" w:right="259" w:bottom="1440" w:gutter="0" w:footer="0" w:header="0"/>
        </w:sectPr>
      </w:pPr>
    </w:p>
    <w:bookmarkStart w:id="87" w:name="page88"/>
    <w:bookmarkEnd w:id="87"/>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43330" cy="3517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51790"/>
                    </a:xfrm>
                    <a:prstGeom prst="rect">
                      <a:avLst/>
                    </a:prstGeom>
                    <a:noFill/>
                  </pic:spPr>
                </pic:pic>
              </a:graphicData>
            </a:graphic>
          </wp:anchor>
        </w:drawing>
        <w:t>APPENDIX A TO</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2006 STOCK INCENTIVE PLAN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RESTRICTED STOCK UNIT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 In no event will the Award be paid to Participant in the form of cash.</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Joint Election</w:t>
      </w:r>
      <w:r>
        <w:rPr>
          <w:rFonts w:ascii="Arial" w:cs="Arial" w:eastAsia="Arial" w:hAnsi="Arial"/>
          <w:sz w:val="18"/>
          <w:szCs w:val="18"/>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14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2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A - 8</w:t>
      </w:r>
    </w:p>
    <w:p>
      <w:pPr>
        <w:sectPr>
          <w:pgSz w:w="11900" w:h="16838" w:orient="portrait"/>
          <w:cols w:equalWidth="0" w:num="1">
            <w:col w:w="11360"/>
          </w:cols>
          <w:pgMar w:left="240" w:top="990" w:right="2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2006 STOCK INCENTIVE PLAN</w:t>
      </w:r>
    </w:p>
    <w:p>
      <w:pPr>
        <w:spacing w:after="0" w:line="29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purpose of this 2006 Stock Incentive Plan (the “Plan”) of Analog Devices, Inc., a Massachusetts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24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All of the Company’s employees, officers, directors, consultants and advisors are eligible to receive options, stock appreciation rights, restricted stock, restricted stock units and other stock-based awards (each, an “Award”) under the Plan. Each person who receives an Award under the Plan is deemed a “Participant”.</w:t>
      </w:r>
    </w:p>
    <w:p>
      <w:pPr>
        <w:spacing w:after="0" w:line="26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90" w:lineRule="exact"/>
        <w:rPr>
          <w:rFonts w:ascii="Arial" w:cs="Arial" w:eastAsia="Arial" w:hAnsi="Arial"/>
          <w:sz w:val="18"/>
          <w:szCs w:val="18"/>
          <w:color w:val="auto"/>
        </w:rPr>
      </w:pPr>
    </w:p>
    <w:p>
      <w:pPr>
        <w:ind w:firstLine="464"/>
        <w:spacing w:after="0" w:line="253" w:lineRule="auto"/>
        <w:tabs>
          <w:tab w:leader="none" w:pos="69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47" w:lineRule="exact"/>
        <w:rPr>
          <w:rFonts w:ascii="Arial" w:cs="Arial" w:eastAsia="Arial" w:hAnsi="Arial"/>
          <w:sz w:val="18"/>
          <w:szCs w:val="18"/>
          <w:color w:val="auto"/>
        </w:rPr>
      </w:pPr>
    </w:p>
    <w:p>
      <w:pPr>
        <w:jc w:val="both"/>
        <w:ind w:right="160" w:firstLine="464"/>
        <w:spacing w:after="0" w:line="306" w:lineRule="auto"/>
        <w:tabs>
          <w:tab w:leader="none" w:pos="705"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9" w:name="page90"/>
    <w:bookmarkEnd w:id="89"/>
    <w:p>
      <w:pPr>
        <w:ind w:firstLine="464"/>
        <w:spacing w:after="0" w:line="291" w:lineRule="auto"/>
        <w:tabs>
          <w:tab w:leader="none" w:pos="695"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Delegation to Officers</w:t>
      </w:r>
      <w:r>
        <w:rPr>
          <w:rFonts w:ascii="Arial" w:cs="Arial" w:eastAsia="Arial" w:hAnsi="Arial"/>
          <w:sz w:val="16"/>
          <w:szCs w:val="16"/>
          <w:color w:val="auto"/>
        </w:rPr>
        <w:t xml:space="preserve">. To the extent permitted by applicable law, the Board may delegate to one or more officers of the Company the power to grant Awards to employees or officers of the Company or any of its present or future subsidiary corporations and to exercise such other powers under the Plan as the Board may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241" w:lineRule="exact"/>
        <w:rPr>
          <w:rFonts w:ascii="Arial" w:cs="Arial" w:eastAsia="Arial" w:hAnsi="Arial"/>
          <w:sz w:val="16"/>
          <w:szCs w:val="16"/>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90" w:lineRule="exact"/>
        <w:rPr>
          <w:rFonts w:ascii="Arial" w:cs="Arial" w:eastAsia="Arial" w:hAnsi="Arial"/>
          <w:sz w:val="18"/>
          <w:szCs w:val="18"/>
          <w:color w:val="auto"/>
        </w:rPr>
      </w:pPr>
    </w:p>
    <w:p>
      <w:pPr>
        <w:ind w:right="20" w:firstLine="464"/>
        <w:spacing w:after="0" w:line="254" w:lineRule="auto"/>
        <w:tabs>
          <w:tab w:leader="none" w:pos="69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xml:space="preserve">. Subject to adjustment under Section 11, Awards may be made under the Plan for up to 15,000,000 shares of common stock, $.16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par value per share, of the Company (the “Common Stock”), plus any shares that are subject to outstanding options under the 1998 Stock Option and 2001 Broad-Based Stock Option Plan (collectively, the “Prior Plans”) as of the adoption of this Plan by the Board but are not issued under the Prior Plans as a result, and to the extent, of the termination or expiration of the applicable option prior to the exercise thereof. From and after the Effective Date, the Company shall issue no further options under the Prior Plans, and such Prior Plans shall terminate, except to the extent they apply to options outstanding under the Prior Plans as of the Effective Date.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any Award issued under this Plan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is settled in cash or otherwise results in any Common Stock not being issued, the unused Common Stock covered by such Award shall again be available for the grant of Awards under the Plan. However, in the case of Incentive Stock Options (as hereinafter defined), the foregoing provisions shall be subject to any limitations under the Code. Notwithstanding anything to the contrary herein,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and (iii) shares subject to options surrendered for cancellation and exchange as part of a shareholder-approved option exchange program that are not awarded under new Options issued in such approved option exchange. Shares issued under the Plan may consist in whole or in part of authorized but unissued shares or treasury shares.</w:t>
      </w:r>
    </w:p>
    <w:p>
      <w:pPr>
        <w:spacing w:after="0" w:line="120" w:lineRule="exact"/>
        <w:rPr>
          <w:sz w:val="20"/>
          <w:szCs w:val="20"/>
          <w:color w:val="auto"/>
        </w:rPr>
      </w:pPr>
    </w:p>
    <w:p>
      <w:pPr>
        <w:jc w:val="both"/>
        <w:ind w:right="40" w:firstLine="464"/>
        <w:spacing w:after="0" w:line="306"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Counting of Shares</w:t>
      </w:r>
      <w:r>
        <w:rPr>
          <w:rFonts w:ascii="Arial" w:cs="Arial" w:eastAsia="Arial" w:hAnsi="Arial"/>
          <w:sz w:val="16"/>
          <w:szCs w:val="16"/>
          <w:color w:val="auto"/>
        </w:rPr>
        <w:t>. Subject to adjustment under Section 11, an Option or Stock Appreciation Right shall be counted against the share limit specified in Section 4(a) as one share for each share of common stock subject to the Option or Stock Appreciation Right, and any Award of Restricted Stock, Restricted Stock Units or Other Stock Unit Awards with a per share or per unit purchase price lower than 100% of Fair Market Value (as defined below) on the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0" w:name="page91"/>
    <w:bookmarkEnd w:id="90"/>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grant (a “Full Value Award”) shall be counted against the share limit specified in Section 4(a) as three shares for each one share of Common Stock subject to such Full Value Award. To the extent that a share that was subject to an Award that counted as three shares against the Plan reserve pursuant to Section 4(a) is returned to the Plan pursuant to Section 4(a), such reserve will be credited with three shares.</w:t>
      </w:r>
    </w:p>
    <w:p>
      <w:pPr>
        <w:spacing w:after="0" w:line="107" w:lineRule="exact"/>
        <w:rPr>
          <w:sz w:val="20"/>
          <w:szCs w:val="20"/>
          <w:color w:val="auto"/>
        </w:rPr>
      </w:pPr>
    </w:p>
    <w:p>
      <w:pPr>
        <w:ind w:right="100" w:firstLine="464"/>
        <w:spacing w:after="0" w:line="291" w:lineRule="auto"/>
        <w:tabs>
          <w:tab w:leader="none" w:pos="69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Sub-limits</w:t>
      </w:r>
      <w:r>
        <w:rPr>
          <w:rFonts w:ascii="Arial" w:cs="Arial" w:eastAsia="Arial" w:hAnsi="Arial"/>
          <w:sz w:val="16"/>
          <w:szCs w:val="16"/>
          <w:color w:val="auto"/>
        </w:rPr>
        <w:t>. Subject to adjustment under Section 11, the maximum number of shares of Common Stock with respect to which Options and Stock Appreciation Rights may be granted to any Participant under the Plan shall be 2,000,000 per fiscal year of the Company, and the maximum number of shares of Common Stock with respect to which Restricted Stock Awards, Restricted Stock Units and Other Stock Unit Awards may be granted to any Participant under the Plan shall be 1,000,000 per fiscal year of the Company. For purposes of the foregoing limit, the combination of an Option in tandem with a Stock Appreciation Right shall be treated as a single Award. The per-Participant limit described in this Section 4(c) shall be construed and applied consistently with Section 162(m) of the Code or any successor provision thereto, and the regulations thereunder (“Section 162(m)”).</w:t>
      </w:r>
    </w:p>
    <w:p>
      <w:pPr>
        <w:spacing w:after="0" w:line="241"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90" w:lineRule="exact"/>
        <w:rPr>
          <w:rFonts w:ascii="Arial" w:cs="Arial" w:eastAsia="Arial" w:hAnsi="Arial"/>
          <w:sz w:val="18"/>
          <w:szCs w:val="18"/>
          <w:color w:val="auto"/>
        </w:rPr>
      </w:pPr>
    </w:p>
    <w:p>
      <w:pPr>
        <w:ind w:right="160" w:firstLine="464"/>
        <w:spacing w:after="0" w:line="256" w:lineRule="auto"/>
        <w:tabs>
          <w:tab w:leader="none" w:pos="69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143" w:lineRule="exact"/>
        <w:rPr>
          <w:rFonts w:ascii="Arial" w:cs="Arial" w:eastAsia="Arial" w:hAnsi="Arial"/>
          <w:sz w:val="18"/>
          <w:szCs w:val="18"/>
          <w:color w:val="auto"/>
        </w:rPr>
      </w:pPr>
    </w:p>
    <w:p>
      <w:pPr>
        <w:ind w:firstLine="464"/>
        <w:spacing w:after="0" w:line="290" w:lineRule="auto"/>
        <w:tabs>
          <w:tab w:leader="none" w:pos="70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the Company, any of the Company’s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pursuant to Section 12(f), including without limitation the conversion of an Incentive Stock Option to a Nonstatutory Stock Option. The maximum number of shares that may be issued upon exercise of Incentive Stock Options under the Plan shall be 15,000,000, as adjusted pursuant to Section 11.</w:t>
      </w:r>
    </w:p>
    <w:p>
      <w:pPr>
        <w:spacing w:after="0" w:line="118" w:lineRule="exact"/>
        <w:rPr>
          <w:rFonts w:ascii="Arial" w:cs="Arial" w:eastAsia="Arial" w:hAnsi="Arial"/>
          <w:sz w:val="16"/>
          <w:szCs w:val="16"/>
          <w:color w:val="auto"/>
        </w:rPr>
      </w:pPr>
    </w:p>
    <w:p>
      <w:pPr>
        <w:ind w:right="20" w:firstLine="464"/>
        <w:spacing w:after="0" w:line="306" w:lineRule="auto"/>
        <w:tabs>
          <w:tab w:leader="none" w:pos="69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Board shall establish the exercise price of each Option and specify such exercise price in the applicable option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exercise price shall be not less than 100% of the Fair Market Value per share of Common Stock on the date the Option is granted. For purposes of this Plan, “Fair Market Value” shall mean the fair market value as determined by (or in a manner approved by) the Board.</w:t>
      </w:r>
    </w:p>
    <w:p>
      <w:pPr>
        <w:spacing w:after="0" w:line="106" w:lineRule="exact"/>
        <w:rPr>
          <w:rFonts w:ascii="Arial" w:cs="Arial" w:eastAsia="Arial" w:hAnsi="Arial"/>
          <w:sz w:val="16"/>
          <w:szCs w:val="16"/>
          <w:color w:val="auto"/>
        </w:rPr>
      </w:pPr>
    </w:p>
    <w:p>
      <w:pPr>
        <w:ind w:right="20" w:firstLine="464"/>
        <w:spacing w:after="0" w:line="268" w:lineRule="auto"/>
        <w:tabs>
          <w:tab w:leader="none" w:pos="70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Option will be granted for a term in excess of 10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1" w:name="page92"/>
    <w:bookmarkEnd w:id="91"/>
    <w:p>
      <w:pPr>
        <w:ind w:left="-20" w:firstLine="464"/>
        <w:spacing w:after="0" w:line="294" w:lineRule="auto"/>
        <w:tabs>
          <w:tab w:leader="none" w:pos="67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Option</w:t>
      </w:r>
      <w:r>
        <w:rPr>
          <w:rFonts w:ascii="Arial" w:cs="Arial" w:eastAsia="Arial" w:hAnsi="Arial"/>
          <w:sz w:val="16"/>
          <w:szCs w:val="16"/>
          <w:color w:val="auto"/>
        </w:rPr>
        <w:t>. Options may be exercised by delivery to the Company, or an agent of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115" w:lineRule="exact"/>
        <w:rPr>
          <w:rFonts w:ascii="Arial" w:cs="Arial" w:eastAsia="Arial" w:hAnsi="Arial"/>
          <w:sz w:val="16"/>
          <w:szCs w:val="16"/>
          <w:color w:val="auto"/>
        </w:rPr>
      </w:pPr>
    </w:p>
    <w:p>
      <w:pPr>
        <w:ind w:left="660" w:hanging="216"/>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xml:space="preserve"> Common Stock purchased upon the exercise of an Option granted under the Plan shall be paid for as follows:</w:t>
      </w:r>
    </w:p>
    <w:p>
      <w:pPr>
        <w:spacing w:after="0" w:line="194" w:lineRule="exact"/>
        <w:rPr>
          <w:rFonts w:ascii="Arial" w:cs="Arial" w:eastAsia="Arial" w:hAnsi="Arial"/>
          <w:sz w:val="16"/>
          <w:szCs w:val="16"/>
          <w:color w:val="auto"/>
        </w:rPr>
      </w:pPr>
    </w:p>
    <w:p>
      <w:pPr>
        <w:ind w:left="1140" w:hanging="239"/>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71" w:lineRule="exact"/>
        <w:rPr>
          <w:rFonts w:ascii="Arial" w:cs="Arial" w:eastAsia="Arial" w:hAnsi="Arial"/>
          <w:sz w:val="18"/>
          <w:szCs w:val="18"/>
          <w:color w:val="auto"/>
        </w:rPr>
      </w:pPr>
    </w:p>
    <w:p>
      <w:pPr>
        <w:ind w:left="-20" w:right="140" w:firstLine="921"/>
        <w:spacing w:after="0" w:line="256" w:lineRule="auto"/>
        <w:tabs>
          <w:tab w:leader="none" w:pos="11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43" w:lineRule="exact"/>
        <w:rPr>
          <w:rFonts w:ascii="Arial" w:cs="Arial" w:eastAsia="Arial" w:hAnsi="Arial"/>
          <w:sz w:val="18"/>
          <w:szCs w:val="18"/>
          <w:color w:val="auto"/>
        </w:rPr>
      </w:pPr>
    </w:p>
    <w:p>
      <w:pPr>
        <w:jc w:val="both"/>
        <w:ind w:left="-20" w:firstLine="921"/>
        <w:spacing w:after="0" w:line="298" w:lineRule="auto"/>
        <w:tabs>
          <w:tab w:leader="none" w:pos="1142"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the applicable option agreement, by delivery (either by actual delivery or attestation) of shares of Common Stock owned by the Participant valued at their Fair Market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12" w:lineRule="exact"/>
        <w:rPr>
          <w:rFonts w:ascii="Arial" w:cs="Arial" w:eastAsia="Arial" w:hAnsi="Arial"/>
          <w:sz w:val="16"/>
          <w:szCs w:val="16"/>
          <w:color w:val="auto"/>
        </w:rPr>
      </w:pPr>
    </w:p>
    <w:p>
      <w:pPr>
        <w:ind w:left="-20" w:right="800" w:firstLine="921"/>
        <w:spacing w:after="0" w:line="268" w:lineRule="auto"/>
        <w:tabs>
          <w:tab w:leader="none" w:pos="11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provided for in the applicable option agreement or approved by the Company, in its sole discretion, by payment of such other lawful consideration as the Board may determine; or</w:t>
      </w:r>
    </w:p>
    <w:p>
      <w:pPr>
        <w:spacing w:after="0" w:line="131" w:lineRule="exact"/>
        <w:rPr>
          <w:rFonts w:ascii="Arial" w:cs="Arial" w:eastAsia="Arial" w:hAnsi="Arial"/>
          <w:sz w:val="18"/>
          <w:szCs w:val="18"/>
          <w:color w:val="auto"/>
        </w:rPr>
      </w:pPr>
    </w:p>
    <w:p>
      <w:pPr>
        <w:ind w:left="1140" w:hanging="239"/>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71" w:lineRule="exact"/>
        <w:rPr>
          <w:rFonts w:ascii="Arial" w:cs="Arial" w:eastAsia="Arial" w:hAnsi="Arial"/>
          <w:sz w:val="18"/>
          <w:szCs w:val="18"/>
          <w:color w:val="auto"/>
        </w:rPr>
      </w:pPr>
    </w:p>
    <w:p>
      <w:pPr>
        <w:ind w:left="-20" w:right="100" w:firstLine="464"/>
        <w:spacing w:after="0" w:line="255" w:lineRule="auto"/>
        <w:tabs>
          <w:tab w:leader="none" w:pos="68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Limitation on Repricing</w:t>
      </w:r>
      <w:r>
        <w:rPr>
          <w:rFonts w:ascii="Arial" w:cs="Arial" w:eastAsia="Arial" w:hAnsi="Arial"/>
          <w:sz w:val="18"/>
          <w:szCs w:val="18"/>
          <w:color w:val="auto"/>
        </w:rPr>
        <w:t>.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11) and (2) the Board may not cancel any outstanding option (whether or not granted under the Plan) and grant in consideration therefor new Options under the Plan covering the same or a different number of shares of Common Stock and having an exercise price per share lower than the then-current exercise price per share of the cancelled option.</w:t>
      </w:r>
    </w:p>
    <w:p>
      <w:pPr>
        <w:spacing w:after="0" w:line="142" w:lineRule="exact"/>
        <w:rPr>
          <w:rFonts w:ascii="Arial" w:cs="Arial" w:eastAsia="Arial" w:hAnsi="Arial"/>
          <w:sz w:val="18"/>
          <w:szCs w:val="18"/>
          <w:color w:val="auto"/>
        </w:rPr>
      </w:pPr>
    </w:p>
    <w:p>
      <w:pPr>
        <w:ind w:left="-20" w:right="240" w:firstLine="464"/>
        <w:spacing w:after="0" w:line="268" w:lineRule="auto"/>
        <w:tabs>
          <w:tab w:leader="none" w:pos="68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Reload Rights</w:t>
      </w:r>
      <w:r>
        <w:rPr>
          <w:rFonts w:ascii="Arial" w:cs="Arial" w:eastAsia="Arial" w:hAnsi="Arial"/>
          <w:sz w:val="18"/>
          <w:szCs w:val="18"/>
          <w:color w:val="auto"/>
        </w:rPr>
        <w:t>. No option granted under the Plan shall contain any provision entitling the optionee to the automatic grant of additional Options in connection with any exercise of the original Option.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92" w:name="page93"/>
    <w:bookmarkEnd w:id="92"/>
    <w:p>
      <w:pPr>
        <w:ind w:left="-8" w:right="80" w:firstLine="464"/>
        <w:spacing w:after="0" w:line="294" w:lineRule="auto"/>
        <w:tabs>
          <w:tab w:leader="none" w:pos="658"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Substitute Options</w:t>
      </w:r>
      <w:r>
        <w:rPr>
          <w:rFonts w:ascii="Arial" w:cs="Arial" w:eastAsia="Arial" w:hAnsi="Arial"/>
          <w:sz w:val="16"/>
          <w:szCs w:val="16"/>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other sections of this Section 5 or in Section 2. Substitute Awards shall not count against the overall share limit set forth in Section 4(a), except as may be required by reason of Section 422 and related provisions of the Code.</w:t>
      </w:r>
    </w:p>
    <w:p>
      <w:pPr>
        <w:spacing w:after="0" w:line="237" w:lineRule="exact"/>
        <w:rPr>
          <w:rFonts w:ascii="Arial" w:cs="Arial" w:eastAsia="Arial" w:hAnsi="Arial"/>
          <w:sz w:val="16"/>
          <w:szCs w:val="16"/>
          <w:color w:val="auto"/>
        </w:rPr>
      </w:pPr>
    </w:p>
    <w:p>
      <w:pPr>
        <w:ind w:left="452" w:hanging="452"/>
        <w:spacing w:after="0"/>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220" w:firstLine="464"/>
        <w:spacing w:after="0" w:line="256" w:lineRule="auto"/>
        <w:tabs>
          <w:tab w:leader="none" w:pos="68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a Stock Appreciation Right (“SAR”) entitling the holder, upon exercise, to receive an amount in Common Stock or cash or a combination thereof (as specified by the Board in the applicable Award agreement or otherwise) determined by reference to appreciation, from and after the date of grant, in the fair market value of a share of Common Stock. The date as of which such appreciation or other measure is determined shall be the exercise date.</w:t>
      </w:r>
    </w:p>
    <w:p>
      <w:pPr>
        <w:spacing w:after="0" w:line="143" w:lineRule="exact"/>
        <w:rPr>
          <w:rFonts w:ascii="Arial" w:cs="Arial" w:eastAsia="Arial" w:hAnsi="Arial"/>
          <w:sz w:val="18"/>
          <w:szCs w:val="18"/>
          <w:color w:val="auto"/>
        </w:rPr>
      </w:pPr>
    </w:p>
    <w:p>
      <w:pPr>
        <w:ind w:left="712" w:hanging="256"/>
        <w:spacing w:after="0"/>
        <w:tabs>
          <w:tab w:leader="none" w:pos="712"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Stock Appreciation Rights may be granted in tandem with, or independently of, Options granted under the Plan.</w:t>
      </w:r>
    </w:p>
    <w:p>
      <w:pPr>
        <w:spacing w:after="0" w:line="171" w:lineRule="exact"/>
        <w:rPr>
          <w:rFonts w:ascii="Arial" w:cs="Arial" w:eastAsia="Arial" w:hAnsi="Arial"/>
          <w:sz w:val="18"/>
          <w:szCs w:val="18"/>
          <w:color w:val="auto"/>
        </w:rPr>
      </w:pPr>
    </w:p>
    <w:p>
      <w:pPr>
        <w:ind w:left="-8" w:firstLine="921"/>
        <w:spacing w:after="0" w:line="289" w:lineRule="auto"/>
        <w:tabs>
          <w:tab w:leader="none" w:pos="1153"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Tandem Awards</w:t>
      </w:r>
      <w:r>
        <w:rPr>
          <w:rFonts w:ascii="Arial" w:cs="Arial" w:eastAsia="Arial" w:hAnsi="Arial"/>
          <w:sz w:val="16"/>
          <w:szCs w:val="16"/>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Reorganization Event or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118" w:lineRule="exact"/>
        <w:rPr>
          <w:rFonts w:ascii="Arial" w:cs="Arial" w:eastAsia="Arial" w:hAnsi="Arial"/>
          <w:sz w:val="16"/>
          <w:szCs w:val="16"/>
          <w:color w:val="auto"/>
        </w:rPr>
      </w:pPr>
    </w:p>
    <w:p>
      <w:pPr>
        <w:ind w:left="-8" w:right="160" w:firstLine="921"/>
        <w:spacing w:after="0" w:line="268" w:lineRule="auto"/>
        <w:tabs>
          <w:tab w:leader="none" w:pos="1153"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Independent SARs</w:t>
      </w:r>
      <w:r>
        <w:rPr>
          <w:rFonts w:ascii="Arial" w:cs="Arial" w:eastAsia="Arial" w:hAnsi="Arial"/>
          <w:sz w:val="18"/>
          <w:szCs w:val="18"/>
          <w:color w:val="auto"/>
        </w:rPr>
        <w:t>. A Stock Appreciation Right not expressly granted in tandem with an Option will become exercisable at such time or times, and on such conditions, as the Board may specify in the SAR Award.</w:t>
      </w:r>
    </w:p>
    <w:p>
      <w:pPr>
        <w:spacing w:after="0" w:line="131" w:lineRule="exact"/>
        <w:rPr>
          <w:rFonts w:ascii="Arial" w:cs="Arial" w:eastAsia="Arial" w:hAnsi="Arial"/>
          <w:sz w:val="18"/>
          <w:szCs w:val="18"/>
          <w:color w:val="auto"/>
        </w:rPr>
      </w:pPr>
    </w:p>
    <w:p>
      <w:pPr>
        <w:ind w:left="-8" w:right="340" w:firstLine="464"/>
        <w:spacing w:after="0" w:line="370" w:lineRule="auto"/>
        <w:tabs>
          <w:tab w:leader="none" w:pos="687" w:val="left"/>
        </w:tabs>
        <w:numPr>
          <w:ilvl w:val="1"/>
          <w:numId w:val="69"/>
        </w:numPr>
        <w:rPr>
          <w:rFonts w:ascii="Arial" w:cs="Arial" w:eastAsia="Arial" w:hAnsi="Arial"/>
          <w:sz w:val="15"/>
          <w:szCs w:val="15"/>
          <w:color w:val="auto"/>
        </w:rPr>
      </w:pPr>
      <w:r>
        <w:rPr>
          <w:rFonts w:ascii="Arial" w:cs="Arial" w:eastAsia="Arial" w:hAnsi="Arial"/>
          <w:sz w:val="15"/>
          <w:szCs w:val="15"/>
          <w:u w:val="single" w:color="auto"/>
          <w:color w:val="auto"/>
        </w:rPr>
        <w:t>Grant Price</w:t>
      </w:r>
      <w:r>
        <w:rPr>
          <w:rFonts w:ascii="Arial" w:cs="Arial" w:eastAsia="Arial" w:hAnsi="Arial"/>
          <w:sz w:val="15"/>
          <w:szCs w:val="15"/>
          <w:color w:val="auto"/>
        </w:rPr>
        <w:t xml:space="preserve">. The Board shall establish the exercise or grant price of each SAR and specify such price in the applicable Award agreement;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the exercise or grant price shall be not less than 100% of the Fair Market Value per share of Common Stock on the date the SAR is granted.</w:t>
      </w:r>
    </w:p>
    <w:p>
      <w:pPr>
        <w:spacing w:after="0" w:line="62" w:lineRule="exact"/>
        <w:rPr>
          <w:rFonts w:ascii="Arial" w:cs="Arial" w:eastAsia="Arial" w:hAnsi="Arial"/>
          <w:sz w:val="15"/>
          <w:szCs w:val="15"/>
          <w:color w:val="auto"/>
        </w:rPr>
      </w:pPr>
    </w:p>
    <w:p>
      <w:pPr>
        <w:ind w:left="-8" w:right="340" w:firstLine="464"/>
        <w:spacing w:after="0" w:line="268" w:lineRule="auto"/>
        <w:tabs>
          <w:tab w:leader="none" w:pos="69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Duration of SAR</w:t>
      </w:r>
      <w:r>
        <w:rPr>
          <w:rFonts w:ascii="Arial" w:cs="Arial" w:eastAsia="Arial" w:hAnsi="Arial"/>
          <w:sz w:val="18"/>
          <w:szCs w:val="18"/>
          <w:color w:val="auto"/>
        </w:rPr>
        <w:t xml:space="preserve">. Each SAR shall be exercisable at such times and subject to such terms and conditions as the Board may specify in the applicable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SAR will be granted for a term in excess of 10 years.</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93" w:name="page94"/>
    <w:bookmarkEnd w:id="93"/>
    <w:p>
      <w:pPr>
        <w:ind w:left="-8" w:right="200" w:firstLine="464"/>
        <w:spacing w:after="0" w:line="259" w:lineRule="auto"/>
        <w:tabs>
          <w:tab w:leader="none" w:pos="687"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w:t>
      </w:r>
      <w:r>
        <w:rPr>
          <w:rFonts w:ascii="Arial" w:cs="Arial" w:eastAsia="Arial" w:hAnsi="Arial"/>
          <w:sz w:val="18"/>
          <w:szCs w:val="18"/>
          <w:color w:val="auto"/>
        </w:rPr>
        <w:t>. Stock Appreciation Rights may be exercised by delivery to the Company, or an agent of the Company, of a written notice of exercise signed by the proper person or by any other form of notice (including electronic notice) approved by the Board, together with any other documents required by the Board.</w:t>
      </w:r>
    </w:p>
    <w:p>
      <w:pPr>
        <w:spacing w:after="0" w:line="140" w:lineRule="exact"/>
        <w:rPr>
          <w:rFonts w:ascii="Arial" w:cs="Arial" w:eastAsia="Arial" w:hAnsi="Arial"/>
          <w:sz w:val="18"/>
          <w:szCs w:val="18"/>
          <w:color w:val="auto"/>
        </w:rPr>
      </w:pPr>
    </w:p>
    <w:p>
      <w:pPr>
        <w:ind w:left="-8" w:right="240" w:firstLine="464"/>
        <w:spacing w:after="0" w:line="255" w:lineRule="auto"/>
        <w:tabs>
          <w:tab w:leader="none" w:pos="668"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Limitation on Repricing</w:t>
      </w:r>
      <w:r>
        <w:rPr>
          <w:rFonts w:ascii="Arial" w:cs="Arial" w:eastAsia="Arial" w:hAnsi="Arial"/>
          <w:sz w:val="18"/>
          <w:szCs w:val="18"/>
          <w:color w:val="auto"/>
        </w:rPr>
        <w:t>. Unless such action is approved by the Company’s stockholders: (1) no outstanding SAR granted under the Plan may be amended to provide an exercise price per share that is lower than the then-current exercise price per share of such outstanding SAR (other than adjustments pursuant to Section 11) and (2) the Board may not cancel any outstanding SAR (whether or not granted under the Plan) and grant in consideration therefor new SARs under the Plan covering the same or a different number of shares of Common Stock and having an exercise price per share lower than the then-current exercise price per share of the cancelled SAR.</w:t>
      </w:r>
    </w:p>
    <w:p>
      <w:pPr>
        <w:spacing w:after="0" w:line="264"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20" w:firstLine="464"/>
        <w:spacing w:after="0" w:line="256" w:lineRule="auto"/>
        <w:tabs>
          <w:tab w:leader="none" w:pos="68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w:t>
      </w:r>
    </w:p>
    <w:p>
      <w:pPr>
        <w:spacing w:after="0" w:line="143" w:lineRule="exact"/>
        <w:rPr>
          <w:rFonts w:ascii="Arial" w:cs="Arial" w:eastAsia="Arial" w:hAnsi="Arial"/>
          <w:sz w:val="18"/>
          <w:szCs w:val="18"/>
          <w:color w:val="auto"/>
        </w:rPr>
      </w:pPr>
    </w:p>
    <w:p>
      <w:pPr>
        <w:ind w:left="-8" w:firstLine="464"/>
        <w:spacing w:after="0" w:line="268" w:lineRule="auto"/>
        <w:tabs>
          <w:tab w:leader="none" w:pos="69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Section 7(c), the Board shall determine the terms and conditions of a Restricted Stock Award, including the conditions for vesting and forfeiture and the issue price, if any.</w:t>
      </w:r>
    </w:p>
    <w:p>
      <w:pPr>
        <w:spacing w:after="0" w:line="131" w:lineRule="exact"/>
        <w:rPr>
          <w:rFonts w:ascii="Arial" w:cs="Arial" w:eastAsia="Arial" w:hAnsi="Arial"/>
          <w:sz w:val="18"/>
          <w:szCs w:val="18"/>
          <w:color w:val="auto"/>
        </w:rPr>
      </w:pPr>
    </w:p>
    <w:p>
      <w:pPr>
        <w:ind w:left="-8" w:right="180" w:firstLine="464"/>
        <w:spacing w:after="0" w:line="255" w:lineRule="auto"/>
        <w:tabs>
          <w:tab w:leader="none" w:pos="68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Limitations on Vesting Conditions</w:t>
      </w:r>
      <w:r>
        <w:rPr>
          <w:rFonts w:ascii="Arial" w:cs="Arial" w:eastAsia="Arial" w:hAnsi="Arial"/>
          <w:sz w:val="18"/>
          <w:szCs w:val="18"/>
          <w:color w:val="auto"/>
        </w:rPr>
        <w:t>. No vesting condition that is based on performance criteria and level of achievement versus such criteria shall be based on performance over a period of less than 12 months, and no vesting condition that is based upon continued employment or the passage of time shall provide for vesting in full of a Restricted Stock Award in less than equal pro rata installments over three years from the date the Award is made, other than (i) in the event of death, disability or retirement of the Participant, or (ii) Awards made to members of the Board of Directors, in each case as specified in the Agreement evidencing such Award.</w:t>
      </w:r>
    </w:p>
    <w:p>
      <w:pPr>
        <w:spacing w:after="0" w:line="142" w:lineRule="exact"/>
        <w:rPr>
          <w:rFonts w:ascii="Arial" w:cs="Arial" w:eastAsia="Arial" w:hAnsi="Arial"/>
          <w:sz w:val="18"/>
          <w:szCs w:val="18"/>
          <w:color w:val="auto"/>
        </w:rPr>
      </w:pPr>
    </w:p>
    <w:p>
      <w:pPr>
        <w:ind w:left="-8" w:right="100" w:firstLine="464"/>
        <w:spacing w:after="0" w:line="256" w:lineRule="auto"/>
        <w:tabs>
          <w:tab w:leader="none" w:pos="69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otherwise provided by the Board. If any such dividends or distributions are paid in shares, or consist of an extraordinary cash dividend, the shares or cash will be subject to the same restrictions on transferability and forfeitability as the shares of Restricted Stock with respect to which they were paid, unless otherwise provided by the Board.</w:t>
      </w:r>
    </w:p>
    <w:p>
      <w:pPr>
        <w:spacing w:after="0" w:line="143" w:lineRule="exact"/>
        <w:rPr>
          <w:rFonts w:ascii="Arial" w:cs="Arial" w:eastAsia="Arial" w:hAnsi="Arial"/>
          <w:sz w:val="18"/>
          <w:szCs w:val="18"/>
          <w:color w:val="auto"/>
        </w:rPr>
      </w:pPr>
    </w:p>
    <w:p>
      <w:pPr>
        <w:jc w:val="both"/>
        <w:ind w:left="-8" w:right="460" w:firstLine="464"/>
        <w:spacing w:after="0" w:line="335" w:lineRule="auto"/>
        <w:tabs>
          <w:tab w:leader="none" w:pos="687" w:val="left"/>
        </w:tabs>
        <w:numPr>
          <w:ilvl w:val="1"/>
          <w:numId w:val="71"/>
        </w:numPr>
        <w:rPr>
          <w:rFonts w:ascii="Arial" w:cs="Arial" w:eastAsia="Arial" w:hAnsi="Arial"/>
          <w:sz w:val="15"/>
          <w:szCs w:val="15"/>
          <w:color w:val="auto"/>
        </w:rPr>
      </w:pPr>
      <w:r>
        <w:rPr>
          <w:rFonts w:ascii="Arial" w:cs="Arial" w:eastAsia="Arial" w:hAnsi="Arial"/>
          <w:sz w:val="15"/>
          <w:szCs w:val="15"/>
          <w:u w:val="single" w:color="auto"/>
          <w:color w:val="auto"/>
        </w:rPr>
        <w:t>Stock Certificates</w:t>
      </w:r>
      <w:r>
        <w:rPr>
          <w:rFonts w:ascii="Arial" w:cs="Arial" w:eastAsia="Arial" w:hAnsi="Arial"/>
          <w:sz w:val="15"/>
          <w:szCs w:val="15"/>
          <w:color w:val="auto"/>
        </w:rPr>
        <w:t>. The Company may require that the stock certificates, if any, issued in respect of a Restricted Stock Award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94" w:name="page95"/>
    <w:bookmarkEnd w:id="9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26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464"/>
        <w:spacing w:after="0" w:line="268" w:lineRule="auto"/>
        <w:tabs>
          <w:tab w:leader="none" w:pos="69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Restricted Stock Units. “Restricted Stock Unit” means a fictional share of Common Stock granted to a Participant and represented initially by a bookkeeping entry.</w:t>
      </w:r>
    </w:p>
    <w:p>
      <w:pPr>
        <w:spacing w:after="0" w:line="131" w:lineRule="exact"/>
        <w:rPr>
          <w:rFonts w:ascii="Arial" w:cs="Arial" w:eastAsia="Arial" w:hAnsi="Arial"/>
          <w:sz w:val="18"/>
          <w:szCs w:val="18"/>
          <w:color w:val="auto"/>
        </w:rPr>
      </w:pPr>
    </w:p>
    <w:p>
      <w:pPr>
        <w:ind w:right="40" w:firstLine="464"/>
        <w:spacing w:after="0" w:line="294" w:lineRule="auto"/>
        <w:tabs>
          <w:tab w:leader="none" w:pos="70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Subject to Section 8(c), the Board shall determine the terms and conditions of a Restricted Stock Unit, including the conditions for vesting and forfeiture and issue price, if any. Upon the vesting of and/or lapsing of any other restrictions with respect to each Restricted Stock Unit, the Participant shall be entitled to receive from the Company one share of Common Stock or an amount of cash equal to the Fair Market Value of one share of Common Stock, as specified by the Board in the applicable Award agreement or otherwise. The Board may, in its discretion, provide that settlement of Restricted Stock Units shall be deferred, on a mandatory basis or at the election of the Participant.</w:t>
      </w:r>
    </w:p>
    <w:p>
      <w:pPr>
        <w:spacing w:after="0" w:line="115" w:lineRule="exact"/>
        <w:rPr>
          <w:rFonts w:ascii="Arial" w:cs="Arial" w:eastAsia="Arial" w:hAnsi="Arial"/>
          <w:sz w:val="16"/>
          <w:szCs w:val="16"/>
          <w:color w:val="auto"/>
        </w:rPr>
      </w:pPr>
    </w:p>
    <w:p>
      <w:pPr>
        <w:ind w:right="40" w:firstLine="464"/>
        <w:spacing w:after="0" w:line="291" w:lineRule="auto"/>
        <w:tabs>
          <w:tab w:leader="none" w:pos="69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Limitations on Vesting Conditions</w:t>
      </w:r>
      <w:r>
        <w:rPr>
          <w:rFonts w:ascii="Arial" w:cs="Arial" w:eastAsia="Arial" w:hAnsi="Arial"/>
          <w:sz w:val="16"/>
          <w:szCs w:val="16"/>
          <w:color w:val="auto"/>
        </w:rPr>
        <w:t>. No vesting condition that is based on performance criteria and level of achievement versus such criteria shall be based on performance over a period of less than 12 months, and no vesting condition that is based upon continued employment or the passage of time shall provide for vesting in full of a Restricted Stock Unit in less than equal pro rata installments over three years from the date the Award is made, other than (i) in the event of death, disability or retirement of the Participant, (ii) Awards made to members of the Board of Directors or, (iii) in the discretion of the Board, when the granting of such Restricted Stock Units in any foreign jurisdiction is delayed in connection with registration or approval to be obtained in connection with such Restricted Stock Units, in each case as specified in the Agreement evidencing such Award.</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171" w:lineRule="exact"/>
        <w:rPr>
          <w:rFonts w:ascii="Arial" w:cs="Arial" w:eastAsia="Arial" w:hAnsi="Arial"/>
          <w:sz w:val="18"/>
          <w:szCs w:val="18"/>
          <w:color w:val="auto"/>
        </w:rPr>
      </w:pPr>
    </w:p>
    <w:p>
      <w:pPr>
        <w:ind w:right="20" w:firstLine="464"/>
        <w:spacing w:after="0" w:line="294" w:lineRule="auto"/>
        <w:tabs>
          <w:tab w:leader="none" w:pos="69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Unless otherwise provided by the Board, in its sole discretion, a grant of Restricted Stock Units shall not entitle Participants with the right to receive an amount equal to any dividends or other distributions declared and paid on an equal number of outstanding shares of Common Stock (“Dividend Equivalents”). Dividend Equivalents may be paid currently or credited to an account for the Participants, may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w:t>
      </w:r>
    </w:p>
    <w:p>
      <w:pPr>
        <w:spacing w:after="0" w:line="237" w:lineRule="exact"/>
        <w:rPr>
          <w:rFonts w:ascii="Arial" w:cs="Arial" w:eastAsia="Arial" w:hAnsi="Arial"/>
          <w:sz w:val="16"/>
          <w:szCs w:val="16"/>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0" w:firstLine="464"/>
        <w:spacing w:after="0" w:line="268" w:lineRule="auto"/>
        <w:tabs>
          <w:tab w:leader="none" w:pos="69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Restricted Stock Awards, Restricted Stock Units and other Awards under the Plan may be made subject to the achievement of performance measures pursuant to this Section 9 (“Performance Awards”).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5" w:name="page96"/>
    <w:bookmarkEnd w:id="95"/>
    <w:p>
      <w:pPr>
        <w:ind w:left="-8" w:right="60" w:firstLine="464"/>
        <w:spacing w:after="0" w:line="294" w:lineRule="auto"/>
        <w:tabs>
          <w:tab w:leader="none" w:pos="697"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w:t>
      </w:r>
      <w:r>
        <w:rPr>
          <w:rFonts w:ascii="Arial" w:cs="Arial" w:eastAsia="Arial" w:hAnsi="Arial"/>
          <w:sz w:val="16"/>
          <w:szCs w:val="16"/>
          <w:color w:val="auto"/>
        </w:rPr>
        <w:t>. Grants of Performance Awards to any Covered Employee intended to qualify as “performance-based compensation” under Section 162(m) (“Performance-Based Compensation”) shall be made only by a Committee (or subcommittee of a Committee) comprised solely of two or more directors eligible to serve on a committee making Awards qualifying as “performance-based compensation” under Section 162(m) of the Code. In 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115" w:lineRule="exact"/>
        <w:rPr>
          <w:rFonts w:ascii="Arial" w:cs="Arial" w:eastAsia="Arial" w:hAnsi="Arial"/>
          <w:sz w:val="16"/>
          <w:szCs w:val="16"/>
          <w:color w:val="auto"/>
        </w:rPr>
      </w:pPr>
    </w:p>
    <w:p>
      <w:pPr>
        <w:ind w:left="-8" w:right="160" w:firstLine="464"/>
        <w:spacing w:after="0" w:line="302" w:lineRule="auto"/>
        <w:tabs>
          <w:tab w:leader="none" w:pos="687" w:val="left"/>
        </w:tabs>
        <w:numPr>
          <w:ilvl w:val="1"/>
          <w:numId w:val="73"/>
        </w:numPr>
        <w:rPr>
          <w:rFonts w:ascii="Arial" w:cs="Arial" w:eastAsia="Arial" w:hAnsi="Arial"/>
          <w:sz w:val="15"/>
          <w:szCs w:val="15"/>
          <w:color w:val="auto"/>
        </w:rPr>
      </w:pPr>
      <w:r>
        <w:rPr>
          <w:rFonts w:ascii="Arial" w:cs="Arial" w:eastAsia="Arial" w:hAnsi="Arial"/>
          <w:sz w:val="15"/>
          <w:szCs w:val="15"/>
          <w:u w:val="single" w:color="auto"/>
          <w:color w:val="auto"/>
        </w:rPr>
        <w:t>Performance Measures</w:t>
      </w:r>
      <w:r>
        <w:rPr>
          <w:rFonts w:ascii="Arial" w:cs="Arial" w:eastAsia="Arial" w:hAnsi="Arial"/>
          <w:sz w:val="15"/>
          <w:szCs w:val="15"/>
          <w:color w:val="auto"/>
        </w:rPr>
        <w:t>. For any Award that is intended to qualify as Performance-Based Compensation, the Committee shall specify in the applicable Award agreement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(a) net income, (b) earnings before or after discontinued operations, interest, taxes, depreciation and/or amortization, (c) operating profit before or after discontinued operations and/or taxes, (d) sales, (e) sales growth, (f) earnings growth, (g) cash flow, free cash flow or cash position, (h) gross margins or margin percentages,</w:t>
      </w:r>
    </w:p>
    <w:p>
      <w:pPr>
        <w:spacing w:after="0" w:line="1" w:lineRule="exact"/>
        <w:rPr>
          <w:rFonts w:ascii="Arial" w:cs="Arial" w:eastAsia="Arial" w:hAnsi="Arial"/>
          <w:sz w:val="15"/>
          <w:szCs w:val="15"/>
          <w:color w:val="auto"/>
        </w:rPr>
      </w:pPr>
    </w:p>
    <w:p>
      <w:pPr>
        <w:ind w:left="-8" w:firstLine="8"/>
        <w:spacing w:after="0" w:line="286" w:lineRule="auto"/>
        <w:tabs>
          <w:tab w:leader="none" w:pos="2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stock price, (j) market share, (k) return on sales, assets, equity or investment, (l) improvement of financial ratings, (m) achievement of balance sheet or income statement objectives or (n) total shareholder return, (o) product release schedules, (p) product shipment targets, (q) customer satisfaction or (r) new product innovation. Such measures may be absolute in their terms or measured against or in relationship to other companies comparably, similarly or otherwise situated and may be determined on a total or per share basis. Such performance measures may be adjusted to exclude any one or more of (i) extraordinary items, (ii) gains or losses on the dispositions of discontinued operations, (iii) the cumulative effects of changes in accounting principles, (iv) the writedown of any asset, (v) stock based compensation, and (vi)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124" w:lineRule="exact"/>
        <w:rPr>
          <w:rFonts w:ascii="Arial" w:cs="Arial" w:eastAsia="Arial" w:hAnsi="Arial"/>
          <w:sz w:val="16"/>
          <w:szCs w:val="16"/>
          <w:color w:val="auto"/>
        </w:rPr>
      </w:pPr>
    </w:p>
    <w:p>
      <w:pPr>
        <w:ind w:left="-8" w:right="180" w:firstLine="464"/>
        <w:spacing w:after="0" w:line="306" w:lineRule="auto"/>
        <w:tabs>
          <w:tab w:leader="none" w:pos="697"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w:t>
      </w:r>
    </w:p>
    <w:p>
      <w:pPr>
        <w:spacing w:after="0" w:line="106" w:lineRule="exact"/>
        <w:rPr>
          <w:rFonts w:ascii="Arial" w:cs="Arial" w:eastAsia="Arial" w:hAnsi="Arial"/>
          <w:sz w:val="16"/>
          <w:szCs w:val="16"/>
          <w:color w:val="auto"/>
        </w:rPr>
      </w:pPr>
    </w:p>
    <w:p>
      <w:pPr>
        <w:ind w:left="-8" w:right="740" w:firstLine="464"/>
        <w:spacing w:after="0" w:line="268" w:lineRule="auto"/>
        <w:tabs>
          <w:tab w:leader="none" w:pos="68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Committee shall have the power to impose such other restrictions on Awards subject to this Section 9 as it may deem necessary or appropriate to ensure that such Awards satisfy all requirements for Performance-Based Compensation.</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80" w:right="279" w:bottom="1440" w:gutter="0" w:footer="0" w:header="0"/>
        </w:sectPr>
      </w:pPr>
    </w:p>
    <w:bookmarkStart w:id="96" w:name="page97"/>
    <w:bookmarkEnd w:id="96"/>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Stock-Based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100" w:firstLine="464"/>
        <w:spacing w:after="0" w:line="291" w:lineRule="auto"/>
        <w:tabs>
          <w:tab w:leader="none" w:pos="687"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Other Awards of shares of Common Stock, and other Awards that are valued in whole or in part by reference to, or are 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p>
    <w:p>
      <w:pPr>
        <w:spacing w:after="0" w:line="120" w:lineRule="exact"/>
        <w:rPr>
          <w:rFonts w:ascii="Arial" w:cs="Arial" w:eastAsia="Arial" w:hAnsi="Arial"/>
          <w:sz w:val="16"/>
          <w:szCs w:val="16"/>
          <w:color w:val="auto"/>
        </w:rPr>
      </w:pPr>
    </w:p>
    <w:p>
      <w:pPr>
        <w:ind w:left="-8" w:right="200" w:firstLine="464"/>
        <w:spacing w:after="0" w:line="298" w:lineRule="auto"/>
        <w:tabs>
          <w:tab w:leader="none" w:pos="697"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Limitations on Vesting Conditions</w:t>
      </w:r>
      <w:r>
        <w:rPr>
          <w:rFonts w:ascii="Arial" w:cs="Arial" w:eastAsia="Arial" w:hAnsi="Arial"/>
          <w:sz w:val="16"/>
          <w:szCs w:val="16"/>
          <w:color w:val="auto"/>
        </w:rPr>
        <w:t>. No vesting condition that is based on performance criteria and level of achievement versus such criteria shall be based on performance over a period of less than 12 months, and no vesting condition that is based upon continued employment or the passage of time shall provide for vesting in full of a Other Stock Unit Award in less than pro rata rate installments over three years from the date the Award is made, other than in the event of death, disability or retirement of the Participant, in each case as specified in the Agreement evidencing such Award.</w:t>
      </w:r>
    </w:p>
    <w:p>
      <w:pPr>
        <w:spacing w:after="0" w:line="234" w:lineRule="exact"/>
        <w:rPr>
          <w:rFonts w:ascii="Arial" w:cs="Arial" w:eastAsia="Arial" w:hAnsi="Arial"/>
          <w:sz w:val="16"/>
          <w:szCs w:val="16"/>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firstLine="464"/>
        <w:spacing w:after="0" w:line="290" w:lineRule="auto"/>
        <w:tabs>
          <w:tab w:leader="none" w:pos="687"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sub-limits set forth in Section 4(c), (iii) the share counting provisions of Section 4(b), (iv) the number and class of securities and exercise price per share of each outstanding Option, (v) the share- and per-share provisions of each Stock Appreciation Right, (vi) the repurchase price per share subject to each outstanding Restricted Stock Award and Restricted Stock Unit and (vii) the share- and per-share-related provisions of each outstanding Other Stock Unit Award, shall be appropriately adjusted by the Company (or substituted Awards may be made, if applicable) to the extent determined by the Board.</w:t>
      </w:r>
    </w:p>
    <w:p>
      <w:pPr>
        <w:spacing w:after="0" w:line="118" w:lineRule="exact"/>
        <w:rPr>
          <w:rFonts w:ascii="Arial" w:cs="Arial" w:eastAsia="Arial" w:hAnsi="Arial"/>
          <w:sz w:val="16"/>
          <w:szCs w:val="16"/>
          <w:color w:val="auto"/>
        </w:rPr>
      </w:pPr>
    </w:p>
    <w:p>
      <w:pPr>
        <w:ind w:left="712" w:hanging="256"/>
        <w:spacing w:after="0"/>
        <w:tabs>
          <w:tab w:leader="none" w:pos="71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7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732" w:hanging="248"/>
        <w:spacing w:after="0"/>
        <w:tabs>
          <w:tab w:leader="none" w:pos="1732" w:val="left"/>
        </w:tabs>
        <w:numPr>
          <w:ilvl w:val="3"/>
          <w:numId w:val="75"/>
        </w:numPr>
        <w:rPr>
          <w:rFonts w:ascii="Arial" w:cs="Arial" w:eastAsia="Arial" w:hAnsi="Arial"/>
          <w:sz w:val="18"/>
          <w:szCs w:val="18"/>
          <w:color w:val="auto"/>
        </w:rPr>
      </w:pPr>
      <w:r>
        <w:rPr>
          <w:rFonts w:ascii="Arial" w:cs="Arial" w:eastAsia="Arial" w:hAnsi="Arial"/>
          <w:sz w:val="18"/>
          <w:szCs w:val="18"/>
          <w:color w:val="auto"/>
        </w:rPr>
        <w:t>A “Reorganization Event” shall mean:</w:t>
      </w:r>
    </w:p>
    <w:p>
      <w:pPr>
        <w:spacing w:after="0" w:line="90" w:lineRule="exact"/>
        <w:rPr>
          <w:rFonts w:ascii="Arial" w:cs="Arial" w:eastAsia="Arial" w:hAnsi="Arial"/>
          <w:sz w:val="18"/>
          <w:szCs w:val="18"/>
          <w:color w:val="auto"/>
        </w:rPr>
      </w:pPr>
    </w:p>
    <w:p>
      <w:pPr>
        <w:ind w:left="2372" w:right="340" w:hanging="441"/>
        <w:spacing w:after="0" w:line="332" w:lineRule="auto"/>
        <w:tabs>
          <w:tab w:leader="none" w:pos="2372" w:val="left"/>
        </w:tabs>
        <w:numPr>
          <w:ilvl w:val="4"/>
          <w:numId w:val="75"/>
        </w:numPr>
        <w:rPr>
          <w:rFonts w:ascii="Arial" w:cs="Arial" w:eastAsia="Arial" w:hAnsi="Arial"/>
          <w:sz w:val="16"/>
          <w:szCs w:val="16"/>
          <w:color w:val="auto"/>
        </w:rPr>
      </w:pPr>
      <w:r>
        <w:rPr>
          <w:rFonts w:ascii="Arial" w:cs="Arial" w:eastAsia="Arial" w:hAnsi="Arial"/>
          <w:sz w:val="16"/>
          <w:szCs w:val="16"/>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4" w:lineRule="exact"/>
        <w:rPr>
          <w:rFonts w:ascii="Arial" w:cs="Arial" w:eastAsia="Arial" w:hAnsi="Arial"/>
          <w:sz w:val="16"/>
          <w:szCs w:val="16"/>
          <w:color w:val="auto"/>
        </w:rPr>
      </w:pPr>
    </w:p>
    <w:p>
      <w:pPr>
        <w:ind w:left="2372" w:right="240" w:hanging="441"/>
        <w:spacing w:after="0" w:line="268" w:lineRule="auto"/>
        <w:tabs>
          <w:tab w:leader="none" w:pos="2372" w:val="left"/>
        </w:tabs>
        <w:numPr>
          <w:ilvl w:val="4"/>
          <w:numId w:val="75"/>
        </w:numPr>
        <w:rPr>
          <w:rFonts w:ascii="Arial" w:cs="Arial" w:eastAsia="Arial" w:hAnsi="Arial"/>
          <w:sz w:val="18"/>
          <w:szCs w:val="18"/>
          <w:color w:val="auto"/>
        </w:rPr>
      </w:pPr>
      <w:r>
        <w:rPr>
          <w:rFonts w:ascii="Arial" w:cs="Arial" w:eastAsia="Arial" w:hAnsi="Arial"/>
          <w:sz w:val="18"/>
          <w:szCs w:val="18"/>
          <w:color w:val="auto"/>
        </w:rPr>
        <w:t>any exchange of all of the Common Stock of the Company for cash, securities or other property pursuant to a share exchange transaction; or</w:t>
      </w:r>
    </w:p>
    <w:p>
      <w:pPr>
        <w:spacing w:after="0" w:line="50" w:lineRule="exact"/>
        <w:rPr>
          <w:rFonts w:ascii="Arial" w:cs="Arial" w:eastAsia="Arial" w:hAnsi="Arial"/>
          <w:sz w:val="18"/>
          <w:szCs w:val="18"/>
          <w:color w:val="auto"/>
        </w:rPr>
      </w:pPr>
    </w:p>
    <w:p>
      <w:pPr>
        <w:ind w:left="2372" w:hanging="441"/>
        <w:spacing w:after="0"/>
        <w:tabs>
          <w:tab w:leader="none" w:pos="2372" w:val="left"/>
        </w:tabs>
        <w:numPr>
          <w:ilvl w:val="4"/>
          <w:numId w:val="75"/>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80" w:right="239" w:bottom="1440" w:gutter="0" w:footer="0" w:header="0"/>
        </w:sectPr>
      </w:pPr>
    </w:p>
    <w:bookmarkStart w:id="97" w:name="page98"/>
    <w:bookmarkEnd w:id="97"/>
    <w:p>
      <w:pPr>
        <w:ind w:left="540" w:hanging="248"/>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“Change in Control Event” shall mean:</w:t>
      </w:r>
    </w:p>
    <w:p>
      <w:pPr>
        <w:spacing w:after="0" w:line="90" w:lineRule="exact"/>
        <w:rPr>
          <w:rFonts w:ascii="Arial" w:cs="Arial" w:eastAsia="Arial" w:hAnsi="Arial"/>
          <w:sz w:val="18"/>
          <w:szCs w:val="18"/>
          <w:color w:val="auto"/>
        </w:rPr>
      </w:pPr>
    </w:p>
    <w:p>
      <w:pPr>
        <w:ind w:left="1180" w:right="20" w:hanging="441"/>
        <w:spacing w:after="0" w:line="286" w:lineRule="auto"/>
        <w:tabs>
          <w:tab w:leader="none" w:pos="11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39" w:lineRule="exact"/>
        <w:rPr>
          <w:rFonts w:ascii="Arial" w:cs="Arial" w:eastAsia="Arial" w:hAnsi="Arial"/>
          <w:sz w:val="16"/>
          <w:szCs w:val="16"/>
          <w:color w:val="auto"/>
        </w:rPr>
      </w:pPr>
    </w:p>
    <w:p>
      <w:pPr>
        <w:ind w:left="1180" w:hanging="441"/>
        <w:spacing w:after="0" w:line="289" w:lineRule="auto"/>
        <w:tabs>
          <w:tab w:leader="none" w:pos="11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w:t>
      </w:r>
    </w:p>
    <w:p>
      <w:pPr>
        <w:spacing w:after="0" w:line="1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280" w:right="239" w:bottom="1440" w:gutter="0" w:footer="0" w:header="0"/>
        </w:sectPr>
      </w:pPr>
    </w:p>
    <w:bookmarkStart w:id="98" w:name="page99"/>
    <w:bookmarkEnd w:id="98"/>
    <w:p>
      <w:pPr>
        <w:ind w:left="2400"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37" w:lineRule="exact"/>
        <w:rPr>
          <w:sz w:val="20"/>
          <w:szCs w:val="20"/>
          <w:color w:val="auto"/>
        </w:rPr>
      </w:pPr>
    </w:p>
    <w:p>
      <w:pPr>
        <w:ind w:left="2380" w:hanging="441"/>
        <w:spacing w:after="0"/>
        <w:tabs>
          <w:tab w:leader="none" w:pos="2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171" w:lineRule="exact"/>
        <w:rPr>
          <w:rFonts w:ascii="Arial" w:cs="Arial" w:eastAsia="Arial" w:hAnsi="Arial"/>
          <w:sz w:val="18"/>
          <w:szCs w:val="18"/>
          <w:color w:val="auto"/>
        </w:rPr>
      </w:pPr>
    </w:p>
    <w:p>
      <w:pPr>
        <w:ind w:right="60" w:firstLine="1492"/>
        <w:spacing w:after="0" w:line="298" w:lineRule="auto"/>
        <w:tabs>
          <w:tab w:leader="none" w:pos="17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“Good Reason”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112" w:lineRule="exact"/>
        <w:rPr>
          <w:rFonts w:ascii="Arial" w:cs="Arial" w:eastAsia="Arial" w:hAnsi="Arial"/>
          <w:sz w:val="16"/>
          <w:szCs w:val="16"/>
          <w:color w:val="auto"/>
        </w:rPr>
      </w:pPr>
    </w:p>
    <w:p>
      <w:pPr>
        <w:ind w:left="1740" w:hanging="248"/>
        <w:spacing w:after="0"/>
        <w:tabs>
          <w:tab w:leader="none" w:pos="1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“Cause” shall mean:</w:t>
      </w:r>
    </w:p>
    <w:p>
      <w:pPr>
        <w:spacing w:after="0" w:line="90" w:lineRule="exact"/>
        <w:rPr>
          <w:rFonts w:ascii="Arial" w:cs="Arial" w:eastAsia="Arial" w:hAnsi="Arial"/>
          <w:sz w:val="18"/>
          <w:szCs w:val="18"/>
          <w:color w:val="auto"/>
        </w:rPr>
      </w:pPr>
    </w:p>
    <w:p>
      <w:pPr>
        <w:ind w:left="2380" w:right="440" w:hanging="441"/>
        <w:spacing w:after="0" w:line="268" w:lineRule="auto"/>
        <w:tabs>
          <w:tab w:leader="none" w:pos="23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willful failure by the Participant, which failure is not cured within 30 days of written notice to the Participant from the Company, to perform his or her material responsibilities to the Company; or</w:t>
      </w:r>
    </w:p>
    <w:p>
      <w:pPr>
        <w:spacing w:after="0" w:line="51" w:lineRule="exact"/>
        <w:rPr>
          <w:sz w:val="20"/>
          <w:szCs w:val="20"/>
          <w:color w:val="auto"/>
        </w:rPr>
      </w:pPr>
    </w:p>
    <w:p>
      <w:pPr>
        <w:ind w:left="2380" w:hanging="441"/>
        <w:spacing w:after="0"/>
        <w:tabs>
          <w:tab w:leader="none" w:pos="23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any willful misconduct by the Participant which affects the business reputation of 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Effect on Options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255" w:lineRule="auto"/>
        <w:tabs>
          <w:tab w:leader="none" w:pos="172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Reorganization Event</w:t>
      </w:r>
      <w:r>
        <w:rPr>
          <w:rFonts w:ascii="Arial" w:cs="Arial" w:eastAsia="Arial" w:hAnsi="Arial"/>
          <w:sz w:val="18"/>
          <w:szCs w:val="18"/>
          <w:color w:val="auto"/>
        </w:rPr>
        <w:t xml:space="preserve">.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the Plan, if such Reorganization Event also constitutes a Change in Control Event,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to the extent specifically provided to the contrary in the instrument evidencing any Option or any other agreement between a Participant and the Company</w:t>
      </w:r>
    </w:p>
    <w:p>
      <w:pPr>
        <w:spacing w:after="0" w:line="38" w:lineRule="exact"/>
        <w:rPr>
          <w:sz w:val="20"/>
          <w:szCs w:val="20"/>
          <w:color w:val="auto"/>
        </w:rPr>
      </w:pPr>
    </w:p>
    <w:p>
      <w:pPr>
        <w:ind w:right="40" w:firstLine="8"/>
        <w:spacing w:after="0" w:line="284" w:lineRule="auto"/>
        <w:tabs>
          <w:tab w:leader="none" w:pos="288"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one-half of the number of shares subject to the Option which were not already vested shall be exercisable upon the occurrence of such Reorganization Event and, subject to (B) below,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subsequent vesting date and (B)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31"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 xml:space="preserve">Notwithstanding the foregoing and anything to the contrary in the Plan, if the acquiring or succeeding corporation (or an affiliate thereof) does not agree to assume, or substitute for, such Options, or in the event of a liquidation or dissolution of the Company, the Board shall, upon written notice to the Participants, provide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120" w:lineRule="exact"/>
        <w:rPr>
          <w:sz w:val="20"/>
          <w:szCs w:val="20"/>
          <w:color w:val="auto"/>
        </w:rPr>
      </w:pPr>
    </w:p>
    <w:p>
      <w:pPr>
        <w:ind w:right="380" w:firstLine="1492"/>
        <w:spacing w:after="0" w:line="335" w:lineRule="auto"/>
        <w:tabs>
          <w:tab w:leader="none" w:pos="1732"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Change in Control Event that is not a Reorganization Event</w:t>
      </w:r>
      <w:r>
        <w:rPr>
          <w:rFonts w:ascii="Arial" w:cs="Arial" w:eastAsia="Arial" w:hAnsi="Arial"/>
          <w:sz w:val="15"/>
          <w:szCs w:val="15"/>
          <w:color w:val="auto"/>
        </w:rPr>
        <w:t>. Upon the occurrence of a Change in Control Event that does not also constitute a Reorganization Event, except to the extent specifically provided to the contrary in the instrument evidencing any Option or any other agreement between a Participant and the Company, and notwithstanding anything to the contrary in the Plan, the vesting schedule of such Option shall be accelerated in</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00" w:name="page101"/>
    <w:bookmarkEnd w:id="100"/>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 so that one-half of the number of shares that would otherwise have first become vested on any date after the date of the Change in Control Event shall immediately become exercisable.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such subsequent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such Option shall be immediately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47" w:lineRule="exact"/>
        <w:rPr>
          <w:sz w:val="20"/>
          <w:szCs w:val="20"/>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Awards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1492"/>
        <w:spacing w:after="0" w:line="298" w:lineRule="auto"/>
        <w:tabs>
          <w:tab w:leader="none" w:pos="1722"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Reorganization Event.</w:t>
      </w:r>
      <w:r>
        <w:rPr>
          <w:rFonts w:ascii="Arial" w:cs="Arial" w:eastAsia="Arial" w:hAnsi="Arial"/>
          <w:sz w:val="16"/>
          <w:szCs w:val="16"/>
          <w:color w:val="auto"/>
        </w:rPr>
        <w:t xml:space="preserve"> Upon the occurrence of a Reorganization Event (regardless of whether such event also constitutes a Change in Control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such Restricted Stock Award.</w:t>
      </w:r>
    </w:p>
    <w:p>
      <w:pPr>
        <w:spacing w:after="0" w:line="112" w:lineRule="exact"/>
        <w:rPr>
          <w:rFonts w:ascii="Arial" w:cs="Arial" w:eastAsia="Arial" w:hAnsi="Arial"/>
          <w:sz w:val="16"/>
          <w:szCs w:val="16"/>
          <w:color w:val="auto"/>
        </w:rPr>
      </w:pPr>
    </w:p>
    <w:p>
      <w:pPr>
        <w:ind w:firstLine="1492"/>
        <w:spacing w:after="0" w:line="286" w:lineRule="auto"/>
        <w:tabs>
          <w:tab w:leader="none" w:pos="1732"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Change in Control Event.</w:t>
      </w:r>
      <w:r>
        <w:rPr>
          <w:rFonts w:ascii="Arial" w:cs="Arial" w:eastAsia="Arial" w:hAnsi="Arial"/>
          <w:sz w:val="16"/>
          <w:szCs w:val="16"/>
          <w:color w:val="auto"/>
        </w:rPr>
        <w:t xml:space="preserve">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and notwithstanding anything to the contrary in the Plan, the vesting schedule of all Restricted Stock Awards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27" w:lineRule="exact"/>
        <w:rPr>
          <w:rFonts w:ascii="Arial" w:cs="Arial" w:eastAsia="Arial" w:hAnsi="Arial"/>
          <w:sz w:val="16"/>
          <w:szCs w:val="16"/>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Unit Awards.</w:t>
      </w:r>
    </w:p>
    <w:p>
      <w:pPr>
        <w:spacing w:after="0" w:line="171" w:lineRule="exact"/>
        <w:rPr>
          <w:rFonts w:ascii="Arial" w:cs="Arial" w:eastAsia="Arial" w:hAnsi="Arial"/>
          <w:sz w:val="18"/>
          <w:szCs w:val="18"/>
          <w:color w:val="auto"/>
        </w:rPr>
      </w:pPr>
    </w:p>
    <w:p>
      <w:pPr>
        <w:ind w:right="60" w:firstLine="1492"/>
        <w:spacing w:after="0" w:line="306" w:lineRule="auto"/>
        <w:tabs>
          <w:tab w:leader="none" w:pos="1722"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Reorganization Event</w:t>
      </w:r>
      <w:r>
        <w:rPr>
          <w:rFonts w:ascii="Arial" w:cs="Arial" w:eastAsia="Arial" w:hAnsi="Arial"/>
          <w:sz w:val="16"/>
          <w:szCs w:val="16"/>
          <w:color w:val="auto"/>
        </w:rPr>
        <w:t>. Upon the occurrence of a Reorganization Event (regardless of whether such event constitutes a Change in Control Event), the Board shall provide that all outstanding Restricted Stock Unit Awards shall be assumed, or an equivalent award providing for Restricted Stock Units shall be substituted, by the acquiring or succeeding corporation (or an affiliate thereof); provided that, notwithstanding anything to the contrary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01" w:name="page102"/>
    <w:bookmarkEnd w:id="101"/>
    <w:p>
      <w:pPr>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if such Reorganization Event also constitutes both a Change in Control Event and a “change in control event” within the meaning of Treasury Regulation Section 1.409A-3(i)(5)(i), except to the extent specifically provided to the contrary in the instrument evidencing any Award or any other agreement between the Participant and the Company, (A) one-half of the number of Restricted Stock Units that vest after the Reorganization Event shall immediately vest in full as of the consummation of the Reorganization Event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assumed or substituted Restricted Stock Unit award shall immediately become vested in full if, on or prior to the first anniversary of the date of the consummation of the Reorganization Event, the Participant’s employment with the Company or the acquiring or succeeding corporation is terminated for Good Reason (as defined in Section 11(b)(4)(c) below) by the Participant or is terminated without Cause by the Company or the acquiring or succeeding corporation.</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purposes hereof, a Restricted Stock Unit Award shall be considered to be assumed if, following consummation of the Reorganization Event, the Restricted Stock Unit Award confers the right to receive upon vesting and conversion for each Restricted Stock Unit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(or if holders of Common Stock were offered a choice of consideration and the type of consideration chosen by the holders of a majority of the outstanding shares of Common Stock was not common stock of the acquiring or succeeding corporation), the Company may, with the consent of the acquiring or succeeding corporation, provide for the consideration to be received upon the vesting and conversion of Restricted Stock Units to consist solely of common stock of the acquiring or succeeding corporation (or an affiliate thereof) equivalent in value (as determined by the Board of Directors) to the per share consideration received by holders of outstanding shares of Common Stock as a result of the Reorganization Event.</w:t>
      </w:r>
    </w:p>
    <w:p>
      <w:pPr>
        <w:spacing w:after="0" w:line="1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Notwithstanding the foregoing and anything to the contrary in the Plan, if the acquiring or succeeding corporation (or an affiliate thereof) does not agree to assume, or substitute for, a Restricted Stock Unit Award, or in the event of a liquidation or dissolution of the Company, the Board of Directors shall, upon written notice to the Participant, (A) provide that all then unvested Restricted Stock Units that are exempt from Section 409A will vest in full as of immediately prior to the Reorganization Event; provided, however, that in the event of a Reorganization Event under the terms of which holders of Common Stock will receive upon consummation thereof a cash payment for each share of Common Stock surrendered pursuant to such Reorganization Event (the “Acquisition Price”), then the Board of Directors may instead provide that all such unvested Restricted Stock Units shall terminate upon consummation of such Reorganization Event and that the Participant shall receive, in exchange therefor, a cash payment equal to the amount equal to the Acquisition Price multiplied by the number of shares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02" w:name="page103"/>
    <w:bookmarkEnd w:id="10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issuable under such unvested Restricted Stock Units; and (B) provide that all then unvested Restricted Stock Units that are not exempt from Section 409A shall be treated in the same manner Restricted Stock Units subject to clause (A) if such Reorganization Event also is a “change in control event” as described in Treasury Regulation Section 1.409A-3(i)(5(i) and if not, shall be terminated as of the Reorganization Event without any payment for the unvested Restricted Stock Units.</w:t>
      </w:r>
    </w:p>
    <w:p>
      <w:pPr>
        <w:spacing w:after="0" w:line="143" w:lineRule="exact"/>
        <w:rPr>
          <w:sz w:val="20"/>
          <w:szCs w:val="20"/>
          <w:color w:val="auto"/>
        </w:rPr>
      </w:pPr>
    </w:p>
    <w:p>
      <w:pPr>
        <w:ind w:firstLine="1492"/>
        <w:spacing w:after="0" w:line="287" w:lineRule="auto"/>
        <w:tabs>
          <w:tab w:leader="none" w:pos="173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Change in Control Event that is not a Reorganization Event</w:t>
      </w:r>
      <w:r>
        <w:rPr>
          <w:rFonts w:ascii="Arial" w:cs="Arial" w:eastAsia="Arial" w:hAnsi="Arial"/>
          <w:sz w:val="16"/>
          <w:szCs w:val="16"/>
          <w:color w:val="auto"/>
        </w:rPr>
        <w:t>. Upon the occurrence of a Change in Control Event that also is a “change in control event” within the meaning of Treasury Regulation Section 1.409A-3(i)(5)(i) that does not constitute a Reorganization Event, except to the extent specifically provided to the contrary in the instrument evidencing any award or any other agreement between the Participant and the Company, (A) one-half of the number of Restricted Stock Units that vest after the Change in Control Event shall immediately vest in full as of the consummation of the Change in Control Event and be converted and delivered to the Participant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Restricted Stock Unit Award shall immediately become vested in full if, on or prior to the first anniversary of the date of the consummation of the Change in Control Event, the Participant’s employment with the Company is terminated for Good Reason (as defined in Section 11(b)(4)(c) below) by the Participant or is terminated without Cause by the Company.</w:t>
      </w:r>
    </w:p>
    <w:p>
      <w:pPr>
        <w:spacing w:after="0" w:line="122" w:lineRule="exact"/>
        <w:rPr>
          <w:rFonts w:ascii="Arial" w:cs="Arial" w:eastAsia="Arial" w:hAnsi="Arial"/>
          <w:sz w:val="16"/>
          <w:szCs w:val="16"/>
          <w:color w:val="auto"/>
        </w:rPr>
      </w:pPr>
    </w:p>
    <w:p>
      <w:pPr>
        <w:ind w:left="1740" w:hanging="248"/>
        <w:spacing w:after="0"/>
        <w:tabs>
          <w:tab w:leader="none" w:pos="17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Definition of Good Reason for the purposes this Section 11(b)(4) of the Plan.</w:t>
      </w:r>
    </w:p>
    <w:p>
      <w:pPr>
        <w:spacing w:after="0" w:line="90" w:lineRule="exact"/>
        <w:rPr>
          <w:rFonts w:ascii="Arial" w:cs="Arial" w:eastAsia="Arial" w:hAnsi="Arial"/>
          <w:sz w:val="18"/>
          <w:szCs w:val="18"/>
          <w:color w:val="auto"/>
        </w:rPr>
      </w:pPr>
    </w:p>
    <w:p>
      <w:pPr>
        <w:ind w:left="2380" w:right="360" w:hanging="441"/>
        <w:spacing w:after="0" w:line="268" w:lineRule="auto"/>
        <w:tabs>
          <w:tab w:leader="none" w:pos="23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any Restricted Stock Unit Awards granted on or before December 10, 2009, “Good Reason” shall mean good reason as defined in Section 11(b)(1)(c) of the Plan.</w:t>
      </w:r>
    </w:p>
    <w:p>
      <w:pPr>
        <w:spacing w:after="0" w:line="50" w:lineRule="exact"/>
        <w:rPr>
          <w:rFonts w:ascii="Arial" w:cs="Arial" w:eastAsia="Arial" w:hAnsi="Arial"/>
          <w:sz w:val="18"/>
          <w:szCs w:val="18"/>
          <w:color w:val="auto"/>
        </w:rPr>
      </w:pPr>
    </w:p>
    <w:p>
      <w:pPr>
        <w:ind w:left="2380" w:right="100" w:hanging="441"/>
        <w:spacing w:after="0" w:line="289" w:lineRule="auto"/>
        <w:tabs>
          <w:tab w:leader="none" w:pos="23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any Restricted Stock Unit Awards granted after December 10, 2009, “Good Reason” shall mean any significant diminution in the Participant’s title,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 Notwithstanding the occurrence of any such event or circumstance, such occurrence shall not be deemed to constitute Good Reason unless (x) the Participant gives the Company notice of termination no more than 90 days after the initial existence of such event or circumstance, (y)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03" w:name="page104"/>
    <w:bookmarkEnd w:id="103"/>
    <w:p>
      <w:pPr>
        <w:ind w:left="2392"/>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or circumstance has not been fully corrected by the Company within 30 days of the Company’s receipt of such notice and</w:t>
      </w:r>
    </w:p>
    <w:p>
      <w:pPr>
        <w:spacing w:after="0" w:line="50" w:lineRule="exact"/>
        <w:rPr>
          <w:sz w:val="20"/>
          <w:szCs w:val="20"/>
          <w:color w:val="auto"/>
        </w:rPr>
      </w:pPr>
    </w:p>
    <w:p>
      <w:pPr>
        <w:ind w:left="2632" w:hanging="242"/>
        <w:spacing w:after="0"/>
        <w:tabs>
          <w:tab w:leader="none" w:pos="2632" w:val="left"/>
        </w:tabs>
        <w:numPr>
          <w:ilvl w:val="3"/>
          <w:numId w:val="85"/>
        </w:numPr>
        <w:rPr>
          <w:rFonts w:ascii="Arial" w:cs="Arial" w:eastAsia="Arial" w:hAnsi="Arial"/>
          <w:sz w:val="18"/>
          <w:szCs w:val="18"/>
          <w:color w:val="auto"/>
        </w:rPr>
      </w:pPr>
      <w:r>
        <w:rPr>
          <w:rFonts w:ascii="Arial" w:cs="Arial" w:eastAsia="Arial" w:hAnsi="Arial"/>
          <w:sz w:val="18"/>
          <w:szCs w:val="18"/>
          <w:color w:val="auto"/>
        </w:rPr>
        <w:t>the Participant’s termination occurs within 60 days following the Company’s receipt of such notice.</w:t>
      </w:r>
    </w:p>
    <w:p>
      <w:pPr>
        <w:spacing w:after="0" w:line="164" w:lineRule="exact"/>
        <w:rPr>
          <w:rFonts w:ascii="Arial" w:cs="Arial" w:eastAsia="Arial" w:hAnsi="Arial"/>
          <w:sz w:val="18"/>
          <w:szCs w:val="18"/>
          <w:color w:val="auto"/>
        </w:rPr>
      </w:pPr>
    </w:p>
    <w:p>
      <w:pPr>
        <w:ind w:left="-8" w:right="280" w:firstLine="921"/>
        <w:spacing w:after="0" w:line="268" w:lineRule="auto"/>
        <w:tabs>
          <w:tab w:leader="none" w:pos="1153"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Effect on Stock Appreciation Rights and Other Stock Unit Awards</w:t>
      </w:r>
      <w:r>
        <w:rPr>
          <w:rFonts w:ascii="Arial" w:cs="Arial" w:eastAsia="Arial" w:hAnsi="Arial"/>
          <w:sz w:val="18"/>
          <w:szCs w:val="18"/>
          <w:color w:val="auto"/>
        </w:rPr>
        <w:t>. The Board may specify in an Award at the time of the grant the effect of a Reorganization Event and Change in Control Event on any SAR or Other Stock Unit Award.</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90" w:lineRule="exact"/>
        <w:rPr>
          <w:rFonts w:ascii="Arial" w:cs="Arial" w:eastAsia="Arial" w:hAnsi="Arial"/>
          <w:sz w:val="18"/>
          <w:szCs w:val="18"/>
          <w:color w:val="auto"/>
        </w:rPr>
      </w:pPr>
    </w:p>
    <w:p>
      <w:pPr>
        <w:ind w:left="-8" w:firstLine="464"/>
        <w:spacing w:after="0" w:line="287" w:lineRule="auto"/>
        <w:tabs>
          <w:tab w:leader="none" w:pos="68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xml:space="preserve">.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Board may permit or provide in an Award for the gratuitous transfer of the Award by the Participant to or for the benefit of any immediate family member, family trust or family partnership established solely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122" w:lineRule="exact"/>
        <w:rPr>
          <w:rFonts w:ascii="Arial" w:cs="Arial" w:eastAsia="Arial" w:hAnsi="Arial"/>
          <w:sz w:val="16"/>
          <w:szCs w:val="16"/>
          <w:color w:val="auto"/>
        </w:rPr>
      </w:pPr>
    </w:p>
    <w:p>
      <w:pPr>
        <w:ind w:left="-8" w:right="20" w:firstLine="464"/>
        <w:spacing w:after="0" w:line="259" w:lineRule="auto"/>
        <w:tabs>
          <w:tab w:leader="none" w:pos="69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 In the event of any conflict between the terms of any Award agreement and this Plan, this Plan shall govern and control.</w:t>
      </w:r>
    </w:p>
    <w:p>
      <w:pPr>
        <w:spacing w:after="0" w:line="140" w:lineRule="exact"/>
        <w:rPr>
          <w:rFonts w:ascii="Arial" w:cs="Arial" w:eastAsia="Arial" w:hAnsi="Arial"/>
          <w:sz w:val="18"/>
          <w:szCs w:val="18"/>
          <w:color w:val="auto"/>
        </w:rPr>
      </w:pPr>
    </w:p>
    <w:p>
      <w:pPr>
        <w:ind w:left="-8" w:right="60" w:firstLine="464"/>
        <w:spacing w:after="0" w:line="268" w:lineRule="auto"/>
        <w:tabs>
          <w:tab w:leader="none" w:pos="68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31" w:lineRule="exact"/>
        <w:rPr>
          <w:rFonts w:ascii="Arial" w:cs="Arial" w:eastAsia="Arial" w:hAnsi="Arial"/>
          <w:sz w:val="18"/>
          <w:szCs w:val="18"/>
          <w:color w:val="auto"/>
        </w:rPr>
      </w:pPr>
    </w:p>
    <w:p>
      <w:pPr>
        <w:ind w:left="-8" w:firstLine="464"/>
        <w:spacing w:after="0" w:line="259" w:lineRule="auto"/>
        <w:tabs>
          <w:tab w:leader="none" w:pos="69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retirement,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40" w:lineRule="exact"/>
        <w:rPr>
          <w:rFonts w:ascii="Arial" w:cs="Arial" w:eastAsia="Arial" w:hAnsi="Arial"/>
          <w:sz w:val="18"/>
          <w:szCs w:val="18"/>
          <w:color w:val="auto"/>
        </w:rPr>
      </w:pPr>
    </w:p>
    <w:p>
      <w:pPr>
        <w:ind w:left="-8" w:right="220" w:firstLine="464"/>
        <w:spacing w:after="0" w:line="306" w:lineRule="auto"/>
        <w:tabs>
          <w:tab w:leader="none" w:pos="68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may require each Participant to pay to the Company, or make provision satisfactory to the Company for payment of, any taxes, social security contributions or other similar amounts required by law to be withheld in connection with an Award to such Participant. Unless otherwise provided for in the applicable Award agreement, a Participant may satisfy such tax obligations in whole or in part by delivery of shares of Common</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104" w:name="page105"/>
    <w:bookmarkEnd w:id="104"/>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 including shares retained from the Award creating the tax obligation, valued at their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 The Company may, to the extent permitted by law, deduct any such tax obligations from any payment of any kind otherwise due to a Participant.</w:t>
      </w:r>
    </w:p>
    <w:p>
      <w:pPr>
        <w:spacing w:after="0" w:line="144" w:lineRule="exact"/>
        <w:rPr>
          <w:sz w:val="20"/>
          <w:szCs w:val="20"/>
          <w:color w:val="auto"/>
        </w:rPr>
      </w:pPr>
    </w:p>
    <w:p>
      <w:pPr>
        <w:ind w:right="40" w:firstLine="464"/>
        <w:spacing w:after="0" w:line="298" w:lineRule="auto"/>
        <w:tabs>
          <w:tab w:leader="none" w:pos="676"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xml:space="preserve">. Except as set forth in Sections 5(g) and 6(f), the Board may amend, modify or terminate any outstanding Award, including but not limited to, substituting therefor another Award of the same or a different type, changing the date of exercise or realization, and converting an Incentive Stock Option to a Nonstatutory Stock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Participant’s consent to such action shall be required unless the Board determines that the action, taking into account any related action, would not materially and adversely affect the Participant.</w:t>
      </w:r>
    </w:p>
    <w:p>
      <w:pPr>
        <w:spacing w:after="0" w:line="112" w:lineRule="exact"/>
        <w:rPr>
          <w:rFonts w:ascii="Arial" w:cs="Arial" w:eastAsia="Arial" w:hAnsi="Arial"/>
          <w:sz w:val="16"/>
          <w:szCs w:val="16"/>
          <w:color w:val="auto"/>
        </w:rPr>
      </w:pPr>
    </w:p>
    <w:p>
      <w:pPr>
        <w:ind w:right="260" w:firstLine="464"/>
        <w:spacing w:after="0" w:line="286" w:lineRule="auto"/>
        <w:tabs>
          <w:tab w:leader="none" w:pos="705"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ind w:right="20" w:firstLine="8"/>
        <w:spacing w:after="0" w:line="331" w:lineRule="auto"/>
        <w:tabs>
          <w:tab w:leader="none" w:pos="258" w:val="left"/>
        </w:tabs>
        <w:numPr>
          <w:ilvl w:val="0"/>
          <w:numId w:val="89"/>
        </w:numPr>
        <w:rPr>
          <w:rFonts w:ascii="Arial" w:cs="Arial" w:eastAsia="Arial" w:hAnsi="Arial"/>
          <w:sz w:val="15"/>
          <w:szCs w:val="15"/>
          <w:color w:val="auto"/>
        </w:rPr>
      </w:pPr>
      <w:r>
        <w:rPr>
          <w:rFonts w:ascii="Arial" w:cs="Arial" w:eastAsia="Arial" w:hAnsi="Arial"/>
          <w:sz w:val="15"/>
          <w:szCs w:val="15"/>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90" w:lineRule="exact"/>
        <w:rPr>
          <w:rFonts w:ascii="Arial" w:cs="Arial" w:eastAsia="Arial" w:hAnsi="Arial"/>
          <w:sz w:val="15"/>
          <w:szCs w:val="15"/>
          <w:color w:val="auto"/>
        </w:rPr>
      </w:pPr>
    </w:p>
    <w:p>
      <w:pPr>
        <w:ind w:right="460" w:firstLine="464"/>
        <w:spacing w:after="0" w:line="332" w:lineRule="auto"/>
        <w:tabs>
          <w:tab w:leader="none" w:pos="705"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Notwithstanding anything to the contrary in the Plan, the Board may at any time provide that any Award shall become immediately exercisable in full or in part, free of some or all restrictions or conditions, or otherwise realizable in full or in part, as the case may be.</w:t>
      </w:r>
    </w:p>
    <w:p>
      <w:pPr>
        <w:spacing w:after="0" w:line="207"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firstLine="464"/>
        <w:spacing w:after="0" w:line="256" w:lineRule="auto"/>
        <w:tabs>
          <w:tab w:leader="none" w:pos="695"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xml:space="preserve">.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applicable Award.</w:t>
      </w:r>
    </w:p>
    <w:p>
      <w:pPr>
        <w:spacing w:after="0" w:line="143" w:lineRule="exact"/>
        <w:rPr>
          <w:rFonts w:ascii="Arial" w:cs="Arial" w:eastAsia="Arial" w:hAnsi="Arial"/>
          <w:sz w:val="18"/>
          <w:szCs w:val="18"/>
          <w:color w:val="auto"/>
        </w:rPr>
      </w:pPr>
    </w:p>
    <w:p>
      <w:pPr>
        <w:ind w:right="340" w:firstLine="464"/>
        <w:spacing w:after="0" w:line="298" w:lineRule="auto"/>
        <w:tabs>
          <w:tab w:leader="none" w:pos="705"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05" w:name="page106"/>
    <w:bookmarkEnd w:id="105"/>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07" w:lineRule="exact"/>
        <w:rPr>
          <w:sz w:val="20"/>
          <w:szCs w:val="20"/>
          <w:color w:val="auto"/>
        </w:rPr>
      </w:pPr>
    </w:p>
    <w:p>
      <w:pPr>
        <w:ind w:firstLine="464"/>
        <w:spacing w:after="0" w:line="259"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the Plan has been approved by the Company’s stockholders (the “Effective Date”). No Awards shall be granted under the Plan after the completion of 10 years from the Effective Date, but Awards previously granted may extend beyond that date.</w:t>
      </w:r>
    </w:p>
    <w:p>
      <w:pPr>
        <w:spacing w:after="0" w:line="140" w:lineRule="exact"/>
        <w:rPr>
          <w:rFonts w:ascii="Arial" w:cs="Arial" w:eastAsia="Arial" w:hAnsi="Arial"/>
          <w:sz w:val="18"/>
          <w:szCs w:val="18"/>
          <w:color w:val="auto"/>
        </w:rPr>
      </w:pPr>
    </w:p>
    <w:p>
      <w:pPr>
        <w:ind w:right="20" w:firstLine="464"/>
        <w:spacing w:after="0" w:line="286" w:lineRule="auto"/>
        <w:tabs>
          <w:tab w:leader="none" w:pos="70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xml:space="preserve">. Except as set forth in Sections 5(g) and 6(f), the Board may amend, suspend or terminate the Plan or any portion thereof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required by Section 162(m), no Award granted to a Participant that is intended to comply with Section 162(m) after the date of such amendment shall become exercisable, realizable or vested, as applicable to such Award, unless and until such amendment shall have been approved by the Company’s stockholders if required by Section 162(m) (including the vote required under Section 162(m)); (ii) no amendment that would require stockholder approval under the rules of the New York Stock Exchange (“NYSE”) may be made effective unless and until such amendment shall have been approved by the Company’s stockholders; and (iii) if the NYSE amends its corporate governance rules so that such rules no longer require stockholder approval of “material revisions” to equity compensation plans, then, from and after the effective date of such amendment to the NYSE rules, no amendment to the Plan (A) materially increasing the number of shares authorized under the Plan (other than pursuant to Section 11), (B) expanding the types of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w:t>
      </w:r>
    </w:p>
    <w:p>
      <w:pPr>
        <w:spacing w:after="0" w:line="127"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80" w:firstLine="921"/>
        <w:spacing w:after="0" w:line="259" w:lineRule="auto"/>
        <w:tabs>
          <w:tab w:leader="none" w:pos="1162" w:val="left"/>
        </w:tabs>
        <w:numPr>
          <w:ilvl w:val="1"/>
          <w:numId w:val="91"/>
        </w:numPr>
        <w:rPr>
          <w:rFonts w:ascii="Arial" w:cs="Arial" w:eastAsia="Arial" w:hAnsi="Arial"/>
          <w:sz w:val="18"/>
          <w:szCs w:val="18"/>
          <w:color w:val="auto"/>
        </w:rPr>
      </w:pPr>
      <w:r>
        <w:rPr>
          <w:rFonts w:ascii="Arial" w:cs="Arial" w:eastAsia="Arial" w:hAnsi="Arial"/>
          <w:sz w:val="18"/>
          <w:szCs w:val="18"/>
          <w:color w:val="auto"/>
        </w:rPr>
        <w:t>It is the intent of the Company that any deferral of the receipt of the payment of cash or the delivery of shares of Common Stock that the Board may permit or require and Award that is granted that is subject to Section 409A of the Code (“Section 409A”) comply with the requirements of Section 409A; provided that no guaranty is made by the Company to Participants that Awards will so comply.</w:t>
      </w:r>
    </w:p>
    <w:p>
      <w:pPr>
        <w:spacing w:after="0" w:line="140" w:lineRule="exact"/>
        <w:rPr>
          <w:rFonts w:ascii="Arial" w:cs="Arial" w:eastAsia="Arial" w:hAnsi="Arial"/>
          <w:sz w:val="18"/>
          <w:szCs w:val="18"/>
          <w:color w:val="auto"/>
        </w:rPr>
      </w:pPr>
    </w:p>
    <w:p>
      <w:pPr>
        <w:ind w:right="100" w:firstLine="921"/>
        <w:spacing w:after="0" w:line="268" w:lineRule="auto"/>
        <w:tabs>
          <w:tab w:leader="none" w:pos="116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following provisions apply to each Award granted or outstanding under this Plan that are intended to comply with (and not be exempt from) Section 409A: (i) each delivery of shares or cash under each such Award shall be treated as a separate payment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of Section 409A; (ii) notwithstanding anything in the Award or in the Plan to the contrary, neither the Participant nor the Company may accelerate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defer the delivery of the cash or shares under the Award to a date other than those specified in the Award unless specifically permitted or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409A; (iii) if a Participant becomes a “specified employee” of the Company (within the meaning of Section 409A) and any of the shares or cash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delivered under each such Award may be delivered on account of the Participant’s “separation from service” (within the meaning of Section 409A), then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or cash that otherwise would have been delivered within the six month period following the separation from service shall be delivered on the date that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and one day following the separation from service, with any remaining delivery of shares or cash to be made in accordance with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 Notwithstanding Section 13(f)(2)(iii), if a Participant was granted an Award that is intended to comply with (and not be exempt from)</w:t>
      </w:r>
    </w:p>
    <w:p>
      <w:pPr>
        <w:spacing w:after="0" w:line="15"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color w:val="auto"/>
        </w:rPr>
        <w:t>Section 409A on or before December 10, 2009, and the Participant becomes a “specified employee” of the Company (within the meaning of Section 409A) and any of the shares or cash to be delivered under each such Award may be delivered on account of the Participant’s “separation from service” (within the meaning of Section 409A), then instead of Section 13(f)(2)(iii) applying, any shares or cash that otherwise would have been delivered within the six month period following the separation from service shall be delivered on the later of (i) the date that is six months and one day following the separation from service, or</w:t>
      </w:r>
    </w:p>
    <w:p>
      <w:pPr>
        <w:spacing w:after="0" w:line="2"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July 1, 2010, with any remaining delivery of shares or cash to be made in accordance with the terms of the Award.</w:t>
      </w:r>
    </w:p>
    <w:p>
      <w:pPr>
        <w:spacing w:after="0" w:line="164" w:lineRule="exact"/>
        <w:rPr>
          <w:rFonts w:ascii="Arial" w:cs="Arial" w:eastAsia="Arial" w:hAnsi="Arial"/>
          <w:sz w:val="18"/>
          <w:szCs w:val="18"/>
          <w:color w:val="auto"/>
        </w:rPr>
      </w:pPr>
    </w:p>
    <w:p>
      <w:pPr>
        <w:ind w:right="60" w:firstLine="464"/>
        <w:spacing w:after="0" w:line="259" w:lineRule="auto"/>
        <w:tabs>
          <w:tab w:leader="none" w:pos="705"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such state.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update: March 13,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07" w:name="page108"/>
    <w:bookmarkEnd w:id="107"/>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2006 STOCK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ISRAELI SUB-PLAN</w:t>
      </w:r>
    </w:p>
    <w:p>
      <w:pPr>
        <w:spacing w:after="0" w:line="205"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GENERAL</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1.1. This Israeli Sub-plan (the “SUB-PLAN”) to the Analog Devices, Inc. 2006 Stock Incentive Plan (the “PLAN”) shall apply only to Eligible Participants who are Employees, advisors or consultants of Analog Devices (Israel) Ltd. The provisions specified hereunder apply only to persons who are residents of the State of Israel or who are deemed to be residents of the State of Israel for tax purposes, or are otherwise subject to taxation in Israel with respect to Awards.</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1.2. This Sub-plan is effective with respect to Options and RSUs granted at least 30 days after the this Sub-plan and the Plan are duly submitted to the ITA in accordance with the provisions of Section 102. This Sub-plan shall comply with Amendment no. 132 of the Israeli Tax Ordinance and all rules, regulations and guidelines promulgated thereunder.</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1.3. The purpose of this Sub-Plan is to establish certain rules and limitations applicable to Awards that may be granted under the Plan from time to time, in compliance with Applicable Laws currently in force in the State of Israel. Specifically, this Sub-Plan is made in order to conform the Plan to Section 102, so as to enable the grant of Awards under the Plan to an Eligible Participant. For the avoidance of doubt, this Sub-plan does not add to or modify the Plan in any other respect if not specifically stated herein.</w:t>
      </w:r>
    </w:p>
    <w:p>
      <w:pPr>
        <w:spacing w:after="0" w:line="143"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1.4. The Plan and this Sub-Plan are complimentary to each other and shall be deemed as one. The Plan and this Sub-Plan shall be read together. In any case of contradiction, whether explicit or implied, between the provisions of this Sub-Plan and the Plan, the provisions of this Sub-Plan shall supersede and govern; provided, however, that this Sub-Plan shall not be construed to grant rights not consistent with the terms of the Plan, unless specifically set forth herein.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1.5. Any capitalized term not specifically defined in this Sub-plan shall be construed according to the interpretation given to it in the Plan.</w:t>
      </w:r>
    </w:p>
    <w:p>
      <w:pPr>
        <w:spacing w:after="0" w:line="293"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2.1. “3(i) AWARD” means an Award granted pursuant to Section 3(i) of the Ordinance to any person who is a Non-Employee.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2.2. “102 AWARD” means any Award granted to Employees pursuant to Section 102 of the Ordinance.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2.3. “102 CAPITAL GAINS TRACK GRANT” means a 102 Trustee Grant elected and designated by the Company to qualify under the capital gain tax treatment in accordance with the provisions of Section 102(b)(2) and 102(b)(3) of the Ordinance.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274" w:right="279" w:bottom="1440" w:gutter="0" w:footer="0" w:header="0"/>
        </w:sectPr>
      </w:pPr>
    </w:p>
    <w:bookmarkStart w:id="108" w:name="page109"/>
    <w:bookmarkEnd w:id="10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 “102 ORDINARY INCOME TRACK GRANT” means a 102 Trustee Grant elected and designated by the Company to qualify under the ordinary income tax treatment in accordance with the provisions of Section 102(b)(1) of the Ordinance.</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2.5. “102 TRUSTEE GRANT” means an Award granted pursuant to Section 102(b) of the Ordinance (includes both 102 Capital Gains Track Grants and 102 Ordinary Income Track Grants) held in trust by a Trustee for the benefit of the Employee.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2.6. “AFFILIATE” means any “employing company” within the meaning of Section 102(a) of the Ordinance.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2.7. “AWARD” solely for purposes of this Sub-Plan, means an Option or RSU granted pursuant to the terms and conditions of the Plan and this Sub-Plan.</w:t>
      </w:r>
    </w:p>
    <w:p>
      <w:pPr>
        <w:spacing w:after="0" w:line="19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2.8. “AWARD AGREEMENT” means the stock option agreement between the Company and an optionee that sets out the terms and conditions of an Option and/or the RSU award agreement between the Company and an Employee that sets out the terms and conditions of an RSU.</w:t>
      </w:r>
    </w:p>
    <w:p>
      <w:pPr>
        <w:spacing w:after="0" w:line="85" w:lineRule="exact"/>
        <w:rPr>
          <w:sz w:val="20"/>
          <w:szCs w:val="20"/>
          <w:color w:val="auto"/>
        </w:rPr>
      </w:pPr>
    </w:p>
    <w:p>
      <w:pPr>
        <w:ind w:right="20" w:firstLine="8"/>
        <w:spacing w:after="0" w:line="294" w:lineRule="auto"/>
        <w:tabs>
          <w:tab w:leader="none" w:pos="176" w:val="left"/>
        </w:tabs>
        <w:numPr>
          <w:ilvl w:val="0"/>
          <w:numId w:val="95"/>
        </w:numPr>
        <w:rPr>
          <w:rFonts w:ascii="Arial" w:cs="Arial" w:eastAsia="Arial" w:hAnsi="Arial"/>
          <w:sz w:val="16"/>
          <w:szCs w:val="16"/>
          <w:color w:val="auto"/>
        </w:rPr>
      </w:pPr>
      <w:r>
        <w:rPr>
          <w:rFonts w:ascii="Arial" w:cs="Arial" w:eastAsia="Arial" w:hAnsi="Arial"/>
          <w:sz w:val="16"/>
          <w:szCs w:val="16"/>
          <w:color w:val="auto"/>
        </w:rPr>
        <w:t>9. “CONTROLLING SHAREHOLDER” shall have the meaning ascribed to it in Section 32(9) of the Ordinance, as may be amended from time to time, but which is, as of the date of this Sub-Plan, as follows: an employee who prior to the grant of any Award or as a result of such grant, holds or would hold, directly or indirectly, in his name or with a relative (as defined in section 76(d) of the ITO) (i) at least 10% of the outstanding shares of the Company; (ii) at least 10% of the voting power of the Company; (iii) the right to hold or purchase at least 10% of the outstanding equity or voting power of the Company; (iv) the right to obtain at least 10% of the profit of the Company; or (v) the right to appoint a director of the Company.</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2.10. “EMPLOYEE” means a person who is employed by the Company or its Affiliates, including an individual who is serving as a director or an office holder, but excluding any employee who is deemed to be a Controlling Shareholder before a grant or immediately thereafter.</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2.11. “ISRAELI FAIR MARKET VALUE” means, with respect to 102 Capital Gains Track Grants only, for the sole purpose of determining tax liability pursuant to Section 102(b)(3) of the Ordinance, if on grant date the Company’s Common Stock is listed on any established stock exchange or a national market system or if the Company’s Common Stock will be registered for trading within ninety (90) days following the grant date, the fair market value of the Common Stock at the grant date shall be determined in accordance with the average value of the Company’s Common Stock on the thirty (30) trading days preceding the grant date or on the thirty (30) trading days following the date of registration for trading, as the case may be.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2.12. “ITA” means the Israeli Tax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2.13. “NON-EMPLOYEE” means a consultant, adviser, service provider, Controlling Shareholder or any other person who is not an Employee.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2.14. “NON-TRUSTEE GRANT” means an Award granted pursuant to Section 102(c) of the Ordinance and not held in trust by a Trustee.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2.15. “OPTION” means an option to purchase Common Stock of the Company pursuant to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2.16. “ORDINANCE” means the 1961 Israeli Income Tax Ordinance [New Version] 1961 as now in effect or as hereafter amended.</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2.17. “SECTION 102” means section 102 of the Ordinance and any regulations, rules, orders or procedures promulgated there under as now in effect or as hereafter amended.</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2.18. “TRUSTEE” means any individual or entity appointed by the Company to serve as a trustee and approved by the ITA, all in accordance with the provisions of Section 102(a) of the Ordinance.</w:t>
      </w:r>
    </w:p>
    <w:p>
      <w:pPr>
        <w:spacing w:after="0" w:line="254"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ISSUANCE OF AWARDS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3.1. The persons eligible for participation in the Plan shall include any Employees and/or Non-Employees of the Company or of any Affiliate; provided, however, that (i) Employees may only be granted 102 Awards; and (ii) Non-Employees and/or Controlling Shareholders may only be granted 3(i) Awards (Employees and Non-Employees together, “ELIGIBLE PARTICIPANTS”).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3.2. The Company may designate Awards granted to Employees pursuant to Section 102 as 102 Trustee Grants or Non-Trustee Grants.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3.3. 102 Trustee Grants shall be made under this Sub-plan adopted by the Board, and shall be conditioned upon the filing of this Sub-plan with the ITA and the provisions of Section 102.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3.4. 102 Trustee Grants may either be classified as 102 Capital Gain Track Grants or 102 Ordinary Income Track Grants.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3.5. No 102 Trustee Grants may be made under this Sub-plan to any Eligible Participant, unless and until the Company’s election of the type of 102 Trustee Grants as 102 Capital Gains Track Grants or 102 Ordinary Income Track Grants (the “ELECTION”), is appropriately filed with the ITA. Such Election shall become effective on the first grant date of a 102 Trustee Grant under this Sub-plan and shall remain in effect until the end of the year following the year during which the Company first made 102 Trustee Grants. Once the Company has filed such an Election, it may change the type of 102 Trustee Grant that it chooses to make only after the lapse of at least 12 months from the end of the calendar year in which the first grant was made in accordance with the previous Election, and in accordance with Section 102 of the Ordinance. The Election shall obligate the Company to grant only the type of 102 Trustee Grants it has elected, and shall apply to all 102 Trustee Grants during the period indicated herein, all in accordance with the provisions of Section 102(g) of the Ordinance. For the avoidance of doubt, such Election shall not prevent the Company from granting Non-Trustee Grants simultaneously.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3.6. All 102 Trustee Grants must be held in trust by a Trustee, as described in section 4 below.</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sectPr>
      </w:pPr>
    </w:p>
    <w:bookmarkStart w:id="110" w:name="page111"/>
    <w:bookmarkEnd w:id="110"/>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 In the case the requirements for 102 Trustee Grants are not met, then the 102 Trustee Grants shall be regarded as Non-Trustee Grants, all in accordance with the provisions of Section 102.</w:t>
      </w:r>
    </w:p>
    <w:p>
      <w:pPr>
        <w:spacing w:after="0" w:line="132"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3.8. For the avoidance of doubt, the designation of 102 Trustee Grants and Non-Trustee Grants shall be subject to the terms and conditions set forth in Section 102.</w:t>
      </w:r>
    </w:p>
    <w:p>
      <w:pPr>
        <w:spacing w:after="0" w:line="254"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TRUSTEE</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4.1. 102 Trustee Grants under this Sub-plan and/or any Common Stock allocated or issued upon exercise or vesting of such 102 Trustee Grants and/or other Common Stock received subsequently following any realization of rights, including bonus shares, shall be allocated or issued to the Trustee and held for the benefit of the Employee for such period of time as required by Section 102 (the “HOLDING PERIOD”), unless the ITA approves otherwise in writing. If such an Award is exercised or vests after the Holding Period ends, the Common Stock issued upon such exercise or vesting shall, at the election of the Eligible Participant, either (i) be issued in the name of the Trustee; or (ii) be transferred to the Eligible Participant directly, provided that the Eligible Participant first complies with all applicable provisions of the Plan and this Sub-plan including but not limited to payment of tax.</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4.2. After termination of the Holding Period, the Trustee may release the Award and any Common Stock issued with respect to the Award, provided that (i) the Trustee has received an acknowledgement from the ITA that the Employee has paid any applicable tax due pursuant to the Ordinance or (ii) the Trustee and/or the Company or the Affiliate withholds any applicable tax due pursuant to the Ordinance. Notwithstanding anything to the contrary, the Trustee shall not release any Common Stock allocated or issued upon exercise or vesting of 102 Trustee Grants prior to the full payment of the Employee’s tax liabilities arising from 102 Trustee Grants and/or any Common Stock allocated or issued upon exercise or vesting of such Awards.</w:t>
      </w:r>
    </w:p>
    <w:p>
      <w:pPr>
        <w:spacing w:after="0" w:line="1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4.3. Upon receipt of 102 Trustee Grants, the Eligible Participant will sign an undertaking to release the Trustee from any liability in respect of any action or decision duly taken and bona fide executed in relation with this Sub-plan, or any 102 Trustee Grant or Common Stock granted to him thereunder.</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4.4. With respect to any 102 Trustee Grant, subject to the provisions of Section 102, an Eligible Participant shall not sell or release from trust any Common Stock received upon the exercise or vesting of a 102 Trustee Grant and/or any Common Stock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Eligible Participant.</w:t>
      </w:r>
    </w:p>
    <w:p>
      <w:pPr>
        <w:spacing w:after="0" w:line="1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4.5 With respect to 102 Capital Gain Track Grants, to the extent that the Common Stock is listed on any established stock exchange or a national market system, the provisions of Section 102(b)(3) of the Ordinance will apply with respect to the Israeli tax rate applicable to such Awards (including Options with an exercise price that is lower than the Israeli Fair Market Value of the Common Stock on the grant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80" w:right="279" w:bottom="1440" w:gutter="0" w:footer="0" w:header="0"/>
        </w:sectPr>
      </w:pPr>
    </w:p>
    <w:bookmarkStart w:id="111" w:name="page112"/>
    <w:bookmarkEnd w:id="111"/>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 To avoid doubt, and not withstanding any discretion or provision in the Plan to the contrary: (a) no Award granted as a 102 Trustee Grant may be settled for cash payment or any other form of consideration, unless and to the extent permitted under Section 102 or as expressly authorized by the ITA; (b) no Option qualifying as a 102 Trustee Grant shall be exercisable by the surrender of Common Stock, notwithstanding Section 5(f) of the Plan, and (c) RSUs granted pursuant to the Plan shall only be settled in Common Stock, notwithstanding Section 8(b) of the Plan.</w:t>
      </w:r>
    </w:p>
    <w:p>
      <w:pPr>
        <w:spacing w:after="0" w:line="11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4.7 In the event a stock dividend is declared and/or additional rights are granted with respect to Common Stock which derives from Awards granted as 102 Trustee Grants, such stock dividend and/or rights shall also be deposited with the Trustee and will be subject to the provisions of this section 4, and the Holding Period for such Common Stock and/or rights shall be measured from the commencement of the Holding Period for the Award with respect to which the stock dividend was declared and/or rights granted. In the event of a cash dividend on Common Stock, the Trustee shall transfer the dividend proceeds to the Eligible Participant after the deduction of taxes and mandatory payments in compliance with applicable withholding requirements, and subject to any other requirements imposed by the ITA.</w:t>
      </w:r>
    </w:p>
    <w:p>
      <w:pPr>
        <w:spacing w:after="0" w:line="266"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AWARDS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5.1. The terms and conditions upon which the Awards shall be issued, exercised, and vest shall be as specified in the Award Agreement to be executed pursuant to the Plan and to this Sub-plan. Each Award Agreement shall state, inter alia, the number of Common Stock to which the Award relates, the vesting provisions, and for Options, the exercise price. The Award Agreement shall also indicate whether the grant is a 102 Trustee Grant, a Non-Trustee Grant, or a 3(i) Award; and if the grant is a 102 Trustee Grant, whether it is a 102 Capital Gains Track Grant or a 102 Ordinary Income Track Grant.</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5.2 Each 102 Trustee Grant will be deemed granted on the date stated in the Award Agreement, provided that (i) the Company will provide notice to the Trustee of the Award; and (ii) the Eligible Participant will sign all documents required.</w:t>
      </w:r>
    </w:p>
    <w:p>
      <w:pPr>
        <w:spacing w:after="0" w:line="254"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EXERCISE OF OPTIONS</w:t>
      </w:r>
    </w:p>
    <w:p>
      <w:pPr>
        <w:spacing w:after="0" w:line="9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6.1. Options shall be exercised by the optionee by giving notice to the Company and/or to any third party designated by the Company (the “REPRESENTATIVE”),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Common Stock with respect to which the option is being exercised, at the Company’s or the Representative’s principal office. The notice shall specify the number of Common Stock with respect to which the option is being exercised.</w:t>
      </w:r>
    </w:p>
    <w:p>
      <w:pPr>
        <w:spacing w:after="0" w:line="237"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ASSIGNABILITY AND SALE OF AWARDS</w:t>
      </w:r>
    </w:p>
    <w:p>
      <w:pPr>
        <w:spacing w:after="0" w:line="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7.1. Notwithstanding any other provision of the Plan, no Award or any right with respect thereto, purchasable hereunder, whether fully paid or not, shall be assignable, transferable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80" w:right="279" w:bottom="1440" w:gutter="0" w:footer="0" w:header="0"/>
        </w:sectPr>
      </w:pPr>
    </w:p>
    <w:bookmarkStart w:id="112" w:name="page113"/>
    <w:bookmarkEnd w:id="112"/>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as collateral or any right with respect to them given to any third party whatsoever, and during the lifetime of the Eligible Participant each and all of such rights to purchase or recieve Common Stock hereunder shall be exercisable only by the Eligible Participant or shall vest only to the Eligible Participant.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Any such action made directly or indirectly, for an immediate validation or for a future one, shall be void.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8.2. As long as Awards or Common Stock purchased or acquired pursuant thereto are held by the Trustee on behalf of the Eligible Participant, all rights of the Eligible Participant over the Common Stock are personal, and cannot be transferred, assigned, pledged or mortgaged, by the Eligible Participant or by the Trustee, other than by will or laws of descent and distribution.</w:t>
      </w:r>
    </w:p>
    <w:p>
      <w:pPr>
        <w:spacing w:after="0" w:line="262"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INTEGRATION OF SECTION 102</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9.1. With regard to 102 Trustee Grants, the provisions of the Plan, this Sub-plan and/or the Award Agreement shall be subject to the provisions of Section 102 and the any written confirmation issued by the ITA with respect to this Plan and/or the Sub-plan (the “WRITTEN APPROVAL”), and the said provisions of any Written Approval shall be deemed an integral part of the Plan, the Sub-plan, and the Award Agreement.</w:t>
      </w:r>
    </w:p>
    <w:p>
      <w:pPr>
        <w:spacing w:after="0" w:line="140"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9.2. Any provision of Section 102 and/or any Written Approval which are necessary in order to receive and/or to maintain any tax benefit pursuant to Section 102, which is not expressly specified in the Plan or the Sub-plan or the Award Agreement, shall be considered binding upon the Company and the Eligible Participants.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9.3 The Eligible Participant agrees to execute any and all documents that the Company, the Affiliates, or the Trustee may reasonably determine to be necessary in order to comply with the provision of any applicable law, and particularly Section 102.</w:t>
      </w:r>
    </w:p>
    <w:p>
      <w:pPr>
        <w:spacing w:after="0" w:line="25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90" w:lineRule="exact"/>
        <w:rPr>
          <w:sz w:val="20"/>
          <w:szCs w:val="20"/>
          <w:color w:val="auto"/>
        </w:rPr>
      </w:pPr>
    </w:p>
    <w:p>
      <w:pPr>
        <w:jc w:val="both"/>
        <w:ind w:right="100"/>
        <w:spacing w:after="0" w:line="302" w:lineRule="auto"/>
        <w:rPr>
          <w:sz w:val="20"/>
          <w:szCs w:val="20"/>
          <w:color w:val="auto"/>
        </w:rPr>
      </w:pPr>
      <w:r>
        <w:rPr>
          <w:rFonts w:ascii="Arial" w:cs="Arial" w:eastAsia="Arial" w:hAnsi="Arial"/>
          <w:sz w:val="15"/>
          <w:szCs w:val="15"/>
          <w:color w:val="auto"/>
        </w:rPr>
        <w:t>10.1. Any tax consequences arising from the grant, exercise, or vesting of any Award, from the payment for Common Stock covered thereby or from any other event or act (of the Company, and/or its Affiliates, and the Trustee or the Eligible Participant), hereunder, shall be borne solely by the Eligible Participant. The Company and/or its Affiliates, and/or the Trustee shall withhold taxes according to the requirements under the applicable laws, rules, and regulations, including withholding taxes at source, any may make any provisions and take such steps as they may deem necessary or appropriate to meet the withholding requirements, including, but not limited to: (i) withholding from the Eligible Participant’s wages or other cash compensation paid to the Eligible Participant by the Company or the Affiliates; (ii) withholding otherwise deliverable Common Stock having a value equal to the minimum amount statutorily required to be withheld; or</w:t>
      </w:r>
    </w:p>
    <w:p>
      <w:pPr>
        <w:spacing w:after="0" w:line="1" w:lineRule="exact"/>
        <w:rPr>
          <w:sz w:val="20"/>
          <w:szCs w:val="20"/>
          <w:color w:val="auto"/>
        </w:rPr>
      </w:pPr>
    </w:p>
    <w:p>
      <w:pPr>
        <w:jc w:val="both"/>
        <w:ind w:right="200" w:firstLine="8"/>
        <w:spacing w:after="0" w:line="254" w:lineRule="auto"/>
        <w:tabs>
          <w:tab w:leader="none" w:pos="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selling a sufficient number of such Common Stock otherwise deliverable to the Eligible Participant through such means as the Trustee may determine in its sole discretion (whether through a broker or otherwise) equal to the amount required to be withheld either through a voluntary sale or through a mandatory sale arranged by the Company (on the Eligible Participant’s behalf pursuant to the Eligible Participant’s authorization), to the extent permitted by law or pursuant to the approval of the ITA. In addition, the Eligible Participant will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113" w:name="page114"/>
    <w:bookmarkEnd w:id="11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pay any amount, including penalties, that exceeds the tax to be withheld and transferred to the ITA, pursuant to applicable law, regulation and rules. Furthermore, the Eligible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Eligible Participant. The Company, the Affiliate and/or the Trustee shall not be required to release any Awards and or Common Stock to an Eligible Participant until all required taxes have been withheld.</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10.2. The Company and/or, when applicable, the Trustee shall not be required to release any share certificate to an Eligible Participant until all required payments have been fully made.</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10.3 For avoidance of doubt, there is no assurance that all of the Awards granted pursuant to Section 102 of the Ordinance shall be eligible for the tax benefits afforded by Section 102 of the Ordinance.</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10.4 Following the grant of Awards under this Sub-plan and in any case in with the Eligible Participant shall cease to be considered an “Israeli Resident” as this term is defined in the Ordinance, the Company, an Affiliate, and/or the Trustee may, if and to the extent the Ordinance and/or Rules promulgated thereunder shall impose an obligation on them, withhold all applicable taxes from the Eligible Participant, remit the amount withheld to the ITA, and report to such Eligible Participant the amount so withheld and paid.</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10.5 With respect to Non-Trustee Grants, if the Eligible Participant ceases to be employed by the Company, or otherwise if so requested by the Company or the Affiliate, the Eligible Participant shall extend to the Company or to the Affiliate a security or guarantee for the payment of tax due at the time of sale of Common Stock to the satisfaction of the Company or the Affiliate, all in accordance with the provisions of Section 102 of the Ordinance and the Rules.</w:t>
      </w:r>
    </w:p>
    <w:p>
      <w:pPr>
        <w:spacing w:after="0" w:line="228"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11.1 Notwithstanding any other provision of the Plan, with respect to Eligible Participants subject to this Sub-plan, the Plan and all instruments issued there under or in connection therewith shall be governed by, and interpreted in accordance with, the laws of the State of Israel applicable to contracts made and to be performed therein.</w:t>
      </w:r>
    </w:p>
    <w:p>
      <w:pPr>
        <w:spacing w:after="0" w:line="14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280" w:right="27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RULES OF THE ANALOG DEVICES,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2006 STOCK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 PARTICIPANTS IN FRANCE</w:t>
      </w:r>
    </w:p>
    <w:p>
      <w:pPr>
        <w:spacing w:after="0" w:line="19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p>
    <w:p>
      <w:pPr>
        <w:spacing w:after="0" w:line="9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of Directors of Analog Devices, Inc. (the “Company”) has established the 2006 Stock Incentive Plan (the “U.S. Plan”) for the benefit of certain employees of the Company and its Subsidiaries, including its Subsidiaries in France (the “French Subsidiaries”) of which the Company holds directly or indirectly at least 10% of the share capital.</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Sections 3 and 13 (e) of the U.S. Plan authorize the Board of Directors and a Committee as appointed by the Board of Directors (the “Committee”) to establish, amend, and rescind any rules and regulations relating to the U.S. Plan and to make all other determinations that may be necessary or advisable for the administration of the U.S. Plan. Pursuant to the foregoing authority, the Committee, therefore, intends to establish a sub-plan of the U.S. Plan for the purpose of granting stock options which qualify for the favorable tax and social security treatment in France applicable to options granted under the Sections L. 225-177 to L. 225-186-1 of the French Commercial Code, as amended (“French-qualified Options”), and restricted stock units which qualify for the favorable tax and social security treatment in France applicable to shares granted for no consideration under Sections L. 225-197-1 to L. 225-197-6 of the French Commercial Code, as amended (“French-qualified Restricted Stock Units”), to qualifying participants in France who are resident in France for French tax purposes and/or subject to the French social security regime (“French Participants”).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terms of the U.S. Plan as attached hereto, shall, subject to the limitations set forth in the following rules, constitute the Rules of the Analog Devices, Inc. 2006 Stock Incentive Plan for Participants in France (the “French Plan”).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French Plan, the French Participants will be granted only French-qualified Options and French-qualified Restricted Stock Units as defined below under Section I.2.</w:t>
      </w:r>
    </w:p>
    <w:p>
      <w:pPr>
        <w:spacing w:after="0" w:line="248"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Capitalized terms not otherwise defined herein shall have the same meanings as set forth in the U.S. Plan. The terms set forth below shall have the following meanings:</w:t>
      </w:r>
    </w:p>
    <w:p>
      <w:pPr>
        <w:spacing w:after="0" w:line="132" w:lineRule="exact"/>
        <w:rPr>
          <w:sz w:val="20"/>
          <w:szCs w:val="20"/>
          <w:color w:val="auto"/>
        </w:rPr>
      </w:pPr>
    </w:p>
    <w:p>
      <w:pPr>
        <w:ind w:right="40" w:firstLine="464"/>
        <w:spacing w:after="0" w:line="268"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term “Closed Period” shall mean the specific periods as set forth in Section L. 225-177 of the French Commercial Code, as amended, during which French-qualified Options cannot be granted as described in Section II.1 below, including:</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twenty (20) trading days following the issuance of a coupon granting the right to receive dividends or to purchase Shares of the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115" w:name="page116"/>
    <w:bookmarkEnd w:id="115"/>
    <w:p>
      <w:pPr>
        <w:ind w:left="1480" w:right="60" w:hanging="567"/>
        <w:spacing w:after="0" w:line="268"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 (10) quotation days preceding and following the disclosure to the public of the consolidated financial statements or the annual statements of the Company; or</w:t>
      </w:r>
    </w:p>
    <w:p>
      <w:pPr>
        <w:spacing w:after="0" w:line="50" w:lineRule="exact"/>
        <w:rPr>
          <w:rFonts w:ascii="Arial" w:cs="Arial" w:eastAsia="Arial" w:hAnsi="Arial"/>
          <w:sz w:val="18"/>
          <w:szCs w:val="18"/>
          <w:color w:val="auto"/>
        </w:rPr>
      </w:pPr>
    </w:p>
    <w:p>
      <w:pPr>
        <w:ind w:left="1480" w:right="20" w:hanging="567"/>
        <w:spacing w:after="0" w:line="306" w:lineRule="auto"/>
        <w:tabs>
          <w:tab w:leader="none" w:pos="14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period during which the corporate management of the Company (</w:t>
      </w:r>
      <w:r>
        <w:rPr>
          <w:rFonts w:ascii="Arial" w:cs="Arial" w:eastAsia="Arial" w:hAnsi="Arial"/>
          <w:sz w:val="16"/>
          <w:szCs w:val="16"/>
          <w:i w:val="1"/>
          <w:iCs w:val="1"/>
          <w:color w:val="auto"/>
        </w:rPr>
        <w:t>i.e.</w:t>
      </w:r>
      <w:r>
        <w:rPr>
          <w:rFonts w:ascii="Arial" w:cs="Arial" w:eastAsia="Arial" w:hAnsi="Arial"/>
          <w:sz w:val="16"/>
          <w:szCs w:val="16"/>
          <w:color w:val="auto"/>
        </w:rPr>
        <w:t>, those involved in the governance of the Company, such as the Board, Committee, supervisory directorate, etc.) possess confidential information which could, if disclosed to the public, significantly impact the trading price of the Shares, until ten (10) quotation days after the day such information is disclosed to the public.</w:t>
      </w:r>
    </w:p>
    <w:p>
      <w:pPr>
        <w:spacing w:after="0" w:line="10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term “Closed Period” shall mean the periods set out in (i) and (ii) only for the sale or transfer of Shares acquired at vesting of the French-qualified Restricted Stock Units as described in Section III.1(b) below. If French law or regulations are amended after adoption of the French Plan to modify the definition and/or applicability of the Closed Periods to French-qualified Options and/or French-qualified Restricted Stock Units, such amendments shall become applicable to any French-qualified Options and French-qualified Restricted Stock Units granted under this French Plan, to the extent permitted or required under French law.</w:t>
      </w:r>
    </w:p>
    <w:p>
      <w:pPr>
        <w:spacing w:after="0" w:line="9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French-qualified Options only, if the Company grants options on a date during an applicable Closed Period, the Grant Date for French Participants shall be the first date following the expiration of the Closed Period, provided such date is not prohibited under the U.S. Plan rules.</w:t>
      </w:r>
    </w:p>
    <w:p>
      <w:pPr>
        <w:spacing w:after="0" w:line="132" w:lineRule="exact"/>
        <w:rPr>
          <w:sz w:val="20"/>
          <w:szCs w:val="20"/>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 “Exercise Price” shall be the price to purchase each Share.</w:t>
      </w:r>
    </w:p>
    <w:p>
      <w:pPr>
        <w:spacing w:after="0" w:line="171" w:lineRule="exact"/>
        <w:rPr>
          <w:rFonts w:ascii="Arial" w:cs="Arial" w:eastAsia="Arial" w:hAnsi="Arial"/>
          <w:sz w:val="18"/>
          <w:szCs w:val="18"/>
          <w:color w:val="auto"/>
        </w:rPr>
      </w:pPr>
    </w:p>
    <w:p>
      <w:pPr>
        <w:ind w:right="160" w:firstLine="464"/>
        <w:spacing w:after="0" w:line="256"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 “Disability” shall mean a disability as determined in categories 2 and 3 under Section L. 341-4 of the French Social Security Code, as amended, and subject to the fulfillment of related conditions and the applicable Award Agreement. To the extent a French Participant’s disability meets the requirements as defined in the applicable Award Agreement and not the requirements of Disability set forth herein, the French Participant may not be entitled to the favorable tax and social security treatment under the French Plan.</w:t>
      </w:r>
    </w:p>
    <w:p>
      <w:pPr>
        <w:spacing w:after="0" w:line="143"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 “Forced Retirement” shall mean forced retirement as determined under Section L. 1237-5 of the French Labor Code, as amended, and subject to the fulfillment of related conditions.</w:t>
      </w:r>
    </w:p>
    <w:p>
      <w:pPr>
        <w:spacing w:after="0" w:line="131" w:lineRule="exact"/>
        <w:rPr>
          <w:rFonts w:ascii="Arial" w:cs="Arial" w:eastAsia="Arial" w:hAnsi="Arial"/>
          <w:sz w:val="18"/>
          <w:szCs w:val="18"/>
          <w:color w:val="auto"/>
        </w:rPr>
      </w:pPr>
    </w:p>
    <w:p>
      <w:pPr>
        <w:ind w:right="120" w:firstLine="464"/>
        <w:spacing w:after="0" w:line="255"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 “Grant Date” shall mean the date on which the Committee both (i) designates the French Participants, and (ii) specifies the terms and conditions of the French-qualified Options or French-qualified Restricted Stock Units, such as the number of Shares subject to the French-qualified Options or French-qualified Restricted Stock Units, the conditions for vesting of the French-qualified Options or French-qualified Restricted Stock Units, the conditions for exercising the French-qualified Options and any restrictions on the sale of Shares subject to the French-qualified Options or French-qualified Restricted Stock Units.</w:t>
      </w:r>
    </w:p>
    <w:p>
      <w:pPr>
        <w:spacing w:after="0" w:line="142" w:lineRule="exact"/>
        <w:rPr>
          <w:rFonts w:ascii="Arial" w:cs="Arial" w:eastAsia="Arial" w:hAnsi="Arial"/>
          <w:sz w:val="18"/>
          <w:szCs w:val="18"/>
          <w:color w:val="auto"/>
        </w:rPr>
      </w:pPr>
    </w:p>
    <w:p>
      <w:pPr>
        <w:ind w:left="680" w:hanging="216"/>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 “Options” shall, in addition to the meaning set forth in the U.S. Plan under Section 5(a), include the following:</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purchase options, which are rights to acquire Shares repurchased by the Company prior to the date on which the Options become exercisable;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116" w:name="page117"/>
    <w:bookmarkEnd w:id="116"/>
    <w:p>
      <w:pPr>
        <w:ind w:left="1180" w:hanging="259"/>
        <w:spacing w:after="0"/>
        <w:tabs>
          <w:tab w:leader="none" w:pos="11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options, which are rights to subscribe newly-issued Shares.</w:t>
      </w:r>
    </w:p>
    <w:p>
      <w:pPr>
        <w:spacing w:after="0" w:line="171" w:lineRule="exact"/>
        <w:rPr>
          <w:rFonts w:ascii="Arial" w:cs="Arial" w:eastAsia="Arial" w:hAnsi="Arial"/>
          <w:sz w:val="18"/>
          <w:szCs w:val="18"/>
          <w:color w:val="auto"/>
        </w:rPr>
      </w:pPr>
    </w:p>
    <w:p>
      <w:pPr>
        <w:ind w:right="280" w:firstLine="464"/>
        <w:spacing w:after="0" w:line="256" w:lineRule="auto"/>
        <w:tabs>
          <w:tab w:leader="none" w:pos="7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term “Restricted Stock Unit” shall mean, in addition to the meaning set forth under Section 8(a) in the U.S. Plan, a promise by the Company to issue to the French Participant, at a future date, at no cash consideration, a Share for each unit granted to a French Participant, provided that any conditions established by the Committee for the vesting restrictions with respect to such unit have been satisfied and for which any dividend and voting rights attach only upon the issuance of Shares.</w:t>
      </w:r>
    </w:p>
    <w:p>
      <w:pPr>
        <w:spacing w:after="0" w:line="143" w:lineRule="exact"/>
        <w:rPr>
          <w:rFonts w:ascii="Arial" w:cs="Arial" w:eastAsia="Arial" w:hAnsi="Arial"/>
          <w:sz w:val="18"/>
          <w:szCs w:val="18"/>
          <w:color w:val="auto"/>
        </w:rPr>
      </w:pPr>
    </w:p>
    <w:p>
      <w:pPr>
        <w:ind w:right="560" w:firstLine="464"/>
        <w:spacing w:after="0" w:line="332" w:lineRule="auto"/>
        <w:tabs>
          <w:tab w:leader="none" w:pos="70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term “Vesting Date” shall mean the relevant date on which Restricted Stock Units are vested, as specified by the Committee, and the French Participants are entitled to receive the Shares underlying the Restricted Stock Units for no cash consideration.</w:t>
      </w:r>
    </w:p>
    <w:p>
      <w:pPr>
        <w:spacing w:after="0" w:line="200" w:lineRule="exact"/>
        <w:rPr>
          <w:rFonts w:ascii="Arial" w:cs="Arial" w:eastAsia="Arial" w:hAnsi="Arial"/>
          <w:sz w:val="16"/>
          <w:szCs w:val="16"/>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Notwithstanding any other term of this French Plan, French-qualified Options and French-Qualified Restricted Stock Units may be granted only to</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employees or corporate directors of the French Subsidiaries who hold less than ten percent (10%) of the outstanding Shares of the Company and who otherwise satisfy the eligibility conditions of Section 2 of the U.S. Plan.</w:t>
      </w:r>
    </w:p>
    <w:p>
      <w:pPr>
        <w:spacing w:after="0" w:line="13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Subject to the paragraph below, any French Participant who, on the Grant Date of the Option and/or Restricted Stock Unit, and to the extent required under French law, is employed under the terms and conditions of an employment contract (“</w:t>
      </w:r>
      <w:r>
        <w:rPr>
          <w:rFonts w:ascii="Arial" w:cs="Arial" w:eastAsia="Arial" w:hAnsi="Arial"/>
          <w:sz w:val="16"/>
          <w:szCs w:val="16"/>
          <w:i w:val="1"/>
          <w:iCs w:val="1"/>
          <w:color w:val="auto"/>
        </w:rPr>
        <w:t>contrat de travail</w:t>
      </w:r>
      <w:r>
        <w:rPr>
          <w:rFonts w:ascii="Arial" w:cs="Arial" w:eastAsia="Arial" w:hAnsi="Arial"/>
          <w:sz w:val="16"/>
          <w:szCs w:val="16"/>
          <w:color w:val="auto"/>
        </w:rPr>
        <w:t>”) by a French Subsidiary or who is a corporate officer of a French Subsidiary shall be eligible to receive, at the discretion of the Committee, French-qualified Options and/or French-qualified Restricted Stock Units under this French Plan, provided he or she also satisfies the eligibility conditions of Section 2 of the U.S. Plan.</w:t>
      </w:r>
    </w:p>
    <w:p>
      <w:pPr>
        <w:spacing w:after="0" w:line="11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French-qualified Options and French-qualified Restricted Stock Units may not be issued to corporate executives of French Subsidiaries, other than the managing directors (</w:t>
      </w:r>
      <w:r>
        <w:rPr>
          <w:rFonts w:ascii="Arial" w:cs="Arial" w:eastAsia="Arial" w:hAnsi="Arial"/>
          <w:sz w:val="16"/>
          <w:szCs w:val="16"/>
          <w:i w:val="1"/>
          <w:iCs w:val="1"/>
          <w:color w:val="auto"/>
        </w:rPr>
        <w:t>Président du Conseil d’Administration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Directeur Général</w:t>
      </w:r>
      <w:r>
        <w:rPr>
          <w:rFonts w:ascii="Arial" w:cs="Arial" w:eastAsia="Arial" w:hAnsi="Arial"/>
          <w:sz w:val="16"/>
          <w:szCs w:val="16"/>
          <w:color w:val="auto"/>
        </w:rPr>
        <w:t xml:space="preserve">, </w:t>
      </w:r>
      <w:r>
        <w:rPr>
          <w:rFonts w:ascii="Arial" w:cs="Arial" w:eastAsia="Arial" w:hAnsi="Arial"/>
          <w:sz w:val="16"/>
          <w:szCs w:val="16"/>
          <w:i w:val="1"/>
          <w:iCs w:val="1"/>
          <w:color w:val="auto"/>
        </w:rPr>
        <w:t>Directeur Général Délégué</w:t>
      </w:r>
      <w:r>
        <w:rPr>
          <w:rFonts w:ascii="Arial" w:cs="Arial" w:eastAsia="Arial" w:hAnsi="Arial"/>
          <w:sz w:val="16"/>
          <w:szCs w:val="16"/>
          <w:color w:val="auto"/>
        </w:rPr>
        <w:t xml:space="preserve">, </w:t>
      </w:r>
      <w:r>
        <w:rPr>
          <w:rFonts w:ascii="Arial" w:cs="Arial" w:eastAsia="Arial" w:hAnsi="Arial"/>
          <w:sz w:val="16"/>
          <w:szCs w:val="16"/>
          <w:i w:val="1"/>
          <w:iCs w:val="1"/>
          <w:color w:val="auto"/>
        </w:rPr>
        <w:t>Membre du Directoire</w:t>
      </w:r>
      <w:r>
        <w:rPr>
          <w:rFonts w:ascii="Arial" w:cs="Arial" w:eastAsia="Arial" w:hAnsi="Arial"/>
          <w:sz w:val="16"/>
          <w:szCs w:val="16"/>
          <w:color w:val="auto"/>
        </w:rPr>
        <w:t xml:space="preserve">, </w:t>
      </w:r>
      <w:r>
        <w:rPr>
          <w:rFonts w:ascii="Arial" w:cs="Arial" w:eastAsia="Arial" w:hAnsi="Arial"/>
          <w:sz w:val="16"/>
          <w:szCs w:val="16"/>
          <w:i w:val="1"/>
          <w:iCs w:val="1"/>
          <w:color w:val="auto"/>
        </w:rPr>
        <w:t>Gérant de Sociétés par</w:t>
      </w:r>
      <w:r>
        <w:rPr>
          <w:rFonts w:ascii="Arial" w:cs="Arial" w:eastAsia="Arial" w:hAnsi="Arial"/>
          <w:sz w:val="16"/>
          <w:szCs w:val="16"/>
          <w:color w:val="auto"/>
        </w:rPr>
        <w:t xml:space="preserve"> </w:t>
      </w:r>
      <w:r>
        <w:rPr>
          <w:rFonts w:ascii="Arial" w:cs="Arial" w:eastAsia="Arial" w:hAnsi="Arial"/>
          <w:sz w:val="16"/>
          <w:szCs w:val="16"/>
          <w:i w:val="1"/>
          <w:iCs w:val="1"/>
          <w:color w:val="auto"/>
        </w:rPr>
        <w:t>actions</w:t>
      </w:r>
      <w:r>
        <w:rPr>
          <w:rFonts w:ascii="Arial" w:cs="Arial" w:eastAsia="Arial" w:hAnsi="Arial"/>
          <w:sz w:val="16"/>
          <w:szCs w:val="16"/>
          <w:color w:val="auto"/>
        </w:rPr>
        <w:t>) unless the corporate executive is an employee of a French Subsidiary, as defined by French law.</w:t>
      </w:r>
    </w:p>
    <w:p>
      <w:pPr>
        <w:spacing w:after="0" w:line="222"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Rights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adoption of this French Plan shall not confer upon the French Participant, or any employees of a French entity, any employment rights and shall not be construed as a part of any employment contracts that a French Subsidiary has with its employees.</w:t>
      </w:r>
    </w:p>
    <w:p>
      <w:pPr>
        <w:spacing w:after="0" w:line="248"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Shares Only</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Only Shares and not cash payments may be delivered to any French Grantee as a result of the French-qualified Options and French-qualified Restricted Stock Units granted under this French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117" w:name="page118"/>
    <w:bookmarkEnd w:id="117"/>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Non-Transferability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Notwithstanding any provision in the U.S. Plan to the contrary and, except in the case of death, French-qualified Options and French-qualified Restricted Stock Units cannot be transferred to any third party. In addition, during the lifetime of the French Participant, the French-qualified Options are exercisable only by the French Participant, subject to Sections II.3(c) and II.4 below. The Shares underlying the French-qualified Restricted Stock Units may not be transferred to any third party and shall be issued only to the French Participant during his or her lifetime, subject to Sections III.1(a) and III.3 below.</w:t>
      </w:r>
    </w:p>
    <w:p>
      <w:pPr>
        <w:spacing w:after="0" w:line="228"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Disqualification of French-qualified Options and French-qualified Restricted Stock Units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event changes are made to the terms and conditions of the French-qualified Options and/or French-qualified Restricted Stock Units due to any requirements under the applicable laws, or by decision of the Company’s shareholders, the Board or the Committee, the Options and/or Restricted Stock Units may no longer qualify as French-qualified Options and French-qualified Restricted Stock Units.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Options and/or Restricted Stock Units no longer qualify as French-qualified Options and/or French-qualified Restricted Stock Units, the Committee may, in its sole discretion, determine to lift, shorten or terminate certain restrictions applicable to the vesting or exercisability of the Options, the vesting of the Restricted Stock Units or to the sale of the Shares underlying the Options and/or Restricted Stock Units which have been imposed under this French Plan or in the applicable Award Agreement delivered to the French Participant in order to achieve the favorable tax and social security treatment applicable to French-qualified Options and/or French-qualified Restricted Stock Units. Should the awards no longer be qualified the French Participant shall be liable to French tax and social security to the extent permissible under French law.</w:t>
      </w:r>
    </w:p>
    <w:p>
      <w:pPr>
        <w:spacing w:after="0" w:line="236"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Subject to the terms of the U.S. Plan, the Board or Committee reserves the right to amend or terminate the French Plan at any time.</w:t>
      </w:r>
    </w:p>
    <w:p>
      <w:pPr>
        <w:spacing w:after="0" w:line="287"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FRENCH-QUALIFIED OPTIONS</w:t>
      </w:r>
    </w:p>
    <w:p>
      <w:pPr>
        <w:spacing w:after="0" w:line="90"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French-qualified Options may not be granted during a Closed Period to the extent such Closed Periods are applicable to French-qualified Options granted by the Company. If the Company grants options on a date during an applicable Closed Period, the Grant Date for French Participants shall be the first date following the expiration of the Closed Period, provided such date is not prohibited under the U.S. Plan rules.</w:t>
      </w:r>
    </w:p>
    <w:p>
      <w:pPr>
        <w:spacing w:after="0" w:line="222"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French-qualified Options</w:t>
      </w:r>
    </w:p>
    <w:p>
      <w:pPr>
        <w:spacing w:after="0" w:line="96" w:lineRule="exact"/>
        <w:rPr>
          <w:rFonts w:ascii="Arial" w:cs="Arial" w:eastAsia="Arial" w:hAnsi="Arial"/>
          <w:sz w:val="18"/>
          <w:szCs w:val="18"/>
          <w:b w:val="1"/>
          <w:bCs w:val="1"/>
          <w:color w:val="auto"/>
        </w:rPr>
      </w:pPr>
    </w:p>
    <w:p>
      <w:pPr>
        <w:ind w:right="100" w:firstLine="464"/>
        <w:spacing w:after="0" w:line="259" w:lineRule="auto"/>
        <w:tabs>
          <w:tab w:leader="none" w:pos="69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Exercise Price and number of underlying Shares shall not be modified after the Grant Date, except as provided in Sections II.5 of this French Plan, or as otherwise authorized by French law. Any other modification permitted under the U.S. Plan may result in the Option no longer qualifying as a French-qualified 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74" w:right="239" w:bottom="1440" w:gutter="0" w:footer="0" w:header="0"/>
        </w:sectPr>
      </w:pPr>
    </w:p>
    <w:bookmarkStart w:id="118" w:name="page119"/>
    <w:bookmarkEnd w:id="118"/>
    <w:p>
      <w:pPr>
        <w:ind w:left="-40" w:right="20" w:firstLine="464"/>
        <w:spacing w:after="0" w:line="268" w:lineRule="auto"/>
        <w:tabs>
          <w:tab w:leader="none" w:pos="665" w:val="left"/>
        </w:tabs>
        <w:numPr>
          <w:ilvl w:val="1"/>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French-qualified Options will vest and become exercisable pursuant to the terms and conditions set forth in the U.S. Plan, this French Plan, and the applicable Award Agreement delivered to each French Participant.</w:t>
      </w:r>
    </w:p>
    <w:p>
      <w:pPr>
        <w:spacing w:after="0" w:line="131" w:lineRule="exact"/>
        <w:rPr>
          <w:rFonts w:ascii="Arial" w:cs="Arial" w:eastAsia="Arial" w:hAnsi="Arial"/>
          <w:sz w:val="18"/>
          <w:szCs w:val="18"/>
          <w:color w:val="auto"/>
        </w:rPr>
      </w:pPr>
    </w:p>
    <w:p>
      <w:pPr>
        <w:ind w:left="-40" w:firstLine="464"/>
        <w:spacing w:after="0" w:line="268" w:lineRule="auto"/>
        <w:tabs>
          <w:tab w:leader="none" w:pos="65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Exercise Price per Share payable pursuant to French-qualified Options granted under this French Plan shall be fixed by the Committee on the Grant Date. In no event shall the Exercise Price be less than the greatest of:</w:t>
      </w:r>
    </w:p>
    <w:p>
      <w:pPr>
        <w:spacing w:after="0" w:line="50" w:lineRule="exact"/>
        <w:rPr>
          <w:rFonts w:ascii="Arial" w:cs="Arial" w:eastAsia="Arial" w:hAnsi="Arial"/>
          <w:sz w:val="18"/>
          <w:szCs w:val="18"/>
          <w:color w:val="auto"/>
        </w:rPr>
      </w:pPr>
    </w:p>
    <w:p>
      <w:pPr>
        <w:ind w:left="880" w:right="140" w:firstLine="1"/>
        <w:spacing w:after="0" w:line="332" w:lineRule="auto"/>
        <w:tabs>
          <w:tab w:leader="none" w:pos="1090" w:val="left"/>
        </w:tabs>
        <w:numPr>
          <w:ilvl w:val="2"/>
          <w:numId w:val="122"/>
        </w:numPr>
        <w:rPr>
          <w:rFonts w:ascii="Arial" w:cs="Arial" w:eastAsia="Arial" w:hAnsi="Arial"/>
          <w:sz w:val="16"/>
          <w:szCs w:val="16"/>
          <w:color w:val="auto"/>
        </w:rPr>
      </w:pPr>
      <w:r>
        <w:rPr>
          <w:rFonts w:ascii="Arial" w:cs="Arial" w:eastAsia="Arial" w:hAnsi="Arial"/>
          <w:sz w:val="16"/>
          <w:szCs w:val="16"/>
          <w:color w:val="auto"/>
        </w:rPr>
        <w:t>with respect to purchase stock options: the higher of either 80% of the average of the closing price of the Shares during the 20 days of quotation immediately preceding the Grant Date or 80% of the average of the purchase price paid for such Shares by the Company;</w:t>
      </w:r>
    </w:p>
    <w:p>
      <w:pPr>
        <w:spacing w:after="0" w:line="4" w:lineRule="exact"/>
        <w:rPr>
          <w:rFonts w:ascii="Arial" w:cs="Arial" w:eastAsia="Arial" w:hAnsi="Arial"/>
          <w:sz w:val="16"/>
          <w:szCs w:val="16"/>
          <w:color w:val="auto"/>
        </w:rPr>
      </w:pPr>
    </w:p>
    <w:p>
      <w:pPr>
        <w:ind w:left="880" w:right="200" w:firstLine="1"/>
        <w:spacing w:after="0" w:line="268" w:lineRule="auto"/>
        <w:tabs>
          <w:tab w:leader="none" w:pos="1138" w:val="left"/>
        </w:tabs>
        <w:numPr>
          <w:ilvl w:val="2"/>
          <w:numId w:val="122"/>
        </w:numPr>
        <w:rPr>
          <w:rFonts w:ascii="Arial" w:cs="Arial" w:eastAsia="Arial" w:hAnsi="Arial"/>
          <w:sz w:val="18"/>
          <w:szCs w:val="18"/>
          <w:color w:val="auto"/>
        </w:rPr>
      </w:pPr>
      <w:r>
        <w:rPr>
          <w:rFonts w:ascii="Arial" w:cs="Arial" w:eastAsia="Arial" w:hAnsi="Arial"/>
          <w:sz w:val="18"/>
          <w:szCs w:val="18"/>
          <w:color w:val="auto"/>
        </w:rPr>
        <w:t>with respect to subscription stock options: 80% of the average of the closing price of such Shares during the 20 days of quotation immediately preceding the Grant Date; and</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100% of the Fair Market Value per Share as defined under the U.S. Plan, as determined on the Grant Date.</w:t>
      </w:r>
    </w:p>
    <w:p>
      <w:pPr>
        <w:spacing w:after="0" w:line="286" w:lineRule="exact"/>
        <w:rPr>
          <w:rFonts w:ascii="Arial" w:cs="Arial" w:eastAsia="Arial" w:hAnsi="Arial"/>
          <w:sz w:val="18"/>
          <w:szCs w:val="18"/>
          <w:color w:val="auto"/>
        </w:rPr>
      </w:pPr>
    </w:p>
    <w:p>
      <w:pPr>
        <w:ind w:left="860" w:hanging="446"/>
        <w:spacing w:after="0"/>
        <w:tabs>
          <w:tab w:leader="none" w:pos="8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a French-qualified Option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0" w:firstLine="464"/>
        <w:spacing w:after="0" w:line="290" w:lineRule="auto"/>
        <w:tabs>
          <w:tab w:leader="none" w:pos="65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At the time a French-qualified Option is effectively granted, the Committee shall fix the period within which the French-qualified Option vests and may be exercised and shall determine any conditions that must be satisfied before the French-qualified Option may be exercised. Specifically, the Committee may provide for a restriction period measured from the Grant Date, for the vesting or the exercise of a French-qualified Option, or for the sale of Shares acquired pursuant to the exercise of a French-qualified Option, designed to obtain the favorable tax and social security treatment pursuant to Section 163 bis C of the French Tax Code, as amended. Such restriction period for the vesting or the exercise of a French-qualified Option or the sale of Shares shall be set forth in the applicable Award Agreement. The holding period of the Shares acquired upon exercise of a French-qualified Option shall not exceed three (3) years as from the exercise date of a French-qualified Option, or such other period as may be required to comply with French law.</w:t>
      </w:r>
    </w:p>
    <w:p>
      <w:pPr>
        <w:spacing w:after="0" w:line="118" w:lineRule="exact"/>
        <w:rPr>
          <w:rFonts w:ascii="Arial" w:cs="Arial" w:eastAsia="Arial" w:hAnsi="Arial"/>
          <w:sz w:val="16"/>
          <w:szCs w:val="16"/>
          <w:color w:val="auto"/>
        </w:rPr>
      </w:pPr>
    </w:p>
    <w:p>
      <w:pPr>
        <w:jc w:val="both"/>
        <w:ind w:left="-40" w:right="220" w:firstLine="464"/>
        <w:spacing w:after="0" w:line="256" w:lineRule="auto"/>
        <w:tabs>
          <w:tab w:leader="none" w:pos="66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Upon exercise of a French-qualified Option, the full Exercise Price and any required withholding tax or social security contributions, if any, shall be paid by the French Participant as set forth in the applicable Award Agreement. Under a cashless exercise program, the French Participant may give irrevocable instructions to a stockbroker to properly deliver the Exercise Price to the Company. No delivery, surrender or attestation to the ownership of previously owned Shares may be used to pay the Exercise Price.</w:t>
      </w:r>
    </w:p>
    <w:p>
      <w:pPr>
        <w:spacing w:after="0" w:line="143" w:lineRule="exact"/>
        <w:rPr>
          <w:rFonts w:ascii="Arial" w:cs="Arial" w:eastAsia="Arial" w:hAnsi="Arial"/>
          <w:sz w:val="18"/>
          <w:szCs w:val="18"/>
          <w:color w:val="auto"/>
        </w:rPr>
      </w:pPr>
    </w:p>
    <w:p>
      <w:pPr>
        <w:ind w:left="-40" w:firstLine="464"/>
        <w:spacing w:after="0" w:line="268" w:lineRule="auto"/>
        <w:tabs>
          <w:tab w:leader="none" w:pos="65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the event of the death of a French Participant, his or her French-qualified Options shall thereafter be immediately vested and exercisable in full under the conditions set forth by Section II.4 of this French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40"/>
          </w:cols>
          <w:pgMar w:left="280" w:top="280" w:right="279" w:bottom="1440" w:gutter="0" w:footer="0" w:header="0"/>
        </w:sectPr>
      </w:pPr>
    </w:p>
    <w:bookmarkStart w:id="119" w:name="page120"/>
    <w:bookmarkEnd w:id="119"/>
    <w:p>
      <w:pPr>
        <w:ind w:right="240" w:firstLine="464"/>
        <w:spacing w:after="0" w:line="268"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French Participant is terminated or ceases to provide services to the Company or a French Subsidiary, his or her French-qualified Options will be exercisable according to the provisions of the Award Agreement.</w:t>
      </w:r>
    </w:p>
    <w:p>
      <w:pPr>
        <w:spacing w:after="0" w:line="131" w:lineRule="exact"/>
        <w:rPr>
          <w:rFonts w:ascii="Arial" w:cs="Arial" w:eastAsia="Arial" w:hAnsi="Arial"/>
          <w:sz w:val="18"/>
          <w:szCs w:val="18"/>
          <w:color w:val="auto"/>
        </w:rPr>
      </w:pPr>
    </w:p>
    <w:p>
      <w:pPr>
        <w:ind w:right="60" w:firstLine="464"/>
        <w:spacing w:after="0" w:line="256"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a French Participant is terminated or ceases to be employed by the Company or a French Subsidiary by reason of Disability (as defined in this French Plan), his or her French-qualified Options may benefit from the favorable tax and social security treatment, even if the date of sale of the Shares subject to the French-qualified Options occurs prior to the expiration of the minimum holding period of the Shares, as provided for by Section 163 bis C of the French Tax Code, as amended.</w:t>
      </w:r>
    </w:p>
    <w:p>
      <w:pPr>
        <w:spacing w:after="0" w:line="143" w:lineRule="exact"/>
        <w:rPr>
          <w:rFonts w:ascii="Arial" w:cs="Arial" w:eastAsia="Arial" w:hAnsi="Arial"/>
          <w:sz w:val="18"/>
          <w:szCs w:val="18"/>
          <w:color w:val="auto"/>
        </w:rPr>
      </w:pPr>
    </w:p>
    <w:p>
      <w:pPr>
        <w:ind w:firstLine="464"/>
        <w:spacing w:after="0" w:line="290" w:lineRule="auto"/>
        <w:tabs>
          <w:tab w:leader="none" w:pos="67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a French Participant ceases to be employed by the Company or a French Subsidiary by reason of his or her Forced Retirement (as defined in this French Plan) or dismissal as defined by Section 91-ter of Exhibit II to the French Tax Code, as amended, and as construed by the French tax circulars and subject to the fulfillment of related conditions, his or her French-qualified Options may benefit from favorable tax and social security treatment, irrespective of the date of sale of the Shares, provided the exercise of the French-qualified Options was authorized under the applicable Award Agreement prior to the time of Forced Retirement or dismissal and the French-qualified Options were exercised at least three (3) months prior to the effective date of the Forced Retirement or at least three (3) months prior to the sending of the letter of dismissal to the French Participant as defined by French law and as construed by French tax and social security guidelines and court decisions of French Labor Courts.</w:t>
      </w:r>
    </w:p>
    <w:p>
      <w:pPr>
        <w:spacing w:after="0" w:line="118" w:lineRule="exact"/>
        <w:rPr>
          <w:rFonts w:ascii="Arial" w:cs="Arial" w:eastAsia="Arial" w:hAnsi="Arial"/>
          <w:sz w:val="16"/>
          <w:szCs w:val="16"/>
          <w:color w:val="auto"/>
        </w:rPr>
      </w:pPr>
    </w:p>
    <w:p>
      <w:pPr>
        <w:ind w:right="100" w:firstLine="464"/>
        <w:spacing w:after="0" w:line="259"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Shares acquired upon exercise of a French-qualified Option shall be fully owned by the French Participant and recorded in an account in his or her name and must be held with the Company or a broker or in such manner as the Company may otherwise determine to ensure compliance with French laws including any necessary holding periods.</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To the extent and as long as applicable to French-qualified Options granted by the Company, a specific holding period for the Shares or a restriction on exercise of the Options shall be imposed in the Award Agreement for any French Participant who qualifies as a managing director of the Company.</w:t>
      </w:r>
    </w:p>
    <w:p>
      <w:pPr>
        <w:spacing w:after="0" w:line="20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event of the death of a French Participant while he or she is actively employed, all French-qualified Options shall become immediately vested and exercisable and may be exercised in full by the French Participant’s heirs or the legal representative of his or her estate for the six (6) month period following the date of the French Participant’s death or such other period as may be required to comply with French law. In the event of the death of a French Participant after termination of active employment, the treatment of French-qualified Options will be as set forth in the Award Agreement. Any French-qualified Option that remains unexercised shall expire six (6) months following the date of the French Participant’s death or after expiration of such other period as may be required to comply with French law. The six (6) month exercise period (or such other period as may be required to comply with French law) will apply without regard to the term of the French-qualified Option as described in Section II.6 of this French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80" w:right="239" w:bottom="1440" w:gutter="0" w:footer="0" w:header="0"/>
        </w:sectPr>
      </w:pPr>
    </w:p>
    <w:bookmarkStart w:id="120" w:name="page121"/>
    <w:bookmarkEnd w:id="120"/>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 Change in Control</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Adjustments of French-qualified Options issued hereunder shall be made to preclude the dilution or enlargement of benefits under the French-qualified Option only in the event of the transactions by the Company listed under Section L. 225-181 of the French Commercial Code, as amended, and in case of a repurchase of Shares by the Company at a price which is higher than the stock quotation price in the open market, and according to the provisions of Section L. 228-99 of the French Commercial Code, as amended, as well as according to specific decrees. In the event of an adjustment other than as described above, the Options may no longer qualify for favorable tax and social security treatment under French law.</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Nevertheless, the Board or the Committee, at its discretion, may decide to make adjustments in the case of a transaction as described in Sections 5(i) and 11 of the U.S. Plan, for which adjustments may not be authorized under French law, in which case, the Options may no longer qualify as French-qualified awards and the favorable tax and social security treatment may be lost.</w:t>
      </w:r>
    </w:p>
    <w:p>
      <w:pPr>
        <w:spacing w:after="0" w:line="256"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Option</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French-qualified Options granted pursuant to this French Plan will expire no later than nine and a half (9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years from the Grant Date, unless otherwise specified in the applicable Award Agreement. The French-qualified Option term will be extended only in the event of the death of a French Participant, but in no event will any French-qualified Option be exercisable beyond nine (9) months following the date of death of the French Participant or such other period as may be required to comply with French law.</w:t>
      </w:r>
    </w:p>
    <w:p>
      <w:pPr>
        <w:spacing w:after="0" w:line="259"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of any conflict between the provisions of this French Plan and the U.S. Plan, the provisions of this French Plan shall control for any grants of French-qualified Options made to French Participants.</w:t>
      </w:r>
    </w:p>
    <w:p>
      <w:pPr>
        <w:spacing w:after="0" w:line="132"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It is intended that Options granted under this French Plan shall qualify for the favorable tax and social security treatment applicable to stock options granted under Sections L. 225-177 to L. 225-186-1 of the French Commercial Code, as amended, and in accordance with the relevant provisions set forth by French tax law and the French tax administration, but no undertaking is made by the Company to maintain such status. The terms of this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w:t>
      </w:r>
    </w:p>
    <w:p>
      <w:pPr>
        <w:spacing w:after="0" w:line="231"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FRENCH-QUALIFIED RESTRICTED STOCK UNITS</w:t>
      </w:r>
    </w:p>
    <w:p>
      <w:pPr>
        <w:spacing w:after="0" w:line="9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French-qualified Restricted Stock Units</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Vesting of French-Qualified Restricted Stock Units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any other provision of the U.S. Plan, French-qualified Restricted Stock Units shall not vest and the Shares underlying the French-qualified Restricted Stock Units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74" w:right="259" w:bottom="1440" w:gutter="0" w:footer="0" w:header="0"/>
        </w:sectPr>
      </w:pPr>
    </w:p>
    <w:bookmarkStart w:id="121" w:name="page122"/>
    <w:bookmarkEnd w:id="121"/>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be delivered to the French Participants prior to the expiration of a minimum two-year period as calculated from the Grant Date, or such other period as is required to comply with the minimum mandatory vesting period applicable to French-qualified Restricted Stock Units under Section L. 225-197-1 of the French Commercial Code, as amended, or the relevant sections of the French Tax Code or the French Social Security Code, as amended to benefit from the favorable French restricted stock units regime. However, notwithstanding the vesting requirements described above, in the event of the death of a French Participant, all of his or her outstanding French-qualified Restricted Stock Units shall become vested under the conditions set forth in Section III.3 of this French Plan.</w:t>
      </w:r>
    </w:p>
    <w:p>
      <w:pPr>
        <w:spacing w:after="0" w:line="35"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Holding of Shares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sale or transfer of Shares issued pursuant to the French-qualified Restricted Stock Units may not occur prior to the relevant anniversary of the Vesting Date specified by the Committee and in no case prior to the expiration of a minimum two-year period as calculated from the Vesting Date (or, if later, the date on which the Shares underlying the French-qualified Restricted Stock Units are issued to a French Participant), or such other period as is required to comply with the minimum mandatory holding period applicable to French-qualified Restricted Stock Units under Section L. 225-197-1 of the French Commercial Code, as amended, or the relevant sections of the French Tax Code or the French Social Security Code, as amended, to benefit from the favorable tax and social security regime, even if the French Participant is no longer an employee or corporate officer of an Affiliate or the Company.</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the Shares issued pursuant to the French-qualified Restricted Stock Units may not be sold or transferred during a Closed Period, so long as those Closed Periods are applicable to Shares underlying French-qualified Restricted Stock Units.</w:t>
      </w:r>
    </w:p>
    <w:p>
      <w:pPr>
        <w:spacing w:after="0" w:line="51"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Corporate Officer Restriction</w:t>
      </w:r>
    </w:p>
    <w:p>
      <w:pPr>
        <w:spacing w:after="0" w:line="90" w:lineRule="exact"/>
        <w:rPr>
          <w:sz w:val="20"/>
          <w:szCs w:val="20"/>
          <w:color w:val="auto"/>
        </w:rPr>
      </w:pPr>
    </w:p>
    <w:p>
      <w:pPr>
        <w:ind w:firstLine="456"/>
        <w:spacing w:after="0" w:line="357" w:lineRule="auto"/>
        <w:rPr>
          <w:sz w:val="20"/>
          <w:szCs w:val="20"/>
          <w:color w:val="auto"/>
        </w:rPr>
      </w:pPr>
      <w:r>
        <w:rPr>
          <w:rFonts w:ascii="Arial" w:cs="Arial" w:eastAsia="Arial" w:hAnsi="Arial"/>
          <w:sz w:val="15"/>
          <w:szCs w:val="15"/>
          <w:color w:val="auto"/>
        </w:rPr>
        <w:t>To the extent and as long as applicable to French-qualified Restricted Stock Units granted by the Company, a specific holding period for the sale or transfer of Shares shall be imposed in the applicable Restricted Stock Unit Agreement for any French Participant who qualifies as a managing director of the Company.</w:t>
      </w: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French Participant’s Account</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Shares issued pursuant to the French-qualified Restricted Stock Units shall be fully owned by the French Participant and recorded and held in an account in his or her name with the Company or a broker or in such other manner as the Company may determine in order to ensure compliance with French laws, including any required holding periods.</w:t>
      </w:r>
    </w:p>
    <w:p>
      <w:pPr>
        <w:spacing w:after="0" w:line="256"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 Change in Control</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event of an adjustment due to a corporate transaction or event as set forth in Section 11(c) of the U.S. Plan, the adjustment to the terms and conditions of the French-qualified Restricted Stock Units or underlying Shares shall be made in accordance with the U.S. Plan and pursuant to applicable French legal and tax rules. Nevertheless, should the Board or Committee make adjustments in the case of a transaction for which adjustments are not authorized under French law, the Restricted Stock Units may no longer qualify as French-qualified Restricted Stock Units.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80"/>
          </w:cols>
          <w:pgMar w:left="240" w:top="280" w:right="279" w:bottom="1440" w:gutter="0" w:footer="0" w:header="0"/>
        </w:sectPr>
      </w:pPr>
    </w:p>
    <w:bookmarkStart w:id="122" w:name="page123"/>
    <w:bookmarkEnd w:id="122"/>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and Disability</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the event of the death of a French Participant, the French-qualified Restricted Stock Units held by the French Participant at the time of death shall become immediately transferable to the French Participant’s heirs. The Company shall issue the underlying Shares to the French Participant’s heirs, at their request, provided the heirs contact the Company within six (6) months following the death of the French Participant or such other period as may be required to comply with French law If the French Participant’s heirs do not request the issuance of the Shares underlying the French-qualified Restricted Stock Units within six (6) months following the French Participant’s death (or such other period as may be required to comply with French law), the French-qualified Restricted Stock Units will be forfeited.</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a French Participant dies or ceases to be employed by the Company or a French Subsidiary or any Affiliate by reason of his or her Disability (as defined in this French Plan), the French Participant’s heirs or the disabled French Participant, as applicable, shall not be subject to the restrictions on the sale or transfer of Shares set forth in Section III.1(b) of this French Plan.</w:t>
      </w:r>
    </w:p>
    <w:p>
      <w:pPr>
        <w:spacing w:after="0" w:line="256"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It is intended that Options granted under the French Plan shall qualify for the favorable tax and social security treatment applicable to Options granted under Sections L. 225-177 to L. 225-186-1 of the French Commercial Code, as amended, and in accordance with the relevant provisions set forth by French tax law and the French tax administration, but no undertaking is made to maintain such status.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French Plan shall be interpreted accordingly and in accordance with the relevant provisions set forth by French tax and social security laws, as well as the French tax and social security administrations and the relevant guidelines released by the French tax and social security authorities and subject to the fulfillment of legal, tax and reporting obligations.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event of any conflict between the provisions of the French Plan and the U.S. Plan, the provisions of this French Plan shall control for any grants of Options made thereunder to French Participants.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ADOPTION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French Plan, as amended and restated, was adopted by the Committee on March 13, 2012 and became effective as of the same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274"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AUSTRALIAN ADDENDUM</w:t>
      </w:r>
    </w:p>
    <w:p>
      <w:pPr>
        <w:spacing w:after="0" w:line="199"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Addendum (the “Australian Addendum”) to the Analog Devices, Inc. (“Company”) 2006 Stock Incentive Plan (as amended) (“U.S. Plan”) is adopted to set out rules which, together with those provisions of the U.S. Plan which this Australian Addendum does not replace, will:</w:t>
      </w:r>
    </w:p>
    <w:p>
      <w:pPr>
        <w:spacing w:after="0" w:line="5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govern the operation of the Plan with respect to Australian resident employees of the Company and its Australian Subsidiaries;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provide for the Plan to comply with ASIC Class Order 03/184 (“Class Order”), relevant provisions of the Corporations Act and ASIC Regulatory Guide 49.</w:t>
      </w:r>
    </w:p>
    <w:p>
      <w:pPr>
        <w:spacing w:after="0" w:line="310"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Except as set out in this clause 2, capitalised terms used in this document have the meaning ascribed to them in the U.S. Plan. If any conflict occurs between the provisions of this Australian Addendum and the provisions of the U.S. Plan, these provisions prevail.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Australian Addendum: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ASIC </w:t>
      </w:r>
      <w:r>
        <w:rPr>
          <w:rFonts w:ascii="Arial" w:cs="Arial" w:eastAsia="Arial" w:hAnsi="Arial"/>
          <w:sz w:val="18"/>
          <w:szCs w:val="18"/>
          <w:color w:val="auto"/>
        </w:rPr>
        <w:t>means the Australian Securities and Investments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Associated Body Corporate </w:t>
      </w:r>
      <w:r>
        <w:rPr>
          <w:rFonts w:ascii="Arial" w:cs="Arial" w:eastAsia="Arial" w:hAnsi="Arial"/>
          <w:sz w:val="18"/>
          <w:szCs w:val="18"/>
          <w:color w:val="auto"/>
        </w:rPr>
        <w:t>means, as determined in accordance with the Corporations Act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body corporate:</w:t>
      </w:r>
    </w:p>
    <w:p>
      <w:pPr>
        <w:spacing w:after="0" w:line="9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that is a related body corporate of the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that has voting power in the Company of not less than 20%;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which the Company has voting power of not less than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Award </w:t>
      </w:r>
      <w:r>
        <w:rPr>
          <w:rFonts w:ascii="Arial" w:cs="Arial" w:eastAsia="Arial" w:hAnsi="Arial"/>
          <w:sz w:val="18"/>
          <w:szCs w:val="18"/>
          <w:color w:val="auto"/>
        </w:rPr>
        <w:t>means the award of an Option, Share, Restricted Stock Unit or Dividend Equivalent under the terms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Offerees </w:t>
      </w:r>
      <w:r>
        <w:rPr>
          <w:rFonts w:ascii="Arial" w:cs="Arial" w:eastAsia="Arial" w:hAnsi="Arial"/>
          <w:sz w:val="18"/>
          <w:szCs w:val="18"/>
          <w:color w:val="auto"/>
        </w:rPr>
        <w:t>means all persons to whom an offer of an Australian Award is made in Australia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Subsidiary </w:t>
      </w:r>
      <w:r>
        <w:rPr>
          <w:rFonts w:ascii="Arial" w:cs="Arial" w:eastAsia="Arial" w:hAnsi="Arial"/>
          <w:sz w:val="18"/>
          <w:szCs w:val="18"/>
          <w:color w:val="auto"/>
        </w:rPr>
        <w:t>means an Australian Associated Body Corporate;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common stock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Analog Devices,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Corporations Act </w:t>
      </w:r>
      <w:r>
        <w:rPr>
          <w:rFonts w:ascii="Arial" w:cs="Arial" w:eastAsia="Arial" w:hAnsi="Arial"/>
          <w:sz w:val="18"/>
          <w:szCs w:val="18"/>
          <w:color w:val="auto"/>
        </w:rPr>
        <w:t>means Corporations Act 2001 (Cth);</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b w:val="1"/>
          <w:bCs w:val="1"/>
          <w:i w:val="1"/>
          <w:iCs w:val="1"/>
          <w:color w:val="auto"/>
        </w:rPr>
        <w:t xml:space="preserve">Dividend Equivalent </w:t>
      </w:r>
      <w:r>
        <w:rPr>
          <w:rFonts w:ascii="Arial" w:cs="Arial" w:eastAsia="Arial" w:hAnsi="Arial"/>
          <w:sz w:val="16"/>
          <w:szCs w:val="16"/>
          <w:color w:val="auto"/>
        </w:rPr>
        <w:t>means a right to receive a cash payment equal to the amount of any dividends that the Company may declare on its Shares that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in connection with any award of Restricted Stock Units at the Company’s discretion, in accordance with the U.S. Plan;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274" w:right="25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Offer </w:t>
      </w:r>
      <w:r>
        <w:rPr>
          <w:rFonts w:ascii="Arial" w:cs="Arial" w:eastAsia="Arial" w:hAnsi="Arial"/>
          <w:sz w:val="16"/>
          <w:szCs w:val="16"/>
          <w:color w:val="auto"/>
        </w:rPr>
        <w:t>means an offer received in Australia to acquire Shares, Options, Restricted Stock Units or Dividend Equivalents under the terms of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an option to acquire a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the U.S. Plan as modified for implementation in Australia by this Australian Addendum;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 </w:t>
      </w:r>
      <w:r>
        <w:rPr>
          <w:rFonts w:ascii="Arial" w:cs="Arial" w:eastAsia="Arial" w:hAnsi="Arial"/>
          <w:sz w:val="18"/>
          <w:szCs w:val="18"/>
          <w:color w:val="auto"/>
        </w:rPr>
        <w:t>means a share of Common Stock; and</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Restricted Stock Unit </w:t>
      </w:r>
      <w:r>
        <w:rPr>
          <w:rFonts w:ascii="Arial" w:cs="Arial" w:eastAsia="Arial" w:hAnsi="Arial"/>
          <w:sz w:val="18"/>
          <w:szCs w:val="18"/>
          <w:color w:val="auto"/>
        </w:rPr>
        <w:t>means an unfunded promise by the Company to deliver the number of Shares underlying the Restricted Stock Unit following the lapse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restrictions.</w:t>
      </w:r>
    </w:p>
    <w:p>
      <w:pPr>
        <w:spacing w:after="0" w:line="248"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only grant Australian Awards under the Plan in Australia.</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Options and Restricted Stock Units may be offered for no more than nominal consideration (i.e. consideration of not more than one (1) cent per Option/Restricted Stock Unit).</w:t>
      </w:r>
    </w:p>
    <w:p>
      <w:pPr>
        <w:spacing w:after="0" w:line="248"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AUSTRALIAN OFFEREES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may extend an Offer only to Australian Offerees who at the time of the Offer are full or part-time employees or directors of the Company or an Associated Body Corporate.</w:t>
      </w:r>
    </w:p>
    <w:p>
      <w:pPr>
        <w:spacing w:after="0" w:line="248"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NO CONTRIBUTION OR TRUST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 Offer must not involve a contribution plan or any offer, issue or sale being made through a trust.</w:t>
      </w:r>
    </w:p>
    <w:p>
      <w:pPr>
        <w:spacing w:after="0" w:line="287" w:lineRule="exact"/>
        <w:rPr>
          <w:sz w:val="20"/>
          <w:szCs w:val="20"/>
          <w:color w:val="auto"/>
        </w:rPr>
      </w:pPr>
    </w:p>
    <w:p>
      <w:pPr>
        <w:ind w:right="8080" w:firstLine="8"/>
        <w:spacing w:after="0" w:line="347" w:lineRule="auto"/>
        <w:tabs>
          <w:tab w:leader="none" w:pos="446"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AUSTRALIAN OFFER DOCUMENT 6.1 Form of Offer</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shall make an Offer in Australia to participate in the Plan via a written document (“Offer Document”) which must set out the terms of the Offer and include or be accompanied by the following:</w:t>
      </w:r>
    </w:p>
    <w:p>
      <w:pPr>
        <w:spacing w:after="0" w:line="51"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summary or a copy of the Plan;</w:t>
      </w:r>
    </w:p>
    <w:p>
      <w:pPr>
        <w:spacing w:after="0" w:line="90" w:lineRule="exact"/>
        <w:rPr>
          <w:rFonts w:ascii="Arial" w:cs="Arial" w:eastAsia="Arial" w:hAnsi="Arial"/>
          <w:sz w:val="18"/>
          <w:szCs w:val="18"/>
          <w:color w:val="auto"/>
        </w:rPr>
      </w:pPr>
    </w:p>
    <w:p>
      <w:pPr>
        <w:ind w:left="460" w:right="460" w:hanging="452"/>
        <w:spacing w:after="0" w:line="259"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where only a summary of the Plan is provided, an undertaking that during the period (“Offer Period”) in which an Australian Award may be issued or Shares may be acquired through exercise of an Australian Award, the Company or its Australian Subsidiary will, within a reasonable period of an Australian Offeree so requesting, provide the offeree without charge with a copy of the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80" w:right="2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must take reasonable steps to ensure that any Australian Offeree to whom an Offer is made is given a copy of the Offer Document.</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Australian Dollar Equivalent of Exercise and Issue Price</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the Offer requires the Australian Offeree to pay a purchase price to receive the Australian Award granted under the Plan, the Offer Document must specify the Australian dollar equivalent of the purchase price of the Australian Award as at the date of the Offer.</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offer of Options, the Offer Document must specify the Australian dollar equivalent of the exercise price of the Options (“Exercise Price”) at the date of the Offer.</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offers of Shares, the Offer Document must specify the Australian dollar equivalent of the issue price of the Shares the subject of the Offer (“Issue Price”) as at the date of the Offer.</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Updated Price Information</w:t>
      </w:r>
    </w:p>
    <w:p>
      <w:pPr>
        <w:spacing w:after="0" w:line="9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Offer Document must include an undertaking that, and an explanation of the way in which the Company or its Australian Subsidiary will (during the Offer Period and within a reasonable period of an Australian Offeree so requesting), make available to the Australian Offeree the following information:</w:t>
      </w:r>
    </w:p>
    <w:p>
      <w:pPr>
        <w:spacing w:after="0" w:line="4"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Australian dollar equivalent of the current market price of a share of Common Stock as at the date of the Australian Offeree’s request;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the Options, the Australian dollar equivalent of the Exercise Price, as at the date of the Australian Offeree’s request;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the case of Shares, if there is an Issue Price, the Australian dollar equivalent of the Issue Price as at the date of the Australian Offeree’s request.</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purposes of this clause 6.3, the current market price of a share of Common Stock shall be taken as the price published as the closing sales price for such stock on the trading day preceding the date of the request, as traded on the New York Stock Exchange. Please note that for Australian tax purposes, market value is defined differently.</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Exchange Rate for Australian Dollar Equivalent</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purposes of clauses 6.2 and 6.3, the Australian dollar equivalent of the Exercise Price, Issue Price and current market price of a share of Common Stock are calculated by reference to the relevant exchange rate published by an Australian bank no earlier than the business day before the day to which the price relates.</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General Advice Only</w:t>
      </w:r>
    </w:p>
    <w:p>
      <w:pPr>
        <w:spacing w:after="0" w:line="9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Offer Document will include a statement to the effect that any advice given by the Company or an Australian Subsidiary in connection with the Offer is general advice only, and that Australian Offerees should consider obtaining their own financial product advice from an independent person who is licensed by ASIC to give such advice.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280" w:right="239" w:bottom="1440" w:gutter="0" w:footer="0" w:header="0"/>
        </w:sectPr>
      </w:pPr>
    </w:p>
    <w:bookmarkStart w:id="126" w:name="page127"/>
    <w:bookmarkEnd w:id="126"/>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ON CAPITAL RAISING: 5% LIMIT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case where an Offer under the Plan may involve or result in the issue of shares of Common Stock (including as a result of the exercise or upon the vesting of any Australian Award), the number of shares of Common Stock that are the subject of the Offer when aggregated with:</w:t>
      </w:r>
    </w:p>
    <w:p>
      <w:pPr>
        <w:spacing w:after="0" w:line="51" w:lineRule="exact"/>
        <w:rPr>
          <w:sz w:val="20"/>
          <w:szCs w:val="20"/>
          <w:color w:val="auto"/>
        </w:rPr>
      </w:pPr>
    </w:p>
    <w:p>
      <w:pPr>
        <w:ind w:left="460" w:right="220" w:hanging="452"/>
        <w:spacing w:after="0" w:line="259"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number of shares of Common Stock in the same class which would be issued were each outstanding offer with respect to shares of Common Stock, units of shares of Common Stock and options to acquire unissued shares of Common Stock, made under an employee share scheme, to be accepted or exercised (as the case may be); and</w:t>
      </w:r>
    </w:p>
    <w:p>
      <w:pPr>
        <w:spacing w:after="0" w:line="59" w:lineRule="exact"/>
        <w:rPr>
          <w:rFonts w:ascii="Arial" w:cs="Arial" w:eastAsia="Arial" w:hAnsi="Arial"/>
          <w:sz w:val="18"/>
          <w:szCs w:val="18"/>
          <w:color w:val="auto"/>
        </w:rPr>
      </w:pPr>
    </w:p>
    <w:p>
      <w:pPr>
        <w:ind w:left="460" w:right="520" w:hanging="452"/>
        <w:spacing w:after="0" w:line="332" w:lineRule="auto"/>
        <w:tabs>
          <w:tab w:leader="none" w:pos="4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number of shares of Common Stock in the same class issued during the previous five years under the Plan or any other employee share scheme extended only to full or part time employees (including directors) of the Company and its Associated Bodies Corporate;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disregarding any offer made, or option acquired or shares of Common Stock issued by way of or as a result of:</w:t>
      </w:r>
    </w:p>
    <w:p>
      <w:pPr>
        <w:spacing w:after="0" w:line="90"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offer, to a person situated at the time of receipt of the offer outside Australia;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offer that was an excluded offer or invitation within the meaning of the Corporations Law as it stood prior to 13 March 2000</w:t>
      </w:r>
      <w:r>
        <w:rPr>
          <w:rFonts w:ascii="Arial" w:cs="Arial" w:eastAsia="Arial" w:hAnsi="Arial"/>
          <w:sz w:val="18"/>
          <w:szCs w:val="18"/>
          <w:i w:val="1"/>
          <w:iCs w:val="1"/>
          <w:color w:val="auto"/>
        </w:rPr>
        <w:t>;</w:t>
      </w:r>
      <w:r>
        <w:rPr>
          <w:rFonts w:ascii="Arial" w:cs="Arial" w:eastAsia="Arial" w:hAnsi="Arial"/>
          <w:sz w:val="18"/>
          <w:szCs w:val="18"/>
          <w:color w:val="auto"/>
        </w:rPr>
        <w:t xml:space="preserve">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offer that did not need disclosure to investors because of section 708 of the Corporations Act;</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offer that did not require the giving of a Product Disclosure Statement (within the meaning of the Corporations Act) because of section 1012D of the Corporations Act;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offer made under a disclosure document or a Product Disclosure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must not exceed 5% of the total number of issued shares in that class of shares of Common Stock as at the time of the offer.</w:t>
      </w:r>
    </w:p>
    <w:p>
      <w:pPr>
        <w:spacing w:after="0" w:line="287"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LOAN OR FINANCIAL ASSISTANCE</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If the Company or an Associated Body Corporate offers an Australian Offeree any loan or other financial assistance for the purpose of acquiring any financial product to which the Offer relates, the Offer Document must disclose the conditions, obligations and risks associated with such loan or financial assistance.</w:t>
      </w:r>
    </w:p>
    <w:p>
      <w:pPr>
        <w:spacing w:after="0" w:line="201"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LODGEMENT OF OFFER DOCUMENT WITH ASIC</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shall lodge a copy of the Offer Document (which need not contain details of the offer particular to the Australian Offeree such as the identity or entitlement of the Australian Offeree) and each accompanying document to ASIC not later than 7 days after the first provision of that material to an Australian Offeree.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280"/>
          </w:cols>
          <w:pgMar w:left="240" w:top="274" w:right="379" w:bottom="1440" w:gutter="0" w:footer="0" w:header="0"/>
        </w:sectPr>
      </w:pPr>
    </w:p>
    <w:bookmarkStart w:id="127" w:name="page128"/>
    <w:bookmarkEnd w:id="127"/>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UNDERTAKINGS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or an Australian Subsidiary shall comply with any undertaking required to be made in the Offer Document by the Class Order, such as the undertaking to provide pricing information on request.</w:t>
      </w:r>
    </w:p>
    <w:p>
      <w:pPr>
        <w:spacing w:after="0" w:line="132" w:lineRule="exact"/>
        <w:rPr>
          <w:sz w:val="20"/>
          <w:szCs w:val="20"/>
          <w:color w:val="auto"/>
        </w:rPr>
      </w:pPr>
    </w:p>
    <w:p>
      <w:pPr>
        <w:ind w:left="4980"/>
        <w:spacing w:after="0"/>
        <w:tabs>
          <w:tab w:leader="none" w:pos="5400" w:val="left"/>
          <w:tab w:leader="none" w:pos="5840" w:val="left"/>
          <w:tab w:leader="none" w:pos="6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740"/>
          </w:cols>
          <w:pgMar w:left="240" w:top="274" w:right="9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90" w:lineRule="exact"/>
        <w:rPr>
          <w:sz w:val="20"/>
          <w:szCs w:val="20"/>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May 22,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Jerald G. Fishman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Jerald G. Fishman</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and Chief</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3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90"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May 22, 2012</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19685</wp:posOffset>
            </wp:positionV>
            <wp:extent cx="33274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A. Zinsner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3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5, 2012 as filed with the Securities and Exchange Commission on the date hereof (the “Report”), the undersigned, Jerald G. Fishman, Chief Executive Officer of the Company, hereby certifies, pursuant to 18 U.S.C. Section 1350, that:</w:t>
      </w:r>
    </w:p>
    <w:p>
      <w:pPr>
        <w:spacing w:after="0" w:line="59" w:lineRule="exact"/>
        <w:rPr>
          <w:sz w:val="20"/>
          <w:szCs w:val="20"/>
          <w:color w:val="auto"/>
        </w:rPr>
      </w:pPr>
    </w:p>
    <w:p>
      <w:pPr>
        <w:ind w:left="1480" w:hanging="567"/>
        <w:spacing w:after="0"/>
        <w:tabs>
          <w:tab w:leader="none" w:pos="14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May 22,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Jerald G. Fishman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Jerald G. Fishman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5, 2012 as filed with the Securities and Exchange Commission on the date hereof (the “Report”), the undersigned, David A. Zinsner, Chief Financial Officer of the Company, hereby certifies, pursuant to 18 U.S.C. Section 1350, that:</w:t>
      </w:r>
    </w:p>
    <w:p>
      <w:pPr>
        <w:spacing w:after="0" w:line="59" w:lineRule="exact"/>
        <w:rPr>
          <w:sz w:val="20"/>
          <w:szCs w:val="20"/>
          <w:color w:val="auto"/>
        </w:rPr>
      </w:pPr>
    </w:p>
    <w:p>
      <w:pPr>
        <w:ind w:left="1480" w:hanging="567"/>
        <w:spacing w:after="0"/>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May 22,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Zinsner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David A. Zinsner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1)"/>
      <w:numFmt w:val="decimal"/>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1)"/>
      <w:numFmt w:val="decimal"/>
      <w:start w:val="2"/>
    </w:lvl>
  </w:abstractNum>
  <w:abstractNum w:abstractNumId="5">
    <w:nsid w:val="60B6DF70"/>
    <w:multiLevelType w:val="hybridMultilevel"/>
    <w:lvl w:ilvl="0">
      <w:lvlJc w:val="left"/>
      <w:lvlText w:val="(%1)"/>
      <w:numFmt w:val="decimal"/>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1)"/>
      <w:numFmt w:val="decimal"/>
      <w:start w:val="1"/>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1)"/>
      <w:numFmt w:val="decimal"/>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1)"/>
      <w:numFmt w:val="lowerLetter"/>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1)"/>
      <w:numFmt w:val="lowerLetter"/>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1)"/>
      <w:numFmt w:val="lowerRoman"/>
      <w:start w:val="3"/>
    </w:lvl>
  </w:abstractNum>
  <w:abstractNum w:abstractNumId="22">
    <w:nsid w:val="74DE0EE3"/>
    <w:multiLevelType w:val="hybridMultilevel"/>
    <w:lvl w:ilvl="0">
      <w:lvlJc w:val="left"/>
      <w:lvlText w:val="%1."/>
      <w:numFmt w:val="decimal"/>
      <w:start w:val="1"/>
    </w:lvl>
    <w:lvl w:ilvl="1">
      <w:lvlJc w:val="left"/>
      <w:lvlText w:val="(%2)"/>
      <w:numFmt w:val="lowerLetter"/>
      <w:start w:val="1"/>
    </w:lvl>
  </w:abstractNum>
  <w:abstractNum w:abstractNumId="23">
    <w:nsid w:val="68EBC550"/>
    <w:multiLevelType w:val="hybridMultilevel"/>
    <w:lvl w:ilvl="0">
      <w:lvlJc w:val="left"/>
      <w:lvlText w:val="(%1)"/>
      <w:numFmt w:val="lowerLetter"/>
      <w:start w:val="2"/>
    </w:lvl>
    <w:lvl w:ilvl="1">
      <w:lvlJc w:val="left"/>
      <w:lvlText w:val="(%2)"/>
      <w:numFmt w:val="upperLetter"/>
      <w:start w:val="1"/>
    </w:lvl>
  </w:abstractNum>
  <w:abstractNum w:abstractNumId="24">
    <w:nsid w:val="2DF6D648"/>
    <w:multiLevelType w:val="hybridMultilevel"/>
    <w:lvl w:ilvl="0">
      <w:lvlJc w:val="left"/>
      <w:lvlText w:val="%1"/>
      <w:numFmt w:val="lowerLetter"/>
      <w:start w:val="1"/>
    </w:lvl>
    <w:lvl w:ilvl="1">
      <w:lvlJc w:val="left"/>
      <w:lvlText w:val="(%2)"/>
      <w:numFmt w:val="upperLetter"/>
      <w:start w:val="2"/>
    </w:lvl>
  </w:abstractNum>
  <w:abstractNum w:abstractNumId="25">
    <w:nsid w:val="46B7D447"/>
    <w:multiLevelType w:val="hybridMultilevel"/>
    <w:lvl w:ilvl="0">
      <w:lvlJc w:val="left"/>
      <w:lvlText w:val="(%1)"/>
      <w:numFmt w:val="lowerLetter"/>
      <w:start w:val="3"/>
    </w:lvl>
    <w:lvl w:ilvl="1">
      <w:lvlJc w:val="left"/>
      <w:lvlText w:val="%2"/>
      <w:numFmt w:val="upperLetter"/>
      <w:start w:val="1"/>
    </w:lvl>
  </w:abstractNum>
  <w:abstractNum w:abstractNumId="26">
    <w:nsid w:val="4A2AC315"/>
    <w:multiLevelType w:val="hybridMultilevel"/>
    <w:lvl w:ilvl="0">
      <w:lvlJc w:val="left"/>
      <w:lvlText w:val="%1"/>
      <w:numFmt w:val="decimal"/>
      <w:start w:val="20"/>
    </w:lvl>
    <w:lvl w:ilvl="1">
      <w:lvlJc w:val="left"/>
      <w:lvlText w:val="%2."/>
      <w:numFmt w:val="decimal"/>
      <w:start w:val="3"/>
    </w:lvl>
    <w:lvl w:ilvl="2">
      <w:lvlJc w:val="left"/>
      <w:lvlText w:val="(%3)"/>
      <w:numFmt w:val="lowerLetter"/>
      <w:start w:val="1"/>
    </w:lvl>
  </w:abstractNum>
  <w:abstractNum w:abstractNumId="27">
    <w:nsid w:val="39EE01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
    <w:nsid w:val="57FC4FBB"/>
    <w:multiLevelType w:val="hybridMultilevel"/>
    <w:lvl w:ilvl="0">
      <w:lvlJc w:val="left"/>
      <w:lvlText w:val="(%1)"/>
      <w:numFmt w:val="lowerRoman"/>
      <w:start w:val="3"/>
    </w:lvl>
    <w:lvl w:ilvl="1">
      <w:lvlJc w:val="left"/>
      <w:lvlText w:val="(%2)"/>
      <w:numFmt w:val="upperLetter"/>
      <w:start w:val="1"/>
    </w:lvl>
  </w:abstractNum>
  <w:abstractNum w:abstractNumId="29">
    <w:nsid w:val="CC1016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1">
    <w:nsid w:val="60EF011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
    <w:nsid w:val="26F324B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3">
    <w:nsid w:val="7F01579B"/>
    <w:multiLevelType w:val="hybridMultilevel"/>
    <w:lvl w:ilvl="0">
      <w:lvlJc w:val="left"/>
      <w:lvlText w:val="%1"/>
      <w:numFmt w:val="decimal"/>
      <w:start w:val="1"/>
    </w:lvl>
    <w:lvl w:ilvl="1">
      <w:lvlJc w:val="left"/>
      <w:lvlText w:val="(%2)"/>
      <w:numFmt w:val="lowerLetter"/>
      <w:start w:val="2"/>
    </w:lvl>
  </w:abstractNum>
  <w:abstractNum w:abstractNumId="34">
    <w:nsid w:val="49DA307D"/>
    <w:multiLevelType w:val="hybridMultilevel"/>
    <w:lvl w:ilvl="0">
      <w:lvlJc w:val="left"/>
      <w:lvlText w:val="%1."/>
      <w:numFmt w:val="decimal"/>
      <w:start w:val="7"/>
    </w:lvl>
    <w:lvl w:ilvl="1">
      <w:lvlJc w:val="left"/>
      <w:lvlText w:val="%2"/>
      <w:numFmt w:val="lowerLetter"/>
      <w:start w:val="1"/>
    </w:lvl>
  </w:abstractNum>
  <w:abstractNum w:abstractNumId="35">
    <w:nsid w:val="7055A5F5"/>
    <w:multiLevelType w:val="hybridMultilevel"/>
    <w:lvl w:ilvl="0">
      <w:lvlJc w:val="left"/>
      <w:lvlText w:val="%1."/>
      <w:numFmt w:val="decimal"/>
      <w:start w:val="8"/>
    </w:lvl>
  </w:abstractNum>
  <w:abstractNum w:abstractNumId="36">
    <w:nsid w:val="5FB8370B"/>
    <w:multiLevelType w:val="hybridMultilevel"/>
    <w:lvl w:ilvl="0">
      <w:lvlJc w:val="left"/>
      <w:lvlText w:val="%1."/>
      <w:numFmt w:val="decimal"/>
      <w:start w:val="9"/>
    </w:lvl>
    <w:lvl w:ilvl="1">
      <w:lvlJc w:val="left"/>
      <w:lvlText w:val="(%2)"/>
      <w:numFmt w:val="lowerLetter"/>
      <w:start w:val="1"/>
    </w:lvl>
  </w:abstractNum>
  <w:abstractNum w:abstractNumId="37">
    <w:nsid w:val="50801EE1"/>
    <w:multiLevelType w:val="hybridMultilevel"/>
    <w:lvl w:ilvl="0">
      <w:lvlJc w:val="left"/>
      <w:lvlText w:val="%1."/>
      <w:numFmt w:val="decimal"/>
      <w:start w:val="1"/>
    </w:lvl>
  </w:abstractNum>
  <w:abstractNum w:abstractNumId="38">
    <w:nsid w:val="488AC1A"/>
    <w:multiLevelType w:val="hybridMultilevel"/>
    <w:lvl w:ilvl="0">
      <w:lvlJc w:val="left"/>
      <w:lvlText w:val="%1."/>
      <w:numFmt w:val="decimal"/>
      <w:start w:val="2"/>
    </w:lvl>
  </w:abstractNum>
  <w:abstractNum w:abstractNumId="39">
    <w:nsid w:val="5FB8011C"/>
    <w:multiLevelType w:val="hybridMultilevel"/>
    <w:lvl w:ilvl="0">
      <w:lvlJc w:val="left"/>
      <w:lvlText w:val="%1."/>
      <w:numFmt w:val="decimal"/>
      <w:start w:val="3"/>
    </w:lvl>
    <w:lvl w:ilvl="1">
      <w:lvlJc w:val="left"/>
      <w:lvlText w:val="(%2)"/>
      <w:numFmt w:val="lowerLetter"/>
      <w:start w:val="1"/>
    </w:lvl>
  </w:abstractNum>
  <w:abstractNum w:abstractNumId="40">
    <w:nsid w:val="6AA78F7F"/>
    <w:multiLevelType w:val="hybridMultilevel"/>
    <w:lvl w:ilvl="0">
      <w:lvlJc w:val="left"/>
      <w:lvlText w:val="%1"/>
      <w:numFmt w:val="decimal"/>
      <w:start w:val="1"/>
    </w:lvl>
    <w:lvl w:ilvl="1">
      <w:lvlJc w:val="left"/>
      <w:lvlText w:val="(%2)"/>
      <w:numFmt w:val="lowerLetter"/>
      <w:start w:val="5"/>
    </w:lvl>
  </w:abstractNum>
  <w:abstractNum w:abstractNumId="41">
    <w:nsid w:val="7672BD23"/>
    <w:multiLevelType w:val="hybridMultilevel"/>
    <w:lvl w:ilvl="0">
      <w:lvlJc w:val="left"/>
      <w:lvlText w:val="%1."/>
      <w:numFmt w:val="decimal"/>
      <w:start w:val="4"/>
    </w:lvl>
    <w:lvl w:ilvl="1">
      <w:lvlJc w:val="left"/>
      <w:lvlText w:val="(%2)"/>
      <w:numFmt w:val="lowerLetter"/>
      <w:start w:val="1"/>
    </w:lvl>
  </w:abstractNum>
  <w:abstractNum w:abstractNumId="42">
    <w:nsid w:val="6FC75AF8"/>
    <w:multiLevelType w:val="hybridMultilevel"/>
    <w:lvl w:ilvl="0">
      <w:lvlJc w:val="left"/>
      <w:lvlText w:val="%1"/>
      <w:numFmt w:val="decimal"/>
      <w:start w:val="1"/>
    </w:lvl>
    <w:lvl w:ilvl="1">
      <w:lvlJc w:val="left"/>
      <w:lvlText w:val="(%2)"/>
      <w:numFmt w:val="lowerLetter"/>
      <w:start w:val="9"/>
    </w:lvl>
  </w:abstractNum>
  <w:abstractNum w:abstractNumId="43">
    <w:nsid w:val="6A5F702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44">
    <w:nsid w:val="7D5E18F8"/>
    <w:multiLevelType w:val="hybridMultilevel"/>
    <w:lvl w:ilvl="0">
      <w:lvlJc w:val="left"/>
      <w:lvlText w:val="%1"/>
      <w:numFmt w:val="decimal"/>
      <w:start w:val="1"/>
    </w:lvl>
    <w:lvl w:ilvl="1">
      <w:lvlJc w:val="left"/>
      <w:lvlText w:val="(%2)"/>
      <w:numFmt w:val="lowerRoman"/>
      <w:start w:val="2"/>
    </w:lvl>
  </w:abstractNum>
  <w:abstractNum w:abstractNumId="45">
    <w:nsid w:val="5F3534A4"/>
    <w:multiLevelType w:val="hybridMultilevel"/>
    <w:lvl w:ilvl="0">
      <w:lvlJc w:val="left"/>
      <w:lvlText w:val="%1."/>
      <w:numFmt w:val="decimal"/>
      <w:start w:val="9"/>
    </w:lvl>
    <w:lvl w:ilvl="1">
      <w:lvlJc w:val="left"/>
      <w:lvlText w:val="%2"/>
      <w:numFmt w:val="lowerRoman"/>
      <w:start w:val="1"/>
    </w:lvl>
  </w:abstractNum>
  <w:abstractNum w:abstractNumId="46">
    <w:nsid w:val="73A1821B"/>
    <w:multiLevelType w:val="hybridMultilevel"/>
    <w:lvl w:ilvl="0">
      <w:lvlJc w:val="left"/>
      <w:lvlText w:val="%1."/>
      <w:numFmt w:val="decimal"/>
      <w:start w:val="13"/>
    </w:lvl>
  </w:abstractNum>
  <w:abstractNum w:abstractNumId="47">
    <w:nsid w:val="7DE67713"/>
    <w:multiLevelType w:val="hybridMultilevel"/>
    <w:lvl w:ilvl="0">
      <w:lvlJc w:val="left"/>
      <w:lvlText w:val="(%1)"/>
      <w:numFmt w:val="lowerRoman"/>
      <w:start w:val="1"/>
    </w:lvl>
  </w:abstractNum>
  <w:abstractNum w:abstractNumId="48">
    <w:nsid w:val="555C55B5"/>
    <w:multiLevelType w:val="hybridMultilevel"/>
    <w:lvl w:ilvl="0">
      <w:lvlJc w:val="left"/>
      <w:lvlText w:val="(%1)"/>
      <w:numFmt w:val="lowerRoman"/>
      <w:start w:val="1"/>
    </w:lvl>
  </w:abstractNum>
  <w:abstractNum w:abstractNumId="49">
    <w:nsid w:val="3FA62ACA"/>
    <w:multiLevelType w:val="hybridMultilevel"/>
    <w:lvl w:ilvl="0">
      <w:lvlJc w:val="left"/>
      <w:lvlText w:val="(%1)"/>
      <w:numFmt w:val="lowerRoman"/>
      <w:start w:val="1"/>
    </w:lvl>
  </w:abstractNum>
  <w:abstractNum w:abstractNumId="50">
    <w:nsid w:val="14FCE74E"/>
    <w:multiLevelType w:val="hybridMultilevel"/>
    <w:lvl w:ilvl="0">
      <w:lvlJc w:val="left"/>
      <w:lvlText w:val="1"/>
      <w:numFmt w:val="bullet"/>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1."/>
      <w:numFmt w:val="decimal"/>
      <w:start w:val="2"/>
    </w:lvl>
    <w:lvl w:ilvl="1">
      <w:lvlJc w:val="left"/>
      <w:lvlText w:val="(%2)"/>
      <w:numFmt w:val="lowerLetter"/>
      <w:start w:val="1"/>
    </w:lvl>
  </w:abstractNum>
  <w:abstractNum w:abstractNumId="53">
    <w:nsid w:val="9DAF6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4">
    <w:nsid w:val="5329993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5">
    <w:nsid w:val="1FBFE8E0"/>
    <w:multiLevelType w:val="hybridMultilevel"/>
    <w:lvl w:ilvl="0">
      <w:lvlJc w:val="left"/>
      <w:lvlText w:val="(%1)"/>
      <w:numFmt w:val="lowerLetter"/>
      <w:start w:val="3"/>
    </w:lvl>
  </w:abstractNum>
  <w:abstractNum w:abstractNumId="56">
    <w:nsid w:val="5092CA79"/>
    <w:multiLevelType w:val="hybridMultilevel"/>
    <w:lvl w:ilvl="0">
      <w:lvlJc w:val="left"/>
      <w:lvlText w:val="(%1)"/>
      <w:numFmt w:val="lowerLetter"/>
      <w:start w:val="15"/>
    </w:lvl>
  </w:abstractNum>
  <w:abstractNum w:abstractNumId="57">
    <w:nsid w:val="1D545C4D"/>
    <w:multiLevelType w:val="hybridMultilevel"/>
    <w:lvl w:ilvl="0">
      <w:lvlJc w:val="left"/>
      <w:lvlText w:val="1"/>
      <w:numFmt w:val="bullet"/>
      <w:start w:val="1"/>
    </w:lvl>
  </w:abstractNum>
  <w:abstractNum w:abstractNumId="58">
    <w:nsid w:val="59ADEA3D"/>
    <w:multiLevelType w:val="hybridMultilevel"/>
    <w:lvl w:ilvl="0">
      <w:lvlJc w:val="left"/>
      <w:lvlText w:val="%1."/>
      <w:numFmt w:val="decimal"/>
      <w:start w:val="1"/>
    </w:lvl>
  </w:abstractNum>
  <w:abstractNum w:abstractNumId="59">
    <w:nsid w:val="288F1A34"/>
    <w:multiLevelType w:val="hybridMultilevel"/>
    <w:lvl w:ilvl="0">
      <w:lvlJc w:val="left"/>
      <w:lvlText w:val="%1."/>
      <w:numFmt w:val="decimal"/>
      <w:start w:val="2"/>
    </w:lvl>
  </w:abstractNum>
  <w:abstractNum w:abstractNumId="60">
    <w:nsid w:val="2A155DBC"/>
    <w:multiLevelType w:val="hybridMultilevel"/>
    <w:lvl w:ilvl="0">
      <w:lvlJc w:val="left"/>
      <w:lvlText w:val="%1."/>
      <w:numFmt w:val="decimal"/>
      <w:start w:val="3"/>
    </w:lvl>
    <w:lvl w:ilvl="1">
      <w:lvlJc w:val="left"/>
      <w:lvlText w:val="(%2)"/>
      <w:numFmt w:val="lowerLetter"/>
      <w:start w:val="1"/>
    </w:lvl>
  </w:abstractNum>
  <w:abstractNum w:abstractNumId="61">
    <w:nsid w:val="1D9F6E5F"/>
    <w:multiLevelType w:val="hybridMultilevel"/>
    <w:lvl w:ilvl="0">
      <w:lvlJc w:val="left"/>
      <w:lvlText w:val="%1"/>
      <w:numFmt w:val="decimal"/>
      <w:start w:val="1"/>
    </w:lvl>
    <w:lvl w:ilvl="1">
      <w:lvlJc w:val="left"/>
      <w:lvlText w:val="(%2)"/>
      <w:numFmt w:val="lowerLetter"/>
      <w:start w:val="3"/>
    </w:lvl>
  </w:abstractNum>
  <w:abstractNum w:abstractNumId="62">
    <w:nsid w:val="97E1B4E"/>
    <w:multiLevelType w:val="hybridMultilevel"/>
    <w:lvl w:ilvl="0">
      <w:lvlJc w:val="left"/>
      <w:lvlText w:val="%1."/>
      <w:numFmt w:val="decimal"/>
      <w:start w:val="4"/>
    </w:lvl>
    <w:lvl w:ilvl="1">
      <w:lvlJc w:val="left"/>
      <w:lvlText w:val="(%2)"/>
      <w:numFmt w:val="lowerLetter"/>
      <w:start w:val="1"/>
    </w:lvl>
  </w:abstractNum>
  <w:abstractNum w:abstractNumId="63">
    <w:nsid w:val="51088277"/>
    <w:multiLevelType w:val="hybridMultilevel"/>
    <w:lvl w:ilvl="0">
      <w:lvlJc w:val="left"/>
      <w:lvlText w:val="(%1)"/>
      <w:numFmt w:val="lowerLetter"/>
      <w:start w:val="2"/>
    </w:lvl>
  </w:abstractNum>
  <w:abstractNum w:abstractNumId="64">
    <w:nsid w:val="1CA0C5FA"/>
    <w:multiLevelType w:val="hybridMultilevel"/>
    <w:lvl w:ilvl="0">
      <w:lvlJc w:val="left"/>
      <w:lvlText w:val="%1"/>
      <w:numFmt w:val="decimal"/>
      <w:start w:val="1"/>
    </w:lvl>
    <w:lvl w:ilvl="1">
      <w:lvlJc w:val="left"/>
      <w:lvlText w:val="(%2)"/>
      <w:numFmt w:val="lowerLetter"/>
      <w:start w:val="3"/>
    </w:lvl>
  </w:abstractNum>
  <w:abstractNum w:abstractNumId="65">
    <w:nsid w:val="53584BCB"/>
    <w:multiLevelType w:val="hybridMultilevel"/>
    <w:lvl w:ilvl="0">
      <w:lvlJc w:val="left"/>
      <w:lvlText w:val="%1."/>
      <w:numFmt w:val="decimal"/>
      <w:start w:val="5"/>
    </w:lvl>
    <w:lvl w:ilvl="1">
      <w:lvlJc w:val="left"/>
      <w:lvlText w:val="(%2)"/>
      <w:numFmt w:val="lowerLetter"/>
      <w:start w:val="1"/>
    </w:lvl>
  </w:abstractNum>
  <w:abstractNum w:abstractNumId="66">
    <w:nsid w:val="415E286C"/>
    <w:multiLevelType w:val="hybridMultilevel"/>
    <w:lvl w:ilvl="0">
      <w:lvlJc w:val="left"/>
      <w:lvlText w:val="(%1)"/>
      <w:numFmt w:val="lowerLetter"/>
      <w:start w:val="5"/>
    </w:lvl>
    <w:lvl w:ilvl="1">
      <w:lvlJc w:val="left"/>
      <w:lvlText w:val="(%2)"/>
      <w:numFmt w:val="decimal"/>
      <w:start w:val="1"/>
    </w:lvl>
  </w:abstractNum>
  <w:abstractNum w:abstractNumId="67">
    <w:nsid w:val="7C58FD05"/>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68">
    <w:nsid w:val="23D86AA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9">
    <w:nsid w:val="45E6D486"/>
    <w:multiLevelType w:val="hybridMultilevel"/>
    <w:lvl w:ilvl="0">
      <w:lvlJc w:val="left"/>
      <w:lvlText w:val="%1"/>
      <w:numFmt w:val="decimal"/>
      <w:start w:val="1"/>
    </w:lvl>
    <w:lvl w:ilvl="1">
      <w:lvlJc w:val="left"/>
      <w:lvlText w:val="(%2)"/>
      <w:numFmt w:val="lowerLetter"/>
      <w:start w:val="5"/>
    </w:lvl>
  </w:abstractNum>
  <w:abstractNum w:abstractNumId="70">
    <w:nsid w:val="5C10FE21"/>
    <w:multiLevelType w:val="hybridMultilevel"/>
    <w:lvl w:ilvl="0">
      <w:lvlJc w:val="left"/>
      <w:lvlText w:val="%1."/>
      <w:numFmt w:val="decimal"/>
      <w:start w:val="7"/>
    </w:lvl>
    <w:lvl w:ilvl="1">
      <w:lvlJc w:val="left"/>
      <w:lvlText w:val="(%2)"/>
      <w:numFmt w:val="lowerLetter"/>
      <w:start w:val="1"/>
    </w:lvl>
  </w:abstractNum>
  <w:abstractNum w:abstractNumId="71">
    <w:nsid w:val="E7FFA2B"/>
    <w:multiLevelType w:val="hybridMultilevel"/>
    <w:lvl w:ilvl="0">
      <w:lvlJc w:val="left"/>
      <w:lvlText w:val="%1."/>
      <w:numFmt w:val="decimal"/>
      <w:start w:val="8"/>
    </w:lvl>
    <w:lvl w:ilvl="1">
      <w:lvlJc w:val="left"/>
      <w:lvlText w:val="(%2)"/>
      <w:numFmt w:val="lowerLetter"/>
      <w:start w:val="1"/>
    </w:lvl>
  </w:abstractNum>
  <w:abstractNum w:abstractNumId="72">
    <w:nsid w:val="3C5991AA"/>
    <w:multiLevelType w:val="hybridMultilevel"/>
    <w:lvl w:ilvl="0">
      <w:lvlJc w:val="left"/>
      <w:lvlText w:val="%1"/>
      <w:numFmt w:val="lowerLetter"/>
      <w:start w:val="1"/>
    </w:lvl>
    <w:lvl w:ilvl="1">
      <w:lvlJc w:val="left"/>
      <w:lvlText w:val="(%2)"/>
      <w:numFmt w:val="lowerLetter"/>
      <w:start w:val="2"/>
    </w:lvl>
  </w:abstractNum>
  <w:abstractNum w:abstractNumId="73">
    <w:nsid w:val="4BD8591A"/>
    <w:multiLevelType w:val="hybridMultilevel"/>
    <w:lvl w:ilvl="0">
      <w:lvlJc w:val="left"/>
      <w:lvlText w:val="(%1)"/>
      <w:numFmt w:val="lowerLetter"/>
      <w:start w:val="9"/>
    </w:lvl>
    <w:lvl w:ilvl="1">
      <w:lvlJc w:val="left"/>
      <w:lvlText w:val="(%2)"/>
      <w:numFmt w:val="lowerLetter"/>
      <w:start w:val="4"/>
    </w:lvl>
  </w:abstractNum>
  <w:abstractNum w:abstractNumId="74">
    <w:nsid w:val="78DF6A55"/>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75">
    <w:nsid w:val="39B7AAA2"/>
    <w:multiLevelType w:val="hybridMultilevel"/>
    <w:lvl w:ilvl="0">
      <w:lvlJc w:val="left"/>
      <w:lvlText w:val="(%1)"/>
      <w:numFmt w:val="lowerLetter"/>
      <w:start w:val="2"/>
    </w:lvl>
    <w:lvl w:ilvl="1">
      <w:lvlJc w:val="left"/>
      <w:lvlText w:val="(%2)"/>
      <w:numFmt w:val="lowerRoman"/>
      <w:start w:val="1"/>
    </w:lvl>
  </w:abstractNum>
  <w:abstractNum w:abstractNumId="76">
    <w:nsid w:val="2B0D8DBE"/>
    <w:multiLevelType w:val="hybridMultilevel"/>
    <w:lvl w:ilvl="0">
      <w:lvlJc w:val="left"/>
      <w:lvlText w:val="%1"/>
      <w:numFmt w:val="lowerLetter"/>
      <w:start w:val="1"/>
    </w:lvl>
    <w:lvl w:ilvl="1">
      <w:lvlJc w:val="left"/>
      <w:lvlText w:val="(%2)"/>
      <w:numFmt w:val="lowerLetter"/>
      <w:start w:val="61"/>
    </w:lvl>
  </w:abstractNum>
  <w:abstractNum w:abstractNumId="77">
    <w:nsid w:val="6C80EC70"/>
    <w:multiLevelType w:val="hybridMultilevel"/>
    <w:lvl w:ilvl="0">
      <w:lvlJc w:val="left"/>
      <w:lvlText w:val="(%1)"/>
      <w:numFmt w:val="lowerLetter"/>
      <w:start w:val="3"/>
    </w:lvl>
    <w:lvl w:ilvl="1">
      <w:lvlJc w:val="left"/>
      <w:lvlText w:val="(%2)"/>
      <w:numFmt w:val="lowerLetter"/>
      <w:start w:val="9"/>
    </w:lvl>
  </w:abstractNum>
  <w:abstractNum w:abstractNumId="78">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9">
    <w:nsid w:val="69E37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80">
    <w:nsid w:val="2C27173B"/>
    <w:multiLevelType w:val="hybridMultilevel"/>
    <w:lvl w:ilvl="0">
      <w:lvlJc w:val="left"/>
      <w:lvlText w:val="(%1)"/>
      <w:numFmt w:val="upperLetter"/>
      <w:start w:val="1"/>
    </w:lvl>
  </w:abstractNum>
  <w:abstractNum w:abstractNumId="81">
    <w:nsid w:val="4C9B0904"/>
    <w:multiLevelType w:val="hybridMultilevel"/>
    <w:lvl w:ilvl="0">
      <w:lvlJc w:val="left"/>
      <w:lvlText w:val="(%1)"/>
      <w:numFmt w:val="lowerLetter"/>
      <w:start w:val="2"/>
    </w:lvl>
  </w:abstractNum>
  <w:abstractNum w:abstractNumId="82">
    <w:nsid w:val="6AA7B75C"/>
    <w:multiLevelType w:val="hybridMultilevel"/>
    <w:lvl w:ilvl="0">
      <w:lvlJc w:val="left"/>
      <w:lvlText w:val="(%1)"/>
      <w:numFmt w:val="decimal"/>
      <w:start w:val="3"/>
    </w:lvl>
    <w:lvl w:ilvl="1">
      <w:lvlJc w:val="left"/>
      <w:lvlText w:val="(%2)"/>
      <w:numFmt w:val="lowerLetter"/>
      <w:start w:val="1"/>
    </w:lvl>
  </w:abstractNum>
  <w:abstractNum w:abstractNumId="83">
    <w:nsid w:val="1DF029D3"/>
    <w:multiLevelType w:val="hybridMultilevel"/>
    <w:lvl w:ilvl="0">
      <w:lvlJc w:val="left"/>
      <w:lvlText w:val="(%1)"/>
      <w:numFmt w:val="lowerLetter"/>
      <w:start w:val="2"/>
    </w:lvl>
    <w:lvl w:ilvl="1">
      <w:lvlJc w:val="left"/>
      <w:lvlText w:val="(%2)"/>
      <w:numFmt w:val="lowerRoman"/>
      <w:start w:val="1"/>
    </w:lvl>
  </w:abstractNum>
  <w:abstractNum w:abstractNumId="84">
    <w:nsid w:val="5675FF3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26"/>
    </w:lvl>
  </w:abstractNum>
  <w:abstractNum w:abstractNumId="85">
    <w:nsid w:val="3DD1509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lvl w:ilvl="3">
      <w:lvlJc w:val="left"/>
      <w:lvlText w:val="%4"/>
      <w:numFmt w:val="lowerLetter"/>
      <w:start w:val="1"/>
    </w:lvl>
  </w:abstractNum>
  <w:abstractNum w:abstractNumId="86">
    <w:nsid w:val="3DB012B3"/>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87">
    <w:nsid w:val="2708C9AF"/>
    <w:multiLevelType w:val="hybridMultilevel"/>
    <w:lvl w:ilvl="0">
      <w:lvlJc w:val="left"/>
      <w:lvlText w:val="%1"/>
      <w:numFmt w:val="lowerLetter"/>
      <w:start w:val="1"/>
    </w:lvl>
    <w:lvl w:ilvl="1">
      <w:lvlJc w:val="left"/>
      <w:lvlText w:val="(%2)"/>
      <w:numFmt w:val="lowerLetter"/>
      <w:start w:val="6"/>
    </w:lvl>
  </w:abstractNum>
  <w:abstractNum w:abstractNumId="88">
    <w:nsid w:val="5B25ACE2"/>
    <w:multiLevelType w:val="hybridMultilevel"/>
    <w:lvl w:ilvl="0">
      <w:lvlJc w:val="left"/>
      <w:lvlText w:val="(%1)"/>
      <w:numFmt w:val="lowerLetter"/>
      <w:start w:val="35"/>
    </w:lvl>
    <w:lvl w:ilvl="1">
      <w:lvlJc w:val="left"/>
      <w:lvlText w:val="(%2)"/>
      <w:numFmt w:val="lowerLetter"/>
      <w:start w:val="8"/>
    </w:lvl>
  </w:abstractNum>
  <w:abstractNum w:abstractNumId="89">
    <w:nsid w:val="175DFCF0"/>
    <w:multiLevelType w:val="hybridMultilevel"/>
    <w:lvl w:ilvl="0">
      <w:lvlJc w:val="left"/>
      <w:lvlText w:val="%1."/>
      <w:numFmt w:val="decimal"/>
      <w:start w:val="13"/>
    </w:lvl>
    <w:lvl w:ilvl="1">
      <w:lvlJc w:val="left"/>
      <w:lvlText w:val="(%2)"/>
      <w:numFmt w:val="lowerLetter"/>
      <w:start w:val="1"/>
    </w:lvl>
  </w:abstractNum>
  <w:abstractNum w:abstractNumId="90">
    <w:nsid w:val="4F97E3E4"/>
    <w:multiLevelType w:val="hybridMultilevel"/>
    <w:lvl w:ilvl="0">
      <w:lvlJc w:val="left"/>
      <w:lvlText w:val="(%1)"/>
      <w:numFmt w:val="lowerLetter"/>
      <w:start w:val="3"/>
    </w:lvl>
    <w:lvl w:ilvl="1">
      <w:lvlJc w:val="left"/>
      <w:lvlText w:val="(%2)"/>
      <w:numFmt w:val="decimal"/>
      <w:start w:val="1"/>
    </w:lvl>
  </w:abstractNum>
  <w:abstractNum w:abstractNumId="91">
    <w:nsid w:val="53B0A9E"/>
    <w:multiLevelType w:val="hybridMultilevel"/>
    <w:lvl w:ilvl="0">
      <w:lvlJc w:val="left"/>
      <w:lvlText w:val="(%1)"/>
      <w:numFmt w:val="lowerLetter"/>
      <w:start w:val="35"/>
    </w:lvl>
    <w:lvl w:ilvl="1">
      <w:lvlJc w:val="left"/>
      <w:lvlText w:val="(%2)"/>
      <w:numFmt w:val="lowerLetter"/>
      <w:start w:val="7"/>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1."/>
      <w:numFmt w:val="decimal"/>
      <w:start w:val="2"/>
    </w:lvl>
  </w:abstractNum>
  <w:abstractNum w:abstractNumId="94">
    <w:nsid w:val="56438D15"/>
    <w:multiLevelType w:val="hybridMultilevel"/>
    <w:lvl w:ilvl="0">
      <w:lvlJc w:val="left"/>
      <w:lvlText w:val="%1."/>
      <w:numFmt w:val="decimal"/>
      <w:start w:val="2"/>
    </w:lvl>
  </w:abstractNum>
  <w:abstractNum w:abstractNumId="95">
    <w:nsid w:val="519E3149"/>
    <w:multiLevelType w:val="hybridMultilevel"/>
    <w:lvl w:ilvl="0">
      <w:lvlJc w:val="left"/>
      <w:lvlText w:val="%1."/>
      <w:numFmt w:val="decimal"/>
      <w:start w:val="3"/>
    </w:lvl>
  </w:abstractNum>
  <w:abstractNum w:abstractNumId="96">
    <w:nsid w:val="2C6E4AFD"/>
    <w:multiLevelType w:val="hybridMultilevel"/>
    <w:lvl w:ilvl="0">
      <w:lvlJc w:val="left"/>
      <w:lvlText w:val="%1."/>
      <w:numFmt w:val="decimal"/>
      <w:start w:val="4"/>
    </w:lvl>
  </w:abstractNum>
  <w:abstractNum w:abstractNumId="97">
    <w:nsid w:val="17A1B582"/>
    <w:multiLevelType w:val="hybridMultilevel"/>
    <w:lvl w:ilvl="0">
      <w:lvlJc w:val="left"/>
      <w:lvlText w:val="%1."/>
      <w:numFmt w:val="decimal"/>
      <w:start w:val="5"/>
    </w:lvl>
  </w:abstractNum>
  <w:abstractNum w:abstractNumId="98">
    <w:nsid w:val="4DF72E4E"/>
    <w:multiLevelType w:val="hybridMultilevel"/>
    <w:lvl w:ilvl="0">
      <w:lvlJc w:val="left"/>
      <w:lvlText w:val="%1."/>
      <w:numFmt w:val="decimal"/>
      <w:start w:val="6"/>
    </w:lvl>
  </w:abstractNum>
  <w:abstractNum w:abstractNumId="99">
    <w:nsid w:val="5046B5A9"/>
    <w:multiLevelType w:val="hybridMultilevel"/>
    <w:lvl w:ilvl="0">
      <w:lvlJc w:val="left"/>
      <w:lvlText w:val="%1."/>
      <w:numFmt w:val="decimal"/>
      <w:start w:val="7"/>
    </w:lvl>
  </w:abstractNum>
  <w:abstractNum w:abstractNumId="100">
    <w:nsid w:val="5D888A08"/>
    <w:multiLevelType w:val="hybridMultilevel"/>
    <w:lvl w:ilvl="0">
      <w:lvlJc w:val="left"/>
      <w:lvlText w:val="%1."/>
      <w:numFmt w:val="decimal"/>
      <w:start w:val="9"/>
    </w:lvl>
  </w:abstractNum>
  <w:abstractNum w:abstractNumId="101">
    <w:nsid w:val="2A082C70"/>
    <w:multiLevelType w:val="hybridMultilevel"/>
    <w:lvl w:ilvl="0">
      <w:lvlJc w:val="left"/>
      <w:lvlText w:val="%1."/>
      <w:numFmt w:val="decimal"/>
      <w:start w:val="10"/>
    </w:lvl>
  </w:abstractNum>
  <w:abstractNum w:abstractNumId="102">
    <w:nsid w:val="5EC6AFD4"/>
    <w:multiLevelType w:val="hybridMultilevel"/>
    <w:lvl w:ilvl="0">
      <w:lvlJc w:val="left"/>
      <w:lvlText w:val="(%1)"/>
      <w:numFmt w:val="lowerRoman"/>
      <w:start w:val="3"/>
    </w:lvl>
  </w:abstractNum>
  <w:abstractNum w:abstractNumId="103">
    <w:nsid w:val="19E21BB2"/>
    <w:multiLevelType w:val="hybridMultilevel"/>
    <w:lvl w:ilvl="0">
      <w:lvlJc w:val="left"/>
      <w:lvlText w:val="%1."/>
      <w:numFmt w:val="decimal"/>
      <w:start w:val="11"/>
    </w:lvl>
  </w:abstractNum>
  <w:abstractNum w:abstractNumId="104">
    <w:nsid w:val="75E0858A"/>
    <w:multiLevelType w:val="hybridMultilevel"/>
    <w:lvl w:ilvl="0">
      <w:lvlJc w:val="left"/>
      <w:lvlText w:val="%1."/>
      <w:numFmt w:val="upperLetter"/>
      <w:start w:val="9"/>
    </w:lvl>
  </w:abstractNum>
  <w:abstractNum w:abstractNumId="105">
    <w:nsid w:val="57A61A29"/>
    <w:multiLevelType w:val="hybridMultilevel"/>
    <w:lvl w:ilvl="0">
      <w:lvlJc w:val="left"/>
      <w:lvlText w:val="%1."/>
      <w:numFmt w:val="decimal"/>
      <w:start w:val="1"/>
    </w:lvl>
  </w:abstractNum>
  <w:abstractNum w:abstractNumId="106">
    <w:nsid w:val="5399C654"/>
    <w:multiLevelType w:val="hybridMultilevel"/>
    <w:lvl w:ilvl="0">
      <w:lvlJc w:val="left"/>
      <w:lvlText w:val="%1."/>
      <w:numFmt w:val="decimal"/>
      <w:start w:val="2"/>
    </w:lvl>
  </w:abstractNum>
  <w:abstractNum w:abstractNumId="107">
    <w:nsid w:val="20EE1348"/>
    <w:multiLevelType w:val="hybridMultilevel"/>
    <w:lvl w:ilvl="0">
      <w:lvlJc w:val="left"/>
      <w:lvlText w:val="(%1)"/>
      <w:numFmt w:val="lowerLetter"/>
      <w:start w:val="1"/>
    </w:lvl>
    <w:lvl w:ilvl="1">
      <w:lvlJc w:val="left"/>
      <w:lvlText w:val="(%2)"/>
      <w:numFmt w:val="lowerLetter"/>
      <w:start w:val="9"/>
    </w:lvl>
  </w:abstractNum>
  <w:abstractNum w:abstractNumId="108">
    <w:nsid w:val="4427069A"/>
    <w:multiLevelType w:val="hybridMultilevel"/>
    <w:lvl w:ilvl="0">
      <w:lvlJc w:val="left"/>
      <w:lvlText w:val="(%1)"/>
      <w:numFmt w:val="lowerRoman"/>
      <w:start w:val="2"/>
    </w:lvl>
  </w:abstractNum>
  <w:abstractNum w:abstractNumId="109">
    <w:nsid w:val="B37E80A"/>
    <w:multiLevelType w:val="hybridMultilevel"/>
    <w:lvl w:ilvl="0">
      <w:lvlJc w:val="left"/>
      <w:lvlText w:val="(%1)"/>
      <w:numFmt w:val="lowerLetter"/>
      <w:start w:val="2"/>
    </w:lvl>
    <w:lvl w:ilvl="1">
      <w:lvlJc w:val="left"/>
      <w:lvlText w:val="(%2)"/>
      <w:numFmt w:val="lowerLetter"/>
      <w:start w:val="9"/>
    </w:lvl>
  </w:abstractNum>
  <w:abstractNum w:abstractNumId="110">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1">
    <w:nsid w:val="704E1DD5"/>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12">
    <w:nsid w:val="57D2F10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13">
    <w:nsid w:val="BFFAE18"/>
    <w:multiLevelType w:val="hybridMultilevel"/>
    <w:lvl w:ilvl="0">
      <w:lvlJc w:val="left"/>
      <w:lvlText w:val="%1."/>
      <w:numFmt w:val="decimal"/>
      <w:start w:val="4"/>
    </w:lvl>
  </w:abstractNum>
  <w:abstractNum w:abstractNumId="114">
    <w:nsid w:val="E3E47A8"/>
    <w:multiLevelType w:val="hybridMultilevel"/>
    <w:lvl w:ilvl="0">
      <w:lvlJc w:val="left"/>
      <w:lvlText w:val="%1."/>
      <w:numFmt w:val="decimal"/>
      <w:start w:val="5"/>
    </w:lvl>
  </w:abstractNum>
  <w:abstractNum w:abstractNumId="115">
    <w:nsid w:val="2E48F044"/>
    <w:multiLevelType w:val="hybridMultilevel"/>
    <w:lvl w:ilvl="0">
      <w:lvlJc w:val="left"/>
      <w:lvlText w:val="%1."/>
      <w:numFmt w:val="decimal"/>
      <w:start w:val="6"/>
    </w:lvl>
  </w:abstractNum>
  <w:abstractNum w:abstractNumId="116">
    <w:nsid w:val="49D0FEAC"/>
    <w:multiLevelType w:val="hybridMultilevel"/>
    <w:lvl w:ilvl="0">
      <w:lvlJc w:val="left"/>
      <w:lvlText w:val="%1."/>
      <w:numFmt w:val="decimal"/>
      <w:start w:val="6"/>
    </w:lvl>
  </w:abstractNum>
  <w:abstractNum w:abstractNumId="117">
    <w:nsid w:val="4BEE5A5B"/>
    <w:multiLevelType w:val="hybridMultilevel"/>
    <w:lvl w:ilvl="0">
      <w:lvlJc w:val="left"/>
      <w:lvlText w:val="%1."/>
      <w:numFmt w:val="decimal"/>
      <w:start w:val="7"/>
    </w:lvl>
  </w:abstractNum>
  <w:abstractNum w:abstractNumId="118">
    <w:nsid w:val="5551B9F3"/>
    <w:multiLevelType w:val="hybridMultilevel"/>
    <w:lvl w:ilvl="0">
      <w:lvlJc w:val="left"/>
      <w:lvlText w:val="%1."/>
      <w:numFmt w:val="upperLetter"/>
      <w:start w:val="35"/>
    </w:lvl>
  </w:abstractNum>
  <w:abstractNum w:abstractNumId="119">
    <w:nsid w:val="24F6AB8E"/>
    <w:multiLevelType w:val="hybridMultilevel"/>
    <w:lvl w:ilvl="0">
      <w:lvlJc w:val="left"/>
      <w:lvlText w:val="%1."/>
      <w:numFmt w:val="decimal"/>
      <w:start w:val="1"/>
    </w:lvl>
  </w:abstractNum>
  <w:abstractNum w:abstractNumId="120">
    <w:nsid w:val="634C574C"/>
    <w:multiLevelType w:val="hybridMultilevel"/>
    <w:lvl w:ilvl="0">
      <w:lvlJc w:val="left"/>
      <w:lvlText w:val="%1."/>
      <w:numFmt w:val="decimal"/>
      <w:start w:val="2"/>
    </w:lvl>
    <w:lvl w:ilvl="1">
      <w:lvlJc w:val="left"/>
      <w:lvlText w:val="(%2)"/>
      <w:numFmt w:val="lowerLetter"/>
      <w:start w:val="1"/>
    </w:lvl>
  </w:abstractNum>
  <w:abstractNum w:abstractNumId="121">
    <w:nsid w:val="24E99DD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2">
    <w:nsid w:val="2A31B62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3">
    <w:nsid w:val="1849C29B"/>
    <w:multiLevelType w:val="hybridMultilevel"/>
    <w:lvl w:ilvl="0">
      <w:lvlJc w:val="left"/>
      <w:lvlText w:val="(%1)"/>
      <w:numFmt w:val="lowerLetter"/>
      <w:start w:val="4"/>
    </w:lvl>
  </w:abstractNum>
  <w:abstractNum w:abstractNumId="124">
    <w:nsid w:val="7DFF9D09"/>
    <w:multiLevelType w:val="hybridMultilevel"/>
    <w:lvl w:ilvl="0">
      <w:lvlJc w:val="left"/>
      <w:lvlText w:val="%1."/>
      <w:numFmt w:val="decimal"/>
      <w:start w:val="4"/>
    </w:lvl>
  </w:abstractNum>
  <w:abstractNum w:abstractNumId="125">
    <w:nsid w:val="754342"/>
    <w:multiLevelType w:val="hybridMultilevel"/>
    <w:lvl w:ilvl="0">
      <w:lvlJc w:val="left"/>
      <w:lvlText w:val="%1."/>
      <w:numFmt w:val="decimal"/>
      <w:start w:val="5"/>
    </w:lvl>
  </w:abstractNum>
  <w:abstractNum w:abstractNumId="126">
    <w:nsid w:val="69E7F3E5"/>
    <w:multiLevelType w:val="hybridMultilevel"/>
    <w:lvl w:ilvl="0">
      <w:lvlJc w:val="left"/>
      <w:lvlText w:val="%1."/>
      <w:numFmt w:val="decimal"/>
      <w:start w:val="6"/>
    </w:lvl>
  </w:abstractNum>
  <w:abstractNum w:abstractNumId="127">
    <w:nsid w:val="2A6DE806"/>
    <w:multiLevelType w:val="hybridMultilevel"/>
    <w:lvl w:ilvl="0">
      <w:lvlJc w:val="left"/>
      <w:lvlText w:val="%1."/>
      <w:numFmt w:val="decimal"/>
      <w:start w:val="7"/>
    </w:lvl>
  </w:abstractNum>
  <w:abstractNum w:abstractNumId="128">
    <w:nsid w:val="1816F8C4"/>
    <w:multiLevelType w:val="hybridMultilevel"/>
    <w:lvl w:ilvl="0">
      <w:lvlJc w:val="left"/>
      <w:lvlText w:val="%1."/>
      <w:numFmt w:val="upperLetter"/>
      <w:start w:val="61"/>
    </w:lvl>
  </w:abstractNum>
  <w:abstractNum w:abstractNumId="129">
    <w:nsid w:val="37DF2233"/>
    <w:multiLevelType w:val="hybridMultilevel"/>
    <w:lvl w:ilvl="0">
      <w:lvlJc w:val="left"/>
      <w:lvlText w:val="%1."/>
      <w:numFmt w:val="decimal"/>
      <w:start w:val="1"/>
    </w:lvl>
    <w:lvl w:ilvl="1">
      <w:lvlJc w:val="left"/>
      <w:lvlText w:val="(%2)"/>
      <w:numFmt w:val="lowerLetter"/>
      <w:start w:val="1"/>
    </w:lvl>
  </w:abstractNum>
  <w:abstractNum w:abstractNumId="130">
    <w:nsid w:val="7AB49DAF"/>
    <w:multiLevelType w:val="hybridMultilevel"/>
    <w:lvl w:ilvl="0">
      <w:lvlJc w:val="left"/>
      <w:lvlText w:val="(%1)"/>
      <w:numFmt w:val="lowerLetter"/>
      <w:start w:val="2"/>
    </w:lvl>
  </w:abstractNum>
  <w:abstractNum w:abstractNumId="131">
    <w:nsid w:val="759F82CD"/>
    <w:multiLevelType w:val="hybridMultilevel"/>
    <w:lvl w:ilvl="0">
      <w:lvlJc w:val="left"/>
      <w:lvlText w:val="(%1)"/>
      <w:numFmt w:val="lowerLetter"/>
      <w:start w:val="3"/>
    </w:lvl>
  </w:abstractNum>
  <w:abstractNum w:abstractNumId="132">
    <w:nsid w:val="61E74EA3"/>
    <w:multiLevelType w:val="hybridMultilevel"/>
    <w:lvl w:ilvl="0">
      <w:lvlJc w:val="left"/>
      <w:lvlText w:val="(%1)"/>
      <w:numFmt w:val="lowerLetter"/>
      <w:start w:val="4"/>
    </w:lvl>
  </w:abstractNum>
  <w:abstractNum w:abstractNumId="133">
    <w:nsid w:val="597B4D84"/>
    <w:multiLevelType w:val="hybridMultilevel"/>
    <w:lvl w:ilvl="0">
      <w:lvlJc w:val="left"/>
      <w:lvlText w:val="%1."/>
      <w:numFmt w:val="decimal"/>
      <w:start w:val="2"/>
    </w:lvl>
  </w:abstractNum>
  <w:abstractNum w:abstractNumId="134">
    <w:nsid w:val="F819E7F"/>
    <w:multiLevelType w:val="hybridMultilevel"/>
    <w:lvl w:ilvl="0">
      <w:lvlJc w:val="left"/>
      <w:lvlText w:val="%1."/>
      <w:numFmt w:val="decimal"/>
      <w:start w:val="3"/>
    </w:lvl>
  </w:abstractNum>
  <w:abstractNum w:abstractNumId="135">
    <w:nsid w:val="57C7D42D"/>
    <w:multiLevelType w:val="hybridMultilevel"/>
    <w:lvl w:ilvl="0">
      <w:lvlJc w:val="left"/>
      <w:lvlText w:val="%1."/>
      <w:numFmt w:val="decimal"/>
      <w:start w:val="4"/>
    </w:lvl>
  </w:abstractNum>
  <w:abstractNum w:abstractNumId="136">
    <w:nsid w:val="312167AD"/>
    <w:multiLevelType w:val="hybridMultilevel"/>
    <w:lvl w:ilvl="0">
      <w:lvlJc w:val="left"/>
      <w:lvlText w:val="%1."/>
      <w:numFmt w:val="decimal"/>
      <w:start w:val="1"/>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decimal"/>
      <w:start w:val="2"/>
    </w:lvl>
  </w:abstractNum>
  <w:abstractNum w:abstractNumId="139">
    <w:nsid w:val="75486E47"/>
    <w:multiLevelType w:val="hybridMultilevel"/>
    <w:lvl w:ilvl="0">
      <w:lvlJc w:val="left"/>
      <w:lvlText w:val="(%1)"/>
      <w:numFmt w:val="lowerLetter"/>
      <w:start w:val="1"/>
    </w:lvl>
  </w:abstractNum>
  <w:abstractNum w:abstractNumId="140">
    <w:nsid w:val="6E534CDE"/>
    <w:multiLevelType w:val="hybridMultilevel"/>
    <w:lvl w:ilvl="0">
      <w:lvlJc w:val="left"/>
      <w:lvlText w:val="%1."/>
      <w:numFmt w:val="decimal"/>
      <w:start w:val="3"/>
    </w:lvl>
  </w:abstractNum>
  <w:abstractNum w:abstractNumId="141">
    <w:nsid w:val="1A0DDE32"/>
    <w:multiLevelType w:val="hybridMultilevel"/>
    <w:lvl w:ilvl="0">
      <w:lvlJc w:val="left"/>
      <w:lvlText w:val="%1."/>
      <w:numFmt w:val="decimal"/>
      <w:start w:val="4"/>
    </w:lvl>
  </w:abstractNum>
  <w:abstractNum w:abstractNumId="142">
    <w:nsid w:val="65968C1C"/>
    <w:multiLevelType w:val="hybridMultilevel"/>
    <w:lvl w:ilvl="0">
      <w:lvlJc w:val="left"/>
      <w:lvlText w:val="%1."/>
      <w:numFmt w:val="decimal"/>
      <w:start w:val="5"/>
    </w:lvl>
  </w:abstractNum>
  <w:abstractNum w:abstractNumId="143">
    <w:nsid w:val="46263DEC"/>
    <w:multiLevelType w:val="hybridMultilevel"/>
    <w:lvl w:ilvl="0">
      <w:lvlJc w:val="left"/>
      <w:lvlText w:val="%1."/>
      <w:numFmt w:val="decimal"/>
      <w:start w:val="6"/>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Letter"/>
      <w:start w:val="1"/>
    </w:lvl>
  </w:abstractNum>
  <w:abstractNum w:abstractNumId="146">
    <w:nsid w:val="746F2E30"/>
    <w:multiLevelType w:val="hybridMultilevel"/>
    <w:lvl w:ilvl="0">
      <w:lvlJc w:val="left"/>
      <w:lvlText w:val="%1."/>
      <w:numFmt w:val="decimal"/>
      <w:start w:val="7"/>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3"/>
    </w:lvl>
  </w:abstractNum>
  <w:abstractNum w:abstractNumId="149">
    <w:nsid w:val="49C0E823"/>
    <w:multiLevelType w:val="hybridMultilevel"/>
    <w:lvl w:ilvl="0">
      <w:lvlJc w:val="left"/>
      <w:lvlText w:val="%1."/>
      <w:numFmt w:val="decimal"/>
      <w:start w:val="8"/>
    </w:lvl>
  </w:abstractNum>
  <w:abstractNum w:abstractNumId="150">
    <w:nsid w:val="14D53685"/>
    <w:multiLevelType w:val="hybridMultilevel"/>
    <w:lvl w:ilvl="0">
      <w:lvlJc w:val="left"/>
      <w:lvlText w:val="%1."/>
      <w:numFmt w:val="decimal"/>
      <w:start w:val="9"/>
    </w:lvl>
  </w:abstractNum>
  <w:abstractNum w:abstractNumId="151">
    <w:nsid w:val="230F856C"/>
    <w:multiLevelType w:val="hybridMultilevel"/>
    <w:lvl w:ilvl="0">
      <w:lvlJc w:val="left"/>
      <w:lvlText w:val="%1."/>
      <w:numFmt w:val="decimal"/>
      <w:start w:val="10"/>
    </w:lvl>
  </w:abstractNum>
  <w:abstractNum w:abstractNumId="152">
    <w:nsid w:val="6EAA85FB"/>
    <w:multiLevelType w:val="hybridMultilevel"/>
    <w:lvl w:ilvl="0">
      <w:lvlJc w:val="left"/>
      <w:lvlText w:val="%1."/>
      <w:numFmt w:val="decimal"/>
      <w:start w:val="1"/>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2019-12-09T04:24:20Z</dcterms:created>
  <dcterms:modified xsi:type="dcterms:W3CDTF">2019-12-09T04:24:20Z</dcterms:modified>
</cp:coreProperties>
</file>