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380" w:right="340" w:hanging="1061"/>
        <w:spacing w:after="0" w:line="237"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31,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561"/>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91"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640"/>
            <w:col w:w="2100"/>
          </w:cols>
          <w:pgMar w:left="240" w:top="122" w:right="239" w:bottom="1440" w:gutter="0" w:footer="0" w:header="0"/>
          <w:type w:val="continuous"/>
        </w:sectPr>
      </w:pPr>
    </w:p>
    <w:p>
      <w:pPr>
        <w:ind w:left="220" w:right="202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2010 there were 298,089,485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3299"/>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1A. RISK FACTORS</w:t>
        </w:r>
      </w:hyperlink>
    </w:p>
    <w:p>
      <w:pPr>
        <w:spacing w:after="0" w:line="1" w:lineRule="exact"/>
        <w:rPr>
          <w:sz w:val="20"/>
          <w:szCs w:val="20"/>
          <w:color w:val="auto"/>
        </w:rPr>
      </w:pPr>
    </w:p>
    <w:p>
      <w:pPr>
        <w:ind w:left="320" w:right="3299"/>
        <w:spacing w:after="0" w:line="230"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51">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w:t>
      </w:r>
    </w:p>
    <w:p>
      <w:pPr>
        <w:spacing w:after="0" w:line="230" w:lineRule="auto"/>
        <w:rPr>
          <w:sz w:val="20"/>
          <w:szCs w:val="20"/>
          <w:color w:val="auto"/>
        </w:rPr>
      </w:pPr>
      <w:r>
        <w:rPr>
          <w:rFonts w:ascii="Arial" w:cs="Arial" w:eastAsia="Arial" w:hAnsi="Arial"/>
          <w:sz w:val="22"/>
          <w:szCs w:val="22"/>
          <w:u w:val="single" w:color="auto"/>
          <w:color w:val="0000EE"/>
        </w:rPr>
        <w:t>EX-31.2</w:t>
      </w:r>
    </w:p>
    <w:p>
      <w:pPr>
        <w:spacing w:after="0" w:line="231" w:lineRule="auto"/>
        <w:rPr>
          <w:sz w:val="20"/>
          <w:szCs w:val="20"/>
          <w:color w:val="auto"/>
        </w:rPr>
      </w:pPr>
      <w:r>
        <w:rPr>
          <w:rFonts w:ascii="Arial" w:cs="Arial" w:eastAsia="Arial" w:hAnsi="Arial"/>
          <w:sz w:val="22"/>
          <w:szCs w:val="22"/>
          <w:u w:val="single" w:color="auto"/>
          <w:color w:val="0000EE"/>
        </w:rPr>
        <w:t>EX-32.1</w:t>
      </w:r>
    </w:p>
    <w:p>
      <w:pPr>
        <w:spacing w:after="0" w:line="231" w:lineRule="auto"/>
        <w:rPr>
          <w:sz w:val="20"/>
          <w:szCs w:val="20"/>
          <w:color w:val="auto"/>
        </w:rPr>
      </w:pPr>
      <w:r>
        <w:rPr>
          <w:rFonts w:ascii="Arial" w:cs="Arial" w:eastAsia="Arial" w:hAnsi="Arial"/>
          <w:sz w:val="22"/>
          <w:szCs w:val="22"/>
          <w:u w:val="single" w:color="auto"/>
          <w:color w:val="0000EE"/>
        </w:rPr>
        <w:t>EX-32.2</w:t>
      </w:r>
    </w:p>
    <w:p>
      <w:pPr>
        <w:spacing w:after="0" w:line="230" w:lineRule="auto"/>
        <w:rPr>
          <w:sz w:val="20"/>
          <w:szCs w:val="20"/>
          <w:color w:val="auto"/>
        </w:rPr>
      </w:pPr>
      <w:r>
        <w:rPr>
          <w:rFonts w:ascii="Arial" w:cs="Arial" w:eastAsia="Arial" w:hAnsi="Arial"/>
          <w:sz w:val="22"/>
          <w:szCs w:val="22"/>
          <w:u w:val="single" w:color="auto"/>
          <w:color w:val="0000EE"/>
        </w:rPr>
        <w:t>EX-101 INSTANCE DOCUMENT</w:t>
      </w:r>
    </w:p>
    <w:p>
      <w:pPr>
        <w:spacing w:after="0" w:line="231" w:lineRule="auto"/>
        <w:rPr>
          <w:sz w:val="20"/>
          <w:szCs w:val="20"/>
          <w:color w:val="auto"/>
        </w:rPr>
      </w:pPr>
      <w:r>
        <w:rPr>
          <w:rFonts w:ascii="Arial" w:cs="Arial" w:eastAsia="Arial" w:hAnsi="Arial"/>
          <w:sz w:val="22"/>
          <w:szCs w:val="22"/>
          <w:u w:val="single" w:color="auto"/>
          <w:color w:val="0000EE"/>
        </w:rPr>
        <w:t>EX-101 SCHEMA DOCUMENT</w:t>
      </w:r>
    </w:p>
    <w:p>
      <w:pPr>
        <w:spacing w:after="0" w:line="230"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231" w:lineRule="auto"/>
        <w:rPr>
          <w:sz w:val="20"/>
          <w:szCs w:val="20"/>
          <w:color w:val="auto"/>
        </w:rPr>
      </w:pPr>
      <w:r>
        <w:rPr>
          <w:rFonts w:ascii="Arial" w:cs="Arial" w:eastAsia="Arial" w:hAnsi="Arial"/>
          <w:sz w:val="22"/>
          <w:szCs w:val="22"/>
          <w:u w:val="single" w:color="auto"/>
          <w:color w:val="0000EE"/>
        </w:rPr>
        <w:t>EX-101 PRESENTATION LINKBASE DOCUMENT</w:t>
      </w:r>
    </w:p>
    <w:p>
      <w:pPr>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720,290</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240,088</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480,202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126,987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102,070</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229,057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187,284</w:t>
            </w:r>
          </w:p>
        </w:tc>
        <w:tc>
          <w:tcPr>
            <w:tcW w:w="0" w:type="dxa"/>
            <w:vAlign w:val="bottom"/>
          </w:tcPr>
          <w:p>
            <w:pPr>
              <w:spacing w:after="0"/>
              <w:rPr>
                <w:sz w:val="1"/>
                <w:szCs w:val="1"/>
                <w:color w:val="auto"/>
              </w:rPr>
            </w:pPr>
          </w:p>
        </w:tc>
      </w:tr>
      <w:tr>
        <w:trPr>
          <w:trHeight w:val="432"/>
        </w:trPr>
        <w:tc>
          <w:tcPr>
            <w:tcW w:w="66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251,145</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439"/>
        </w:trPr>
        <w:tc>
          <w:tcPr>
            <w:tcW w:w="66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251,321</w:t>
            </w:r>
          </w:p>
        </w:tc>
        <w:tc>
          <w:tcPr>
            <w:tcW w:w="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51,830</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6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199,491</w:t>
            </w:r>
          </w:p>
        </w:tc>
        <w:tc>
          <w:tcPr>
            <w:tcW w:w="6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298,027</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3"/>
            <w:vMerge w:val="continue"/>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306,168</w:t>
            </w:r>
          </w:p>
        </w:tc>
        <w:tc>
          <w:tcPr>
            <w:tcW w:w="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50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662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1,878</w:t>
            </w:r>
          </w:p>
        </w:tc>
        <w:tc>
          <w:tcPr>
            <w:tcW w:w="6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5,996</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Selling, marketing, general and administrative</w:t>
            </w:r>
          </w:p>
        </w:tc>
        <w:tc>
          <w:tcPr>
            <w:tcW w:w="25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5,302</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July 31, 2010</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1,991,513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1,443,308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708,320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1,283,193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288,211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668,859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(7,411)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170,218</w:t>
            </w:r>
          </w:p>
        </w:tc>
        <w:tc>
          <w:tcPr>
            <w:tcW w:w="0" w:type="dxa"/>
            <w:vAlign w:val="bottom"/>
          </w:tcPr>
          <w:p>
            <w:pPr>
              <w:spacing w:after="0"/>
              <w:rPr>
                <w:sz w:val="1"/>
                <w:szCs w:val="1"/>
                <w:color w:val="auto"/>
              </w:rPr>
            </w:pPr>
          </w:p>
        </w:tc>
      </w:tr>
      <w:tr>
        <w:trPr>
          <w:trHeight w:val="432"/>
        </w:trPr>
        <w:tc>
          <w:tcPr>
            <w:tcW w:w="66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127,377</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486,231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141,799</w:t>
            </w:r>
          </w:p>
        </w:tc>
        <w:tc>
          <w:tcPr>
            <w:tcW w:w="0" w:type="dxa"/>
            <w:vAlign w:val="bottom"/>
          </w:tcPr>
          <w:p>
            <w:pPr>
              <w:spacing w:after="0"/>
              <w:rPr>
                <w:sz w:val="1"/>
                <w:szCs w:val="1"/>
                <w:color w:val="auto"/>
              </w:rPr>
            </w:pPr>
          </w:p>
        </w:tc>
      </w:tr>
      <w:tr>
        <w:trPr>
          <w:trHeight w:val="439"/>
        </w:trPr>
        <w:tc>
          <w:tcPr>
            <w:tcW w:w="660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2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66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487,090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297,107</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3"/>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305,578</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3"/>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4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3"/>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660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5,409</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17,323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Selling, marketing, general and administrative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15,534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color w:val="auto"/>
                <w:w w:val="96"/>
              </w:rPr>
              <w:t>July 31,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993,429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639,729</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1,514,886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1,176,244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357,479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301,036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17,366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168,065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173,696</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79,835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66,092</w:t>
            </w: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265,266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253,161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70,782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78,740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32,696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40,363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3,234,538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2,490,636</w:t>
            </w:r>
          </w:p>
        </w:tc>
        <w:tc>
          <w:tcPr>
            <w:tcW w:w="100" w:type="dxa"/>
            <w:vAlign w:val="bottom"/>
            <w:shd w:val="clear" w:color="auto" w:fill="CCEEFF"/>
          </w:tcPr>
          <w:p>
            <w:pPr>
              <w:spacing w:after="0"/>
              <w:rPr>
                <w:sz w:val="18"/>
                <w:szCs w:val="18"/>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400,856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395,151</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1,549,064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1,511,822</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56,152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56,294</w:t>
            </w: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67,716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66,847</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2,073,788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2,030,114</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1,610,037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1,553,598</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463,751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476,516</w:t>
            </w:r>
          </w:p>
        </w:tc>
      </w:tr>
      <w:tr>
        <w:trPr>
          <w:trHeight w:val="20"/>
        </w:trPr>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7,998</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250,834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250,881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83,268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73,646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60,648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62,037</w:t>
            </w: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405,779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437,142</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4,104,068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3,404,294</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520" w:firstLine="8"/>
        <w:spacing w:after="0" w:line="402"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$2,492 and $2,718 related to stock-based compensation at July 31, 2010 and October 31, 2009,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color w:val="auto"/>
                <w:w w:val="96"/>
              </w:rPr>
              <w:t>July 31,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129,967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214,727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84,017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159,668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588,379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386,613</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395,756</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28,749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7,998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481,214</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298,089,485 shares issued and outstanding</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(291,861,767 on October 31, 2009)</w:t>
            </w:r>
          </w:p>
        </w:tc>
        <w:tc>
          <w:tcPr>
            <w:tcW w:w="12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49,683</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265,558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2,737,161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2,434,446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(17,927)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3,034,475</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2,529,149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4,104,068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3,404,294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color w:val="auto"/>
                <w:w w:val="98"/>
              </w:rPr>
              <w:t>July 31, 2010</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487,090</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86,776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38,266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Gain on sale of business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Income tax payments related to gain on sale of businesses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(16,233)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portion of special charge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Other non-cash activity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115,916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229,809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269,470</w:t>
            </w:r>
          </w:p>
        </w:tc>
        <w:tc>
          <w:tcPr>
            <w:tcW w:w="0" w:type="dxa"/>
            <w:vAlign w:val="bottom"/>
          </w:tcPr>
          <w:p>
            <w:pPr>
              <w:spacing w:after="0"/>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(2,354,565)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(1,914,428)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2,015,706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1,535,941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(expenditures) from sale of business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(73,794)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for acquisitions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Decrease (increase) in other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(345,949)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(433,643)</w:t>
            </w:r>
          </w:p>
        </w:tc>
        <w:tc>
          <w:tcPr>
            <w:tcW w:w="0" w:type="dxa"/>
            <w:vAlign w:val="bottom"/>
          </w:tcPr>
          <w:p>
            <w:pPr>
              <w:spacing w:after="0"/>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(184,375)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174,002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for) provided by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200,671</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993,429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JULY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31, 2009 and related notes. The results of operations for the interim period shown in this report are not necessarily indicative of the results that may be expected for the fiscal year ending October 30, 2010 or any future period.</w:t>
      </w:r>
    </w:p>
    <w:p>
      <w:pPr>
        <w:spacing w:after="0" w:line="63"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 as of October 31, 2009.</w:t>
      </w:r>
    </w:p>
    <w:p>
      <w:pPr>
        <w:spacing w:after="0" w:line="46"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2010 and fiscal 2009 are 52-week fiscal years. Certain amounts reported in previous years have been reclassified to conform to the fiscal 2010 presentation. Such reclassified amounts were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product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79" w:lineRule="exact"/>
        <w:rPr>
          <w:sz w:val="20"/>
          <w:szCs w:val="20"/>
          <w:color w:val="auto"/>
        </w:rPr>
      </w:pPr>
    </w:p>
    <w:p>
      <w:pPr>
        <w:jc w:val="both"/>
        <w:ind w:right="40" w:firstLine="22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jc w:val="both"/>
        <w:ind w:right="40" w:firstLine="215"/>
        <w:spacing w:after="0" w:line="259" w:lineRule="auto"/>
        <w:rPr>
          <w:sz w:val="20"/>
          <w:szCs w:val="20"/>
          <w:color w:val="auto"/>
        </w:rPr>
      </w:pPr>
      <w:r>
        <w:rPr>
          <w:rFonts w:ascii="Arial" w:cs="Arial" w:eastAsia="Arial" w:hAnsi="Arial"/>
          <w:sz w:val="18"/>
          <w:szCs w:val="18"/>
          <w:color w:val="auto"/>
        </w:rPr>
        <w:t>As of July 31, 2010 and October 31, 2009, the Company had gross deferred revenue of $299.2 million and $230.8 million, respectively, and gross deferred cost of sales of $84.5 million and $81.5 million, respectively. Deferred income on shipments to distributors as of July 31, 2010 was higher than the amount as of October 31, 2009 by $65.4 million, primarily as a result of the Company’s shipments to its distributors in the first nine months of fiscal 2010 exceeding the distributors’ sales to their customers during this same time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generally offers a 12-month warranty for its products. The Company’s warranty policy provides for replacement of the defective product.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Specific accruals are recorded for known product warranty issues. Product warranty expenses during either of the three- and nine-month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July 31, 2010 and August 1, 2009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used to calculate the fair value of stock options granted during the three- and nine-month periods ended July 31, 2010 and August 1, 2009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460" w:type="dxa"/>
            <w:vAlign w:val="bottom"/>
            <w:gridSpan w:val="2"/>
            <w:vMerge w:val="continue"/>
          </w:tcPr>
          <w:p>
            <w:pPr>
              <w:spacing w:after="0"/>
              <w:rPr>
                <w:sz w:val="12"/>
                <w:szCs w:val="12"/>
                <w:color w:val="auto"/>
              </w:rPr>
            </w:pPr>
          </w:p>
        </w:tc>
        <w:tc>
          <w:tcPr>
            <w:tcW w:w="132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July 31, 2010</w:t>
            </w:r>
          </w:p>
        </w:tc>
        <w:tc>
          <w:tcPr>
            <w:tcW w:w="14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August 1, 2009</w:t>
            </w:r>
          </w:p>
        </w:tc>
        <w:tc>
          <w:tcPr>
            <w:tcW w:w="480" w:type="dxa"/>
            <w:vAlign w:val="bottom"/>
          </w:tcPr>
          <w:p>
            <w:pPr>
              <w:spacing w:after="0"/>
              <w:rPr>
                <w:sz w:val="12"/>
                <w:szCs w:val="12"/>
                <w:color w:val="auto"/>
              </w:rPr>
            </w:pPr>
          </w:p>
        </w:tc>
        <w:tc>
          <w:tcPr>
            <w:tcW w:w="132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July 31, 2010</w:t>
            </w:r>
          </w:p>
        </w:tc>
        <w:tc>
          <w:tcPr>
            <w:tcW w:w="14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12</w:t>
            </w: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84"/>
              </w:rPr>
              <w:t>1,850</w:t>
            </w: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29.19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22.96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31.51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84"/>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Assumptions: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33.3%</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31.4%</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80" w:firstLine="22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July 31, 2010.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 summary of the activity under the Company’s stock option plans as of July 31, 2010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July 31, 2010</w:t>
            </w:r>
          </w:p>
        </w:tc>
        <w:tc>
          <w:tcPr>
            <w:tcW w:w="2040" w:type="dxa"/>
            <w:vAlign w:val="bottom"/>
            <w:gridSpan w:val="4"/>
          </w:tcPr>
          <w:p>
            <w:pPr>
              <w:jc w:val="center"/>
              <w:ind w:left="415"/>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8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4960" w:type="dxa"/>
            <w:vAlign w:val="bottom"/>
            <w:gridSpan w:val="2"/>
            <w:vMerge w:val="continue"/>
          </w:tcPr>
          <w:p>
            <w:pPr>
              <w:spacing w:after="0"/>
              <w:rPr>
                <w:sz w:val="15"/>
                <w:szCs w:val="15"/>
                <w:color w:val="auto"/>
              </w:rPr>
            </w:pPr>
          </w:p>
        </w:tc>
        <w:tc>
          <w:tcPr>
            <w:tcW w:w="204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420" w:type="dxa"/>
            <w:vAlign w:val="bottom"/>
          </w:tcPr>
          <w:p>
            <w:pPr>
              <w:spacing w:after="0"/>
              <w:rPr>
                <w:sz w:val="15"/>
                <w:szCs w:val="15"/>
                <w:color w:val="auto"/>
              </w:rPr>
            </w:pPr>
          </w:p>
        </w:tc>
        <w:tc>
          <w:tcPr>
            <w:tcW w:w="86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May 1, 2010</w:t>
            </w:r>
          </w:p>
        </w:tc>
        <w:tc>
          <w:tcPr>
            <w:tcW w:w="15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45,686</w:t>
            </w:r>
          </w:p>
        </w:tc>
        <w:tc>
          <w:tcPr>
            <w:tcW w:w="5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$29.77</w:t>
            </w:r>
          </w:p>
        </w:tc>
        <w:tc>
          <w:tcPr>
            <w:tcW w:w="1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495"/>
              <w:spacing w:after="0"/>
              <w:rPr>
                <w:sz w:val="20"/>
                <w:szCs w:val="20"/>
                <w:color w:val="auto"/>
              </w:rPr>
            </w:pPr>
            <w:r>
              <w:rPr>
                <w:rFonts w:ascii="Arial" w:cs="Arial" w:eastAsia="Arial" w:hAnsi="Arial"/>
                <w:sz w:val="18"/>
                <w:szCs w:val="18"/>
                <w:color w:val="auto"/>
              </w:rPr>
              <w:t>$29.19</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16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$20.70</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40" w:type="dxa"/>
            <w:vAlign w:val="bottom"/>
            <w:gridSpan w:val="4"/>
          </w:tcPr>
          <w:p>
            <w:pPr>
              <w:jc w:val="right"/>
              <w:ind w:right="460"/>
              <w:spacing w:after="0"/>
              <w:rPr>
                <w:sz w:val="20"/>
                <w:szCs w:val="20"/>
                <w:color w:val="auto"/>
              </w:rPr>
            </w:pPr>
            <w:r>
              <w:rPr>
                <w:rFonts w:ascii="Arial" w:cs="Arial" w:eastAsia="Arial" w:hAnsi="Arial"/>
                <w:sz w:val="18"/>
                <w:szCs w:val="18"/>
                <w:color w:val="auto"/>
              </w:rPr>
              <w:t>(314)</w:t>
            </w:r>
          </w:p>
        </w:tc>
        <w:tc>
          <w:tcPr>
            <w:tcW w:w="1660" w:type="dxa"/>
            <w:vAlign w:val="bottom"/>
          </w:tcPr>
          <w:p>
            <w:pPr>
              <w:jc w:val="right"/>
              <w:ind w:right="495"/>
              <w:spacing w:after="0"/>
              <w:rPr>
                <w:sz w:val="20"/>
                <w:szCs w:val="20"/>
                <w:color w:val="auto"/>
              </w:rPr>
            </w:pPr>
            <w:r>
              <w:rPr>
                <w:rFonts w:ascii="Arial" w:cs="Arial" w:eastAsia="Arial" w:hAnsi="Arial"/>
                <w:sz w:val="18"/>
                <w:szCs w:val="18"/>
                <w:color w:val="auto"/>
              </w:rPr>
              <w:t>$27.25</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16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$55.01</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31, 2010</w:t>
            </w:r>
          </w:p>
        </w:tc>
        <w:tc>
          <w:tcPr>
            <w:tcW w:w="10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44,959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495"/>
              <w:spacing w:after="0"/>
              <w:rPr>
                <w:sz w:val="20"/>
                <w:szCs w:val="20"/>
                <w:color w:val="auto"/>
              </w:rPr>
            </w:pPr>
            <w:r>
              <w:rPr>
                <w:rFonts w:ascii="Arial" w:cs="Arial" w:eastAsia="Arial" w:hAnsi="Arial"/>
                <w:sz w:val="18"/>
                <w:szCs w:val="18"/>
                <w:color w:val="auto"/>
              </w:rPr>
              <w:t>$29.73</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w w:val="89"/>
              </w:rPr>
              <w:t>129,736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July 31, 2010</w:t>
            </w:r>
          </w:p>
        </w:tc>
        <w:tc>
          <w:tcPr>
            <w:tcW w:w="10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19,815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$32.71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60,991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July 31, 2010 (1)</w:t>
            </w:r>
          </w:p>
        </w:tc>
        <w:tc>
          <w:tcPr>
            <w:tcW w:w="1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vMerge w:val="restart"/>
          </w:tcPr>
          <w:p>
            <w:pPr>
              <w:jc w:val="right"/>
              <w:ind w:right="495"/>
              <w:spacing w:after="0"/>
              <w:rPr>
                <w:sz w:val="20"/>
                <w:szCs w:val="20"/>
                <w:color w:val="auto"/>
              </w:rPr>
            </w:pPr>
            <w:r>
              <w:rPr>
                <w:rFonts w:ascii="Arial" w:cs="Arial" w:eastAsia="Arial" w:hAnsi="Arial"/>
                <w:sz w:val="18"/>
                <w:szCs w:val="18"/>
                <w:color w:val="auto"/>
              </w:rPr>
              <w:t>$29.81</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77"/>
              <w:spacing w:after="0"/>
              <w:rPr>
                <w:sz w:val="20"/>
                <w:szCs w:val="20"/>
                <w:color w:val="auto"/>
              </w:rPr>
            </w:pPr>
            <w:r>
              <w:rPr>
                <w:rFonts w:ascii="Arial" w:cs="Arial" w:eastAsia="Arial" w:hAnsi="Arial"/>
                <w:sz w:val="18"/>
                <w:szCs w:val="18"/>
                <w:color w:val="auto"/>
                <w:w w:val="89"/>
              </w:rPr>
              <w:t>125,245</w:t>
            </w: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43,606</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July 31, 2010</w:t>
            </w:r>
          </w:p>
        </w:tc>
        <w:tc>
          <w:tcPr>
            <w:tcW w:w="40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Options Outstanding</w:t>
            </w:r>
          </w:p>
        </w:tc>
        <w:tc>
          <w:tcPr>
            <w:tcW w:w="164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4080" w:type="dxa"/>
            <w:vAlign w:val="bottom"/>
            <w:gridSpan w:val="4"/>
            <w:vMerge w:val="continue"/>
          </w:tcPr>
          <w:p>
            <w:pPr>
              <w:spacing w:after="0"/>
              <w:rPr>
                <w:sz w:val="15"/>
                <w:szCs w:val="15"/>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31, 2009</w:t>
            </w:r>
          </w:p>
        </w:tc>
        <w:tc>
          <w:tcPr>
            <w:tcW w:w="33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52,463</w:t>
            </w:r>
          </w:p>
        </w:tc>
        <w:tc>
          <w:tcPr>
            <w:tcW w:w="7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1,850</w:t>
            </w:r>
          </w:p>
        </w:tc>
        <w:tc>
          <w:tcPr>
            <w:tcW w:w="740" w:type="dxa"/>
            <w:vAlign w:val="bottom"/>
          </w:tcPr>
          <w:p>
            <w:pPr>
              <w:spacing w:after="0"/>
              <w:rPr>
                <w:sz w:val="18"/>
                <w:szCs w:val="18"/>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0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(7,121)</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080" w:type="dxa"/>
            <w:vAlign w:val="bottom"/>
            <w:gridSpan w:val="4"/>
          </w:tcPr>
          <w:p>
            <w:pPr>
              <w:jc w:val="right"/>
              <w:ind w:right="700"/>
              <w:spacing w:after="0"/>
              <w:rPr>
                <w:sz w:val="20"/>
                <w:szCs w:val="20"/>
                <w:color w:val="auto"/>
              </w:rPr>
            </w:pPr>
            <w:r>
              <w:rPr>
                <w:rFonts w:ascii="Arial" w:cs="Arial" w:eastAsia="Arial" w:hAnsi="Arial"/>
                <w:sz w:val="18"/>
                <w:szCs w:val="18"/>
                <w:color w:val="auto"/>
              </w:rPr>
              <w:t>(993)</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0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(1,240)</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July 31, 2010</w:t>
            </w:r>
          </w:p>
        </w:tc>
        <w:tc>
          <w:tcPr>
            <w:tcW w:w="28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44,959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During the three and nine months ended July 31, 2010, the total intrinsic value of options exercised (i.e., the difference between the market price at exercise and the price paid by the employee to exercise the options) was $2.2 million and $17.9 million, respectively, and the total amount of proceeds received from exercise of these options was $4.9 million and $198.2 million, respectively. Proceeds from stock option exercises pursuant to employee stock plans in the Company’s statement of cash flows during the nine months ended July 31, 2010 of $174.0 million are net of the value of shares surrendered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employees in certain limited circumstances to satisfy the exercise price of options, and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nine months ended July 31, 2010 was approximately $0.3 million and $32.3 million, respectively.</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three and nine months ended August 1, 2009, the total intrinsic value of options exercised (i.e., the difference between the market price at exercise and the price paid by the employee to exercise the options) was $1.8 million and $2.5 million, respectively, and the total amount of proceeds received from exercise of these options was $5.8 million and $8.8 million, respectively. Proceeds from stock option exercises pursuant to employee stock plans in the Company’s statement of cash flows during the nine months ended August 1, 2009 of $8.7 million, are net of the value of shares surrendered by employees to satisfy employee tax obligations upon vesting of restricted stock or restricted stock units (RSU’s)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nine months ended August 1, 2009 was approximately $0.7 million and $72.8 million, respectively.</w:t>
      </w:r>
    </w:p>
    <w:p>
      <w:pPr>
        <w:spacing w:after="0" w:line="71"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 summary of the Company’s restricted stock unit award activity as of July 31, 2010 and changes during the three- and nine-month periods then ended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tcPr>
          <w:p>
            <w:pPr>
              <w:jc w:val="center"/>
              <w:ind w:lef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520" w:type="dxa"/>
            <w:vAlign w:val="bottom"/>
            <w:gridSpan w:val="3"/>
          </w:tcPr>
          <w:p>
            <w:pPr>
              <w:jc w:val="center"/>
              <w:ind w:left="18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July 31, 2010</w:t>
            </w:r>
          </w:p>
        </w:tc>
        <w:tc>
          <w:tcPr>
            <w:tcW w:w="3520" w:type="dxa"/>
            <w:vAlign w:val="bottom"/>
            <w:gridSpan w:val="3"/>
          </w:tcPr>
          <w:p>
            <w:pPr>
              <w:jc w:val="center"/>
              <w:ind w:left="18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420" w:type="dxa"/>
            <w:vAlign w:val="bottom"/>
            <w:gridSpan w:val="2"/>
            <w:vMerge w:val="continue"/>
          </w:tcPr>
          <w:p>
            <w:pPr>
              <w:spacing w:after="0"/>
              <w:rPr>
                <w:sz w:val="15"/>
                <w:szCs w:val="15"/>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May 1, 2010</w:t>
            </w:r>
          </w:p>
        </w:tc>
        <w:tc>
          <w:tcPr>
            <w:tcW w:w="3520" w:type="dxa"/>
            <w:vAlign w:val="bottom"/>
            <w:tcBorders>
              <w:top w:val="single" w:sz="8" w:color="auto"/>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1,264</w:t>
            </w:r>
          </w:p>
        </w:tc>
        <w:tc>
          <w:tcPr>
            <w:tcW w:w="14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3520" w:type="dxa"/>
            <w:vAlign w:val="bottom"/>
            <w:gridSpan w:val="3"/>
          </w:tcPr>
          <w:p>
            <w:pPr>
              <w:jc w:val="right"/>
              <w:ind w:right="620"/>
              <w:spacing w:after="0"/>
              <w:rPr>
                <w:sz w:val="20"/>
                <w:szCs w:val="20"/>
                <w:color w:val="auto"/>
              </w:rPr>
            </w:pPr>
            <w:r>
              <w:rPr>
                <w:rFonts w:ascii="Arial" w:cs="Arial" w:eastAsia="Arial" w:hAnsi="Arial"/>
                <w:sz w:val="18"/>
                <w:szCs w:val="18"/>
                <w:color w:val="auto"/>
              </w:rPr>
              <w:t>9</w:t>
            </w:r>
          </w:p>
        </w:tc>
        <w:tc>
          <w:tcPr>
            <w:tcW w:w="1480" w:type="dxa"/>
            <w:vAlign w:val="bottom"/>
          </w:tcPr>
          <w:p>
            <w:pPr>
              <w:ind w:left="58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5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1480" w:type="dxa"/>
            <w:vAlign w:val="bottom"/>
          </w:tcPr>
          <w:p>
            <w:pPr>
              <w:ind w:left="58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July 31, 2010</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1,261</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520" w:type="dxa"/>
            <w:vAlign w:val="bottom"/>
            <w:gridSpan w:val="3"/>
          </w:tcPr>
          <w:p>
            <w:pPr>
              <w:jc w:val="center"/>
              <w:ind w:left="18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July 31, 2010</w:t>
            </w:r>
          </w:p>
        </w:tc>
        <w:tc>
          <w:tcPr>
            <w:tcW w:w="3520" w:type="dxa"/>
            <w:vAlign w:val="bottom"/>
            <w:gridSpan w:val="3"/>
          </w:tcPr>
          <w:p>
            <w:pPr>
              <w:jc w:val="center"/>
              <w:ind w:left="18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420" w:type="dxa"/>
            <w:vAlign w:val="bottom"/>
            <w:gridSpan w:val="2"/>
            <w:vMerge w:val="continue"/>
          </w:tcPr>
          <w:p>
            <w:pPr>
              <w:spacing w:after="0"/>
              <w:rPr>
                <w:sz w:val="15"/>
                <w:szCs w:val="15"/>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October 31, 2009</w:t>
            </w:r>
          </w:p>
        </w:tc>
        <w:tc>
          <w:tcPr>
            <w:tcW w:w="3520" w:type="dxa"/>
            <w:vAlign w:val="bottom"/>
            <w:tcBorders>
              <w:top w:val="single" w:sz="8" w:color="auto"/>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135</w:t>
            </w:r>
          </w:p>
        </w:tc>
        <w:tc>
          <w:tcPr>
            <w:tcW w:w="14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3520" w:type="dxa"/>
            <w:vAlign w:val="bottom"/>
            <w:gridSpan w:val="3"/>
          </w:tcPr>
          <w:p>
            <w:pPr>
              <w:jc w:val="right"/>
              <w:ind w:right="620"/>
              <w:spacing w:after="0"/>
              <w:rPr>
                <w:sz w:val="20"/>
                <w:szCs w:val="20"/>
                <w:color w:val="auto"/>
              </w:rPr>
            </w:pPr>
            <w:r>
              <w:rPr>
                <w:rFonts w:ascii="Arial" w:cs="Arial" w:eastAsia="Arial" w:hAnsi="Arial"/>
                <w:sz w:val="18"/>
                <w:szCs w:val="18"/>
                <w:color w:val="auto"/>
              </w:rPr>
              <w:t>1,156</w:t>
            </w:r>
          </w:p>
        </w:tc>
        <w:tc>
          <w:tcPr>
            <w:tcW w:w="1480" w:type="dxa"/>
            <w:vAlign w:val="bottom"/>
          </w:tcPr>
          <w:p>
            <w:pPr>
              <w:ind w:left="58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5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480" w:type="dxa"/>
            <w:vAlign w:val="bottom"/>
          </w:tcPr>
          <w:p>
            <w:pPr>
              <w:ind w:left="58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July 31, 2010</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1,261</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342" w:lineRule="auto"/>
        <w:rPr>
          <w:sz w:val="20"/>
          <w:szCs w:val="20"/>
          <w:color w:val="auto"/>
        </w:rPr>
      </w:pPr>
      <w:r>
        <w:rPr>
          <w:rFonts w:ascii="Arial" w:cs="Arial" w:eastAsia="Arial" w:hAnsi="Arial"/>
          <w:sz w:val="16"/>
          <w:szCs w:val="16"/>
          <w:color w:val="auto"/>
        </w:rPr>
        <w:t>As of July 31, 2010, there was $108.4 million (before tax consideration) of total unrecognized compensation cost related to unvested share-based awards, including stock options, restricted stock and restricted stock units. That cost is expected to be recognized over a weighted-average period of 1.5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199,491</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(4,772)</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Change in unrealized holding losses (net of taxes of $10 and $2, respectively) on securities classified as short-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w w:val="94"/>
              </w:rPr>
              <w:t>Change in unrealized holding gains (net of taxes of $53 and $211, respectively) on securities classified as other</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gains (net of taxes of $312 and $1,336, respectively) on derivative instruments designated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cash flow hedges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asset (obligation)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Net actuarial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(3,211)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196,280</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486,231</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(net of taxes of $26 and $352, respectively) on securities classified as short-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(net of taxes of $107 and $265, respectively) on securities classified as other</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Change in unrealized (losses) gains (net of taxes of $1,053 and $3,837, respectively) on derivative instruments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(7,178)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Transition asset (obligation)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gain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478,552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173,170</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479,411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income at July 31, 2010 and October 31, 2009 consisted of the following:</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July 31,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r>
      <w:tr>
        <w:trPr>
          <w:trHeight w:val="20"/>
        </w:trPr>
        <w:tc>
          <w:tcPr>
            <w:tcW w:w="8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(8,567)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(7,476)</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Unrealized (losses) gains on derivative instruments</w:t>
            </w:r>
          </w:p>
        </w:tc>
        <w:tc>
          <w:tcPr>
            <w:tcW w:w="16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Transition obligation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Net actuarial loss</w:t>
            </w:r>
          </w:p>
        </w:tc>
        <w:tc>
          <w:tcPr>
            <w:tcW w:w="16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(8,109)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(8,688)</w:t>
            </w:r>
          </w:p>
        </w:tc>
      </w:tr>
      <w:tr>
        <w:trPr>
          <w:trHeight w:val="27"/>
        </w:trPr>
        <w:tc>
          <w:tcPr>
            <w:tcW w:w="8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(17,927)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r>
      <w:tr>
        <w:trPr>
          <w:trHeight w:val="20"/>
        </w:trPr>
        <w:tc>
          <w:tcPr>
            <w:tcW w:w="8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aggregate fair value of investments with unrealized losses as of July 31, 2010 and October 31, 2009 was $1,256.5 million and $535.3 million, respectively. These unrealized losses are all related to commercial paper that earns lower interest rates than current market rates. None of these investments have been in a loss position for more than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restricted stock, and RSU’s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199,491</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298,027</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199,491</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298,027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8,141</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306,168</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19,464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60,279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20" w:type="dxa"/>
            <w:vAlign w:val="bottom"/>
          </w:tcPr>
          <w:p>
            <w:pPr>
              <w:jc w:val="right"/>
              <w:ind w:right="309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ind w:left="4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486,231</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487,090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142,163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297,107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291,267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297,107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291,267</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305,578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292,259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19,449</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63,967</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420" w:type="dxa"/>
            <w:vAlign w:val="bottom"/>
          </w:tcPr>
          <w:p>
            <w:pPr>
              <w:jc w:val="right"/>
              <w:ind w:right="30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3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Reduction</w:t>
            </w: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Closure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Wafer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Costs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Cambridge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20,315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20,315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13,748</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2007 Charges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2008 Charges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26,583</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14,629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2009 Charges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30,333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2010 Charges: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10,908</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2010 Charges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11,419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Closure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vMerge w:val="restart"/>
          </w:tcPr>
          <w:p>
            <w:pPr>
              <w:jc w:val="center"/>
              <w:ind w:right="620"/>
              <w:spacing w:after="0"/>
              <w:rPr>
                <w:sz w:val="20"/>
                <w:szCs w:val="20"/>
                <w:color w:val="auto"/>
              </w:rPr>
            </w:pPr>
            <w:r>
              <w:rPr>
                <w:rFonts w:ascii="Arial" w:cs="Arial" w:eastAsia="Arial" w:hAnsi="Arial"/>
                <w:sz w:val="14"/>
                <w:szCs w:val="14"/>
                <w:b w:val="1"/>
                <w:bCs w:val="1"/>
                <w:color w:val="auto"/>
                <w:w w:val="92"/>
              </w:rPr>
              <w:t>Closure of Wafer</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16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Reduction of</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Wafer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640" w:type="dxa"/>
            <w:vAlign w:val="bottom"/>
            <w:gridSpan w:val="4"/>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500" w:type="dxa"/>
            <w:vAlign w:val="bottom"/>
          </w:tcPr>
          <w:p>
            <w:pPr>
              <w:spacing w:after="0"/>
              <w:rPr>
                <w:sz w:val="12"/>
                <w:szCs w:val="12"/>
                <w:color w:val="auto"/>
              </w:rPr>
            </w:pPr>
          </w:p>
        </w:tc>
        <w:tc>
          <w:tcPr>
            <w:tcW w:w="18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Fabrication 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60" w:type="dxa"/>
            <w:vAlign w:val="bottom"/>
          </w:tcPr>
          <w:p>
            <w:pPr>
              <w:spacing w:after="0"/>
              <w:rPr>
                <w:sz w:val="12"/>
                <w:szCs w:val="12"/>
                <w:color w:val="auto"/>
              </w:rPr>
            </w:pP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Costs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 Cambridge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2009</w:t>
            </w:r>
          </w:p>
        </w:tc>
        <w:tc>
          <w:tcPr>
            <w:tcW w:w="64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Fiscal 2010 special charges</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2010</w:t>
            </w:r>
          </w:p>
        </w:tc>
        <w:tc>
          <w:tcPr>
            <w:tcW w:w="64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payments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 at May 1, 2010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 at July 31, 2010</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140" w:firstLine="222"/>
        <w:spacing w:after="0" w:line="286" w:lineRule="auto"/>
        <w:rPr>
          <w:sz w:val="20"/>
          <w:szCs w:val="20"/>
          <w:color w:val="auto"/>
        </w:rPr>
      </w:pPr>
      <w:r>
        <w:rPr>
          <w:rFonts w:ascii="Arial" w:cs="Arial" w:eastAsia="Arial" w:hAnsi="Arial"/>
          <w:sz w:val="17"/>
          <w:szCs w:val="17"/>
          <w:color w:val="auto"/>
        </w:rPr>
        <w:t>The Company ceased production at its California wafer fabrication facility in November 2006. The Company paid the related lease obligation costs on a monthly basis over the remaining lease term, which expired in March 2010. A one-time settlement charge of $0.4 million was recorded in the first quarter of fiscal 2010 related to the termination of the lease. The Company does not expect to incur any additional charges related to this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in accordance with the Company’s ongoing benefit plan for 150 manufacturing employees associated with this action. The Company has terminated the employment of all employees associated with these programs and has paid out all amounts owed to employees as severance. During fiscal 2008, the Company recorded an additional charge of $1.5 million related to this action, of which $1.2 million was an adjustment to the original estimate of the severance costs and $0.3 million was for clean-up and closure costs that were expensed as incurred. During fiscal 2009, the Company recorded additional charges of $1.2 million for clean-up and closure costs that were expensed as incurred. The production in the six-inch wafer fabrication facility ceased during the fourth quarter of fiscal 2009. The Company does not expect to incur any further charges related to this action.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in accordance with its ongoing benefit plan or statutory requirements at foreign locations for 19 engineering, selling, marketing, general and administrative employees.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Company terminated the employment of all employees associated with this charge and is paying amounts owed to employees for severance as income continuance.</w:t>
      </w:r>
    </w:p>
    <w:p>
      <w:pPr>
        <w:spacing w:after="0" w:line="62"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$0.9 million was for the write-off of property, plant and equipment no longer used as a result of this action; and approximately $0.8 million was for contract termination costs and for clean-up and closure costs that were expensed as incurred. The remaining $26.5 million related to the severance and fringe benefit costs recorded in accordance with the Company’s ongoing benefit plan or statutory requirements at foreign locations for 245 manufacturing employees and 302 engineering and SMG&amp;A employees. The Company terminated the employment of all employees associated with this charge and is paying amounts owed to employees for severance as income continuance.</w:t>
      </w:r>
    </w:p>
    <w:p>
      <w:pPr>
        <w:spacing w:after="0" w:line="8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As of July 31, 2010, the Company still employed 1 of the 149 employees included in this cost reduction action. This employee must continue to be employed by the Company until his employment is involuntarily terminated in order to receive the severance benefit. Approximately $0.5 million of the charge relates to the Company’s decision to abandon efforts to develop a particular expertise in power management, resulting in the impairment of related intellectual property.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6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are no longer needed at those facilities and therefore have no future use. The Company also recorded a special charge of $0.1 million for clean-up costs as the Company began its cleanup of the Cambridge wafer fabrication facility at the end of the fourth quarter of fiscal 2009. As of July 31, 2010, the Company still employed 1 of the employees included in this action. This employee must continue to be employed by the Company until his employment is involuntarily terminated in order to receive the severance benefit.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 million of the charge related to lease obligation costs for the Cambridge wafer fabrication facility, which the Company ceased using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2010; the remaining $1.3 million of the charge related to cleanup and closure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reclassifies revenue by end market for prior periods. Such reclassifications typically do not materially change the sizing of, or the underlying trends of results within, each end market.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July 31,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tcBorders>
              <w:top w:val="single" w:sz="8" w:color="auto"/>
            </w:tcBorders>
            <w:gridSpan w:val="2"/>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$ 340,505</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$ 201,900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83,539</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62%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51,497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128,616</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104,432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153,657</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123,550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$ 720,290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$ 491,991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31, 2010</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1,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918,419</w:t>
            </w: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629,676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239,943</w:t>
            </w:r>
          </w:p>
        </w:tc>
        <w:tc>
          <w:tcPr>
            <w:tcW w:w="14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131,510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366,546</w:t>
            </w: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262,576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425,496</w:t>
            </w:r>
          </w:p>
        </w:tc>
        <w:tc>
          <w:tcPr>
            <w:tcW w:w="14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383,713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35,833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1,443,308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July 31,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tcBorders>
              <w:top w:val="single" w:sz="8" w:color="auto"/>
            </w:tcBorders>
            <w:gridSpan w:val="2"/>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$ 334,288</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$ 249,162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184,397</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120,288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87,651</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43%</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606,336</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424,207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53,413</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$ 659,749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$ 452,194</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60,541</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$ 720,290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$ 491,991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60" w:hanging="5612"/>
        <w:spacing w:after="0" w:line="589" w:lineRule="auto"/>
        <w:tabs>
          <w:tab w:leader="none" w:pos="45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individual percentages does not equal the total due to rounding.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31, 2010</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1,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931,088</w:t>
            </w:r>
          </w:p>
        </w:tc>
        <w:tc>
          <w:tcPr>
            <w:tcW w:w="2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723,923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502,532</w:t>
            </w: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374,667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140,244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1,681,201</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1,238,834</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82,288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1,820,290</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1,321,122</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122,186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1,443,308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July 31, 2010 and August 1, 2009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Region</w:t>
            </w:r>
          </w:p>
        </w:tc>
        <w:tc>
          <w:tcPr>
            <w:tcW w:w="140" w:type="dxa"/>
            <w:vAlign w:val="bottom"/>
          </w:tcPr>
          <w:p>
            <w:pPr>
              <w:spacing w:after="0"/>
              <w:rPr>
                <w:sz w:val="14"/>
                <w:szCs w:val="14"/>
                <w:color w:val="auto"/>
              </w:rPr>
            </w:pPr>
          </w:p>
        </w:tc>
        <w:tc>
          <w:tcPr>
            <w:tcW w:w="28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8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vMerge w:val="continue"/>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6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August 1, 2009</w:t>
            </w:r>
          </w:p>
        </w:tc>
        <w:tc>
          <w:tcPr>
            <w:tcW w:w="64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129,933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94,326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375,256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40,189</w:t>
            </w:r>
          </w:p>
        </w:tc>
        <w:tc>
          <w:tcPr>
            <w:tcW w:w="2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23,961</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108,052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186,035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120,899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504,031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Japan</w:t>
            </w: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109,530</w:t>
            </w:r>
          </w:p>
        </w:tc>
        <w:tc>
          <w:tcPr>
            <w:tcW w:w="2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91,480</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325,751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132,119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347,642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 of Asia</w:t>
            </w:r>
          </w:p>
        </w:tc>
        <w:tc>
          <w:tcPr>
            <w:tcW w:w="1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122,484</w:t>
            </w:r>
          </w:p>
        </w:tc>
        <w:tc>
          <w:tcPr>
            <w:tcW w:w="2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76,008</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330,781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8"/>
              </w:rPr>
              <w:t>720,290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491,991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1,991,513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1,443,308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the three- and nine-month periods ended July 31, 2010, the predominant countries comprising “Rest of North and South America” are Canada and Mexico; the predominant countries comprising “Europe” are Germany, Sweden, France and the United Kingdom; and the predominant countries comprising “Rest of Asia” are Taiwan and Korea.</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the three- and nine-month periods ended August 1, 2009 the predominant countries comprising “Rest of North and South America” are Canada and Mexico; the predominant countries comprising “Europe” are Germany and Sweden; and the predominant countries comprising “Rest of Asia” are Taiwan and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July 31, 2010, the Company held no assets or liabilities valued using Level 3 inputs.</w:t>
      </w:r>
    </w:p>
    <w:p>
      <w:pPr>
        <w:spacing w:after="0" w:line="62"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as of July 31, 2010. The table does not include cash on hand and also does not include assets and liabilities that are measured at historical cost or any basis other than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 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Portion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Reporting Date using: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62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0"/>
              </w:rPr>
              <w:t>Quoted Prices</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60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July 31, 2010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0"/>
              <w:spacing w:after="0"/>
              <w:rPr>
                <w:sz w:val="20"/>
                <w:szCs w:val="20"/>
                <w:color w:val="auto"/>
              </w:rPr>
            </w:pPr>
            <w:r>
              <w:rPr>
                <w:rFonts w:ascii="Arial" w:cs="Arial" w:eastAsia="Arial" w:hAnsi="Arial"/>
                <w:sz w:val="18"/>
                <w:szCs w:val="18"/>
                <w:color w:val="auto"/>
              </w:rPr>
              <w:t>Institutional 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922,927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922,927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Corporate obligations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0"/>
              <w:spacing w:after="0"/>
              <w:rPr>
                <w:sz w:val="20"/>
                <w:szCs w:val="20"/>
                <w:color w:val="auto"/>
              </w:rPr>
            </w:pPr>
            <w:r>
              <w:rPr>
                <w:rFonts w:ascii="Arial" w:cs="Arial" w:eastAsia="Arial" w:hAnsi="Arial"/>
                <w:sz w:val="18"/>
                <w:szCs w:val="18"/>
                <w:color w:val="auto"/>
              </w:rPr>
              <w:t>Corporate obligations (1)</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1,404,886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Floating rate notes, issued at par</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investments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Deferred compensation investments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7,998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 swap agreements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2,513,923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932,065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1,581,858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Forward foreign currency exchange contracts (2)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3,039</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395,756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398,795</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 for sale as of July 31, 2010 and October 31, 2009 was $1,451.1 million and $1,137.9 million, respectively. At July 31, 2010, $1,387.4 million of these investments had maturities of less than one year and $17.5 million had maturities of greater than one year.</w:t>
      </w:r>
    </w:p>
    <w:p>
      <w:pPr>
        <w:spacing w:after="0" w:line="3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Contracts in an asset position of $2.3 million have been netted against contracts in a liability position in the condensed consolidated balance sheets.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mutual fund and equity investments is based on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long-term debt is based on quotes received from third party banks.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 taking into consideration current interest rates as well as the creditworthiness of the counterparty for assets and the Company’s creditworthiness for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 As of July 31, 2010, the total notional amount of these undesignated hedges was $60.4 million. The fair value of these hedging instruments in the Company’s condensed consolidated balance sheet as of July 31, 2010 was $0.4 million.</w:t>
      </w:r>
    </w:p>
    <w:p>
      <w:pPr>
        <w:spacing w:after="0" w:line="7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 5%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(2.58% as of July 31,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fair value of the swaps at inception were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fixed-rate borrowings) attributable to the hedged benchmark interest rate risk and the offsetting gain or loss on the related interest rate swaps for the three and nine months ended July 31, 2010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July 31, 2010</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July 31, 2010</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Gain/(Loss) on</w:t>
            </w:r>
          </w:p>
        </w:tc>
        <w:tc>
          <w:tcPr>
            <w:tcW w:w="4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Gain/(Loss)</w:t>
            </w:r>
          </w:p>
        </w:tc>
        <w:tc>
          <w:tcPr>
            <w:tcW w:w="380" w:type="dxa"/>
            <w:vAlign w:val="bottom"/>
          </w:tcPr>
          <w:p>
            <w:pPr>
              <w:spacing w:after="0"/>
              <w:rPr>
                <w:sz w:val="10"/>
                <w:szCs w:val="10"/>
                <w:color w:val="auto"/>
              </w:rPr>
            </w:pPr>
          </w:p>
        </w:tc>
        <w:tc>
          <w:tcPr>
            <w:tcW w:w="8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Net Income</w:t>
            </w:r>
          </w:p>
        </w:tc>
        <w:tc>
          <w:tcPr>
            <w:tcW w:w="400" w:type="dxa"/>
            <w:vAlign w:val="bottom"/>
          </w:tcPr>
          <w:p>
            <w:pPr>
              <w:spacing w:after="0"/>
              <w:rPr>
                <w:sz w:val="10"/>
                <w:szCs w:val="10"/>
                <w:color w:val="auto"/>
              </w:rPr>
            </w:pPr>
          </w:p>
        </w:tc>
        <w:tc>
          <w:tcPr>
            <w:tcW w:w="11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Gain/(Loss)</w:t>
            </w:r>
          </w:p>
        </w:tc>
        <w:tc>
          <w:tcPr>
            <w:tcW w:w="4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Gain/(Loss)</w:t>
            </w:r>
          </w:p>
        </w:tc>
        <w:tc>
          <w:tcPr>
            <w:tcW w:w="40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171"/>
        </w:trPr>
        <w:tc>
          <w:tcPr>
            <w:tcW w:w="314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Swaps</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on Note</w:t>
            </w:r>
          </w:p>
        </w:tc>
        <w:tc>
          <w:tcPr>
            <w:tcW w:w="38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Effect</w:t>
            </w:r>
          </w:p>
        </w:tc>
        <w:tc>
          <w:tcPr>
            <w:tcW w:w="40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on Swaps</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on Note</w:t>
            </w:r>
          </w:p>
        </w:tc>
        <w:tc>
          <w:tcPr>
            <w:tcW w:w="40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24"/>
        </w:trPr>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280" w:type="dxa"/>
            <w:vAlign w:val="bottom"/>
            <w:tcBorders>
              <w:top w:val="single" w:sz="8" w:color="auto"/>
            </w:tcBorders>
          </w:tcPr>
          <w:p>
            <w:pPr>
              <w:jc w:val="right"/>
              <w:ind w:right="304"/>
              <w:spacing w:after="0"/>
              <w:rPr>
                <w:sz w:val="20"/>
                <w:szCs w:val="20"/>
                <w:color w:val="auto"/>
              </w:rPr>
            </w:pPr>
            <w:r>
              <w:rPr>
                <w:rFonts w:ascii="Arial" w:cs="Arial" w:eastAsia="Arial" w:hAnsi="Arial"/>
                <w:sz w:val="18"/>
                <w:szCs w:val="18"/>
                <w:color w:val="auto"/>
              </w:rPr>
              <w:t>$12,372</w:t>
            </w:r>
          </w:p>
        </w:tc>
        <w:tc>
          <w:tcPr>
            <w:tcW w:w="4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$(12,372)</w:t>
            </w:r>
          </w:p>
        </w:tc>
        <w:tc>
          <w:tcPr>
            <w:tcW w:w="380" w:type="dxa"/>
            <w:vAlign w:val="bottom"/>
          </w:tcPr>
          <w:p>
            <w:pPr>
              <w:spacing w:after="0"/>
              <w:rPr>
                <w:sz w:val="19"/>
                <w:szCs w:val="19"/>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$15,893</w:t>
            </w:r>
          </w:p>
        </w:tc>
        <w:tc>
          <w:tcPr>
            <w:tcW w:w="4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$(15,893)</w:t>
            </w:r>
          </w:p>
        </w:tc>
        <w:tc>
          <w:tcPr>
            <w:tcW w:w="400" w:type="dxa"/>
            <w:vAlign w:val="bottom"/>
          </w:tcPr>
          <w:p>
            <w:pPr>
              <w:spacing w:after="0"/>
              <w:rPr>
                <w:sz w:val="19"/>
                <w:szCs w:val="19"/>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7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80" w:lineRule="exact"/>
        <w:rPr>
          <w:sz w:val="20"/>
          <w:szCs w:val="20"/>
          <w:color w:val="auto"/>
        </w:rPr>
      </w:pPr>
    </w:p>
    <w:p>
      <w:pPr>
        <w:jc w:val="both"/>
        <w:ind w:right="80" w:firstLine="222"/>
        <w:spacing w:after="0" w:line="286" w:lineRule="auto"/>
        <w:rPr>
          <w:sz w:val="20"/>
          <w:szCs w:val="20"/>
          <w:color w:val="auto"/>
        </w:rPr>
      </w:pPr>
      <w:r>
        <w:rPr>
          <w:rFonts w:ascii="Arial" w:cs="Arial" w:eastAsia="Arial" w:hAnsi="Arial"/>
          <w:sz w:val="17"/>
          <w:szCs w:val="17"/>
          <w:color w:val="auto"/>
        </w:rPr>
        <w:t>The total notional amount of derivative instruments designated as hedging instruments as of July 31, 2010 is as follows: $375 million of interest rate swap agreements accounted for as fair value hedges, and $134.8 million of cash flow hedges denominated in Euros, British Pounds and Philippine Pesos. The fair value of these hedging instruments in the Company’s condensed consolidated balance sheet as of July 31, 2010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8"/>
                <w:szCs w:val="18"/>
                <w:color w:val="auto"/>
              </w:rPr>
              <w:t>Interest rate swap agreements</w:t>
            </w:r>
          </w:p>
        </w:tc>
        <w:tc>
          <w:tcPr>
            <w:tcW w:w="252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Balance Sheet Location</w:t>
            </w:r>
          </w:p>
        </w:tc>
        <w:tc>
          <w:tcPr>
            <w:tcW w:w="500" w:type="dxa"/>
            <w:vAlign w:val="bottom"/>
          </w:tcPr>
          <w:p>
            <w:pPr>
              <w:spacing w:after="0"/>
              <w:rPr>
                <w:sz w:val="14"/>
                <w:szCs w:val="14"/>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800" w:type="dxa"/>
            <w:vAlign w:val="bottom"/>
            <w:vMerge w:val="continue"/>
          </w:tcPr>
          <w:p>
            <w:pPr>
              <w:spacing w:after="0"/>
              <w:rPr>
                <w:sz w:val="16"/>
                <w:szCs w:val="16"/>
                <w:color w:val="auto"/>
              </w:rPr>
            </w:pPr>
          </w:p>
        </w:tc>
        <w:tc>
          <w:tcPr>
            <w:tcW w:w="2520" w:type="dxa"/>
            <w:vAlign w:val="bottom"/>
          </w:tcPr>
          <w:p>
            <w:pPr>
              <w:spacing w:after="0"/>
              <w:rPr>
                <w:sz w:val="16"/>
                <w:szCs w:val="16"/>
                <w:color w:val="auto"/>
              </w:rPr>
            </w:pPr>
          </w:p>
        </w:tc>
        <w:tc>
          <w:tcPr>
            <w:tcW w:w="1460" w:type="dxa"/>
            <w:vAlign w:val="bottom"/>
          </w:tcPr>
          <w:p>
            <w:pPr>
              <w:spacing w:after="0" w:line="195" w:lineRule="exact"/>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6"/>
                <w:szCs w:val="16"/>
                <w:color w:val="auto"/>
              </w:rPr>
            </w:pPr>
          </w:p>
        </w:tc>
        <w:tc>
          <w:tcPr>
            <w:tcW w:w="340" w:type="dxa"/>
            <w:vAlign w:val="bottom"/>
          </w:tcPr>
          <w:p>
            <w:pPr>
              <w:ind w:left="24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83"/>
              </w:rPr>
              <w:t>22,002</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tcPr>
          <w:p>
            <w:pPr>
              <w:ind w:left="2520"/>
              <w:spacing w:after="0"/>
              <w:rPr>
                <w:sz w:val="20"/>
                <w:szCs w:val="20"/>
                <w:color w:val="auto"/>
              </w:rPr>
            </w:pPr>
            <w:r>
              <w:rPr>
                <w:rFonts w:ascii="Arial" w:cs="Arial" w:eastAsia="Arial" w:hAnsi="Arial"/>
                <w:sz w:val="18"/>
                <w:szCs w:val="18"/>
                <w:color w:val="auto"/>
              </w:rPr>
              <w:t>Accrued liabilities</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effect of derivative instruments designated as cash flow hedges on the condensed consolidated statement of income for the three and nine months ended July 31, 2010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Pr>
          <w:p>
            <w:pPr>
              <w:spacing w:after="0"/>
              <w:rPr>
                <w:sz w:val="14"/>
                <w:szCs w:val="14"/>
                <w:color w:val="auto"/>
              </w:rPr>
            </w:pPr>
          </w:p>
        </w:tc>
        <w:tc>
          <w:tcPr>
            <w:tcW w:w="1080" w:type="dxa"/>
            <w:vAlign w:val="bottom"/>
          </w:tcPr>
          <w:p>
            <w:pPr>
              <w:jc w:val="right"/>
              <w:ind w:right="64"/>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08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Ended</w:t>
            </w:r>
          </w:p>
        </w:tc>
        <w:tc>
          <w:tcPr>
            <w:tcW w:w="540" w:type="dxa"/>
            <w:vAlign w:val="bottom"/>
          </w:tcPr>
          <w:p>
            <w:pPr>
              <w:spacing w:after="0"/>
              <w:rPr>
                <w:sz w:val="12"/>
                <w:szCs w:val="12"/>
                <w:color w:val="auto"/>
              </w:rPr>
            </w:pPr>
          </w:p>
        </w:tc>
        <w:tc>
          <w:tcPr>
            <w:tcW w:w="1080" w:type="dxa"/>
            <w:vAlign w:val="bottom"/>
          </w:tcPr>
          <w:p>
            <w:pPr>
              <w:jc w:val="right"/>
              <w:ind w:right="264"/>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720" w:type="dxa"/>
            <w:vAlign w:val="bottom"/>
            <w:vMerge w:val="restart"/>
          </w:tcPr>
          <w:p>
            <w:pPr>
              <w:spacing w:after="0"/>
              <w:rPr>
                <w:sz w:val="20"/>
                <w:szCs w:val="20"/>
                <w:color w:val="auto"/>
              </w:rPr>
            </w:pPr>
            <w:r>
              <w:rPr>
                <w:rFonts w:ascii="Arial" w:cs="Arial" w:eastAsia="Arial" w:hAnsi="Arial"/>
                <w:sz w:val="18"/>
                <w:szCs w:val="18"/>
                <w:color w:val="auto"/>
              </w:rPr>
              <w:t>Loss recognized in OCI on derivative, net of tax of $356 and $1,513, respectively</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July 31, 2010</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July 31, 2010</w:t>
            </w:r>
          </w:p>
        </w:tc>
        <w:tc>
          <w:tcPr>
            <w:tcW w:w="0" w:type="dxa"/>
            <w:vAlign w:val="bottom"/>
          </w:tcPr>
          <w:p>
            <w:pPr>
              <w:spacing w:after="0"/>
              <w:rPr>
                <w:sz w:val="1"/>
                <w:szCs w:val="1"/>
                <w:color w:val="auto"/>
              </w:rPr>
            </w:pPr>
          </w:p>
        </w:tc>
      </w:tr>
      <w:tr>
        <w:trPr>
          <w:trHeight w:val="195"/>
        </w:trPr>
        <w:tc>
          <w:tcPr>
            <w:tcW w:w="8720" w:type="dxa"/>
            <w:vAlign w:val="bottom"/>
            <w:vMerge w:val="continue"/>
          </w:tcPr>
          <w:p>
            <w:pPr>
              <w:spacing w:after="0"/>
              <w:rPr>
                <w:sz w:val="16"/>
                <w:szCs w:val="16"/>
                <w:color w:val="auto"/>
              </w:rPr>
            </w:pPr>
          </w:p>
        </w:tc>
        <w:tc>
          <w:tcPr>
            <w:tcW w:w="1080" w:type="dxa"/>
            <w:vAlign w:val="bottom"/>
          </w:tcPr>
          <w:p>
            <w:pPr>
              <w:jc w:val="right"/>
              <w:ind w:right="261"/>
              <w:spacing w:after="0" w:line="195" w:lineRule="exact"/>
              <w:rPr>
                <w:sz w:val="20"/>
                <w:szCs w:val="20"/>
                <w:color w:val="auto"/>
              </w:rPr>
            </w:pPr>
            <w:r>
              <w:rPr>
                <w:rFonts w:ascii="Arial" w:cs="Arial" w:eastAsia="Arial" w:hAnsi="Arial"/>
                <w:sz w:val="18"/>
                <w:szCs w:val="18"/>
                <w:color w:val="auto"/>
              </w:rPr>
              <w:t>$1,816</w:t>
            </w:r>
          </w:p>
        </w:tc>
        <w:tc>
          <w:tcPr>
            <w:tcW w:w="540" w:type="dxa"/>
            <w:vAlign w:val="bottom"/>
          </w:tcPr>
          <w:p>
            <w:pPr>
              <w:spacing w:after="0"/>
              <w:rPr>
                <w:sz w:val="16"/>
                <w:szCs w:val="16"/>
                <w:color w:val="auto"/>
              </w:rPr>
            </w:pPr>
          </w:p>
        </w:tc>
        <w:tc>
          <w:tcPr>
            <w:tcW w:w="108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Loss reclassified from OCI into income, net of tax of $668 and $460, respectively</w:t>
            </w:r>
          </w:p>
        </w:tc>
        <w:tc>
          <w:tcPr>
            <w:tcW w:w="1080" w:type="dxa"/>
            <w:vAlign w:val="bottom"/>
          </w:tcPr>
          <w:p>
            <w:pPr>
              <w:jc w:val="right"/>
              <w:ind w:right="261"/>
              <w:spacing w:after="0"/>
              <w:rPr>
                <w:sz w:val="20"/>
                <w:szCs w:val="20"/>
                <w:color w:val="auto"/>
              </w:rPr>
            </w:pPr>
            <w:r>
              <w:rPr>
                <w:rFonts w:ascii="Arial" w:cs="Arial" w:eastAsia="Arial" w:hAnsi="Arial"/>
                <w:sz w:val="18"/>
                <w:szCs w:val="18"/>
                <w:color w:val="auto"/>
              </w:rPr>
              <w:t>$3,404</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as follows: for the three-month period ended July 31, 2010, $1.5 million in cost of sales, $1.3 million in research and development and $1.2 million in selling, marketing, general and administrative; and for the nine-month period ended July 31, 2010, $0.2 million in cost of sales, $1.1 million in research and development and $1.0 million in selling, marketing, general and administrative. All derivative gains included in OCI will be reclassified into earnings within the next 12 months. Ineffectiveness was immaterial for the three and nine months ended July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in the fourth quarter or more frequently if indicators of impairment exist. The performance of the test involves a two-step process. The first step of the impairment test involves comparing the fair values of the applicable reporting units with their aggregate carrying values, including goodwill. The Company generally determines the fair value of its reporting units using the income approach methodology of valuation that includes the discounted cash flow method as well as other generally accepted valuation methodologies. If the carrying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from the Company’s most recent impairment evaluation of goodwill, which occurred in the fourth quarter of fiscal 2009. No impairment of goodwill resulted in any of the fiscal years presented. The Company’s next annual impairment assessment will be made in the fourth quarter of fiscal 2010. The following table presents the changes in goodwill during the first nine months of fiscal 2010: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July 31, 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94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250,881</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8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July 31, 2010</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31, 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39,924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34,213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5,181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4,037</w:t>
            </w:r>
          </w:p>
        </w:tc>
      </w:tr>
      <w:tr>
        <w:trPr>
          <w:trHeight w:val="27"/>
        </w:trPr>
        <w:tc>
          <w:tcPr>
            <w:tcW w:w="4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45,105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38,250</w:t>
            </w:r>
          </w:p>
        </w:tc>
      </w:tr>
      <w:tr>
        <w:trPr>
          <w:trHeight w:val="20"/>
        </w:trPr>
        <w:tc>
          <w:tcPr>
            <w:tcW w:w="4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0.6 years.</w:t>
      </w:r>
    </w:p>
    <w:p>
      <w:pPr>
        <w:spacing w:after="0" w:line="73" w:lineRule="exact"/>
        <w:rPr>
          <w:sz w:val="20"/>
          <w:szCs w:val="20"/>
          <w:color w:val="auto"/>
        </w:rPr>
      </w:pPr>
    </w:p>
    <w:p>
      <w:pPr>
        <w:ind w:right="860" w:firstLine="215"/>
        <w:spacing w:after="0" w:line="277" w:lineRule="auto"/>
        <w:rPr>
          <w:sz w:val="20"/>
          <w:szCs w:val="20"/>
          <w:color w:val="auto"/>
        </w:rPr>
      </w:pPr>
      <w:r>
        <w:rPr>
          <w:rFonts w:ascii="Arial" w:cs="Arial" w:eastAsia="Arial" w:hAnsi="Arial"/>
          <w:sz w:val="18"/>
          <w:szCs w:val="18"/>
          <w:color w:val="auto"/>
        </w:rPr>
        <w:t>Amortization expense was $0.6 million and $1.7 million for the three-month periods ended July 31, 2010 and August 1, 2009, respectively, and $4.2 million and $5.2 million for the nine-month periods ended July 31, 2010 and August 1, 2009,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62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Expense</w:t>
            </w: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Remainder of 2010</w:t>
            </w:r>
          </w:p>
        </w:tc>
        <w:tc>
          <w:tcPr>
            <w:tcW w:w="6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628</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2011</w:t>
            </w:r>
          </w:p>
        </w:tc>
        <w:tc>
          <w:tcPr>
            <w:tcW w:w="7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1,263</w:t>
            </w:r>
          </w:p>
        </w:tc>
      </w:tr>
      <w:tr>
        <w:trPr>
          <w:trHeight w:val="405"/>
        </w:trPr>
        <w:tc>
          <w:tcPr>
            <w:tcW w:w="352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firstLine="222"/>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color w:val="auto"/>
                <w:w w:val="93"/>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(2,598)</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(2,731)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2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252"/>
              <w:spacing w:after="0"/>
              <w:rPr>
                <w:sz w:val="20"/>
                <w:szCs w:val="20"/>
                <w:color w:val="auto"/>
              </w:rPr>
            </w:pPr>
            <w:r>
              <w:rPr>
                <w:rFonts w:ascii="Arial" w:cs="Arial" w:eastAsia="Arial" w:hAnsi="Arial"/>
                <w:sz w:val="14"/>
                <w:szCs w:val="14"/>
                <w:color w:val="auto"/>
                <w:w w:val="94"/>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color w:val="auto"/>
              </w:rPr>
              <w:t>July 31, 2010</w:t>
            </w:r>
          </w:p>
        </w:tc>
        <w:tc>
          <w:tcPr>
            <w:tcW w:w="900" w:type="dxa"/>
            <w:vAlign w:val="bottom"/>
            <w:gridSpan w:val="2"/>
          </w:tcPr>
          <w:p>
            <w:pPr>
              <w:spacing w:after="0" w:line="142" w:lineRule="exact"/>
              <w:rPr>
                <w:sz w:val="20"/>
                <w:szCs w:val="20"/>
                <w:color w:val="auto"/>
              </w:rPr>
            </w:pPr>
            <w:r>
              <w:rPr>
                <w:rFonts w:ascii="Arial" w:cs="Arial" w:eastAsia="Arial" w:hAnsi="Arial"/>
                <w:sz w:val="14"/>
                <w:szCs w:val="14"/>
                <w:color w:val="auto"/>
                <w:w w:val="93"/>
              </w:rPr>
              <w:t>August 1, 2009</w:t>
            </w:r>
          </w:p>
        </w:tc>
        <w:tc>
          <w:tcPr>
            <w:tcW w:w="10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6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7,117</w:t>
            </w:r>
          </w:p>
        </w:tc>
        <w:tc>
          <w:tcPr>
            <w:tcW w:w="3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7,008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(8,219)</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(7,870)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2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6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Pension contributions of $2.1 million and $27.4 million were made by the Company during the three and nine months ended July 31, 2010. The Company presently anticipates contributing an additional $0.2 million to fund its defined benefit pension plans in fiscal year 2010 for a total of $27.6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of July 31, 2010, the Company had $2,508.3 million of cash and cash equivalents and short term investments, of which $710.3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July 31, 2010, the Company was compliant with these covenants. The terms of the facility also impose restrictions on the Company’s ability to undertake certain transactions, to create certain liens on assets and to incur certain subsidiary indebtedness.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59"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(2.58% as of July 31,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ind w:right="80" w:firstLine="222"/>
        <w:spacing w:after="0" w:line="286"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July 31, 2010, the Company had repurchased a total of approximately 114.8 million shares of its common stock for approximately $3,912.4 million under this program. An additional $87.6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or restricted stock units, or in certain limited circumstances to satisfy the exercise price of options granted to the Company’s employees under the Company’s equity compensation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In connection with the purchase and sale agreement, $7.5 million was placed into escrow and was excluded from the gain calculations.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and, $0.6 million net of tax, was recorded as additional gain from the sale of discontinued operations. The Company does not expect any additional proceeds from this sale.</w:t>
      </w:r>
    </w:p>
    <w:p>
      <w:pPr>
        <w:spacing w:after="0" w:line="61"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 September 2007, the Company entered into a definitive agreement to sell its Baseband Chipset Business to MediaTek Inc. The decision to sell the Baseband Chipset Business was due to the Company’s decision to focus its resources in areas where its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signal processing expertise can provide unique capabilities and earn superior returns. The cash proceeds received were net of a refundable withholding tax of $62 million. In connection with the purchase and sale agreement, $10 million was placed into escrow and was excluded from the gain calculations.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The Company may receive additional proceeds of up to $10 million, currently held in escrow, upon the resolution of certain contingent items, which would be recorded as additional gain from the sale of discontinued operations.</w:t>
      </w:r>
    </w:p>
    <w:p>
      <w:pPr>
        <w:spacing w:after="0" w:line="59" w:lineRule="exact"/>
        <w:rPr>
          <w:sz w:val="20"/>
          <w:szCs w:val="20"/>
          <w:color w:val="auto"/>
        </w:rPr>
      </w:pPr>
    </w:p>
    <w:p>
      <w:pPr>
        <w:jc w:val="both"/>
        <w:ind w:right="260" w:firstLine="222"/>
        <w:spacing w:after="0" w:line="312" w:lineRule="auto"/>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a manufacturing supply agreement between the Company and a subsidiary of ON Semiconductor Corporation, which terminated during the first quarter of fiscal year 2009.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124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1,316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Gain (loss) before income taxes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859</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vMerge w:val="restart"/>
          </w:tcPr>
          <w:p>
            <w:pPr>
              <w:spacing w:after="0"/>
              <w:rPr>
                <w:sz w:val="20"/>
                <w:szCs w:val="20"/>
                <w:color w:val="auto"/>
              </w:rPr>
            </w:pPr>
            <w:r>
              <w:rPr>
                <w:rFonts w:ascii="Arial" w:cs="Arial" w:eastAsia="Arial" w:hAnsi="Arial"/>
                <w:sz w:val="18"/>
                <w:szCs w:val="18"/>
                <w:color w:val="auto"/>
              </w:rPr>
              <w:t>Refundable foreign withholding tax</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2"/>
              </w:rPr>
              <w:t>July 31, 2010</w:t>
            </w:r>
          </w:p>
        </w:tc>
        <w:tc>
          <w:tcPr>
            <w:tcW w:w="6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October 31, 2009</w:t>
            </w:r>
          </w:p>
        </w:tc>
        <w:tc>
          <w:tcPr>
            <w:tcW w:w="0" w:type="dxa"/>
            <w:vAlign w:val="bottom"/>
          </w:tcPr>
          <w:p>
            <w:pPr>
              <w:spacing w:after="0"/>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17"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earned from manufacturing activities carried on outside the United States. These latter two matters could impact taxes payable for fiscal 2004 and 2005 as well as for subsequent years.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 proposed adjustment related to the deductibility of certain stock option expenses, the other three matters could impact taxes payable for fiscal 2006 and 2007 as well as for subsequent years.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2008 and 2009 IRS Examination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fiscal year 2008 or fiscal year 2009.</w:t>
      </w:r>
    </w:p>
    <w:p>
      <w:pPr>
        <w:spacing w:after="0" w:line="11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In January 2010, the Financial Accounting Standards Board (FASB) issued ASU No. 2010-06, </w:t>
      </w:r>
      <w:r>
        <w:rPr>
          <w:rFonts w:ascii="Arial" w:cs="Arial" w:eastAsia="Arial" w:hAnsi="Arial"/>
          <w:sz w:val="16"/>
          <w:szCs w:val="16"/>
          <w:i w:val="1"/>
          <w:iCs w:val="1"/>
          <w:color w:val="auto"/>
        </w:rPr>
        <w:t>Fair Value Measurements and Disclosures (ASC Topic 820)</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Improving Disclosures About Fair Value Measurements</w:t>
      </w:r>
      <w:r>
        <w:rPr>
          <w:rFonts w:ascii="Arial" w:cs="Arial" w:eastAsia="Arial" w:hAnsi="Arial"/>
          <w:sz w:val="16"/>
          <w:szCs w:val="16"/>
          <w:color w:val="auto"/>
        </w:rPr>
        <w:t>. The Accounting Standards Update (ASU) requires new disclosures about transfers into and out of</w:t>
      </w:r>
      <w:r>
        <w:rPr>
          <w:rFonts w:ascii="Arial" w:cs="Arial" w:eastAsia="Arial" w:hAnsi="Arial"/>
          <w:sz w:val="16"/>
          <w:szCs w:val="16"/>
          <w:i w:val="1"/>
          <w:iCs w:val="1"/>
          <w:color w:val="auto"/>
        </w:rPr>
        <w:t xml:space="preserve"> </w:t>
      </w:r>
      <w:r>
        <w:rPr>
          <w:rFonts w:ascii="Arial" w:cs="Arial" w:eastAsia="Arial" w:hAnsi="Arial"/>
          <w:sz w:val="16"/>
          <w:szCs w:val="16"/>
          <w:color w:val="auto"/>
        </w:rPr>
        <w:t>Levels 1 and 2 and separate disclosures about purchases, sales, issuances, and settlements relating to Level 3 measurements. It also clarifies existing fair value disclosures about the level of disaggregation and about inputs and valuation techniques used to measure fair value. The new disclosures and clarifications of existing disclosures were effective for the Company’s first quarter of fiscal year 2010, except for the disclosures about purchases, sales, issuances, and settlements relating to Level 3 measurements, which are effective for the Company’s first quarter of fiscal year 2012. The adoption of this new guidance required additional disclosures but did not have a material impact on the Company’s consolidated results of operations and financial position.</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the Company’s fiscal year 2011. The Company is currently evaluating the impact, if any, that ASU No. 2009-14 may have on the Company’s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In October 2009, the FASB issued ASU No. 2009-13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the Company’s fiscal year 2011. The Company is currently evaluating the impact, if any, that ASU No. 2009-13 may have on the Company’s financial condition and results of operations.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December 2009, the FASB issued ASU No. 2009-17 — </w:t>
      </w:r>
      <w:r>
        <w:rPr>
          <w:rFonts w:ascii="Arial" w:cs="Arial" w:eastAsia="Arial" w:hAnsi="Arial"/>
          <w:sz w:val="17"/>
          <w:szCs w:val="17"/>
          <w:i w:val="1"/>
          <w:iCs w:val="1"/>
          <w:color w:val="auto"/>
        </w:rPr>
        <w:t>Consolidations (Topic 810): Improvements to Financial Reporting by Enterprises Involved with</w:t>
      </w:r>
      <w:r>
        <w:rPr>
          <w:rFonts w:ascii="Arial" w:cs="Arial" w:eastAsia="Arial" w:hAnsi="Arial"/>
          <w:sz w:val="17"/>
          <w:szCs w:val="17"/>
          <w:color w:val="auto"/>
        </w:rPr>
        <w:t xml:space="preserve">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which amends ASC 810,</w:t>
      </w:r>
      <w:r>
        <w:rPr>
          <w:rFonts w:ascii="Arial" w:cs="Arial" w:eastAsia="Arial" w:hAnsi="Arial"/>
          <w:sz w:val="17"/>
          <w:szCs w:val="17"/>
          <w:i w:val="1"/>
          <w:iCs w:val="1"/>
          <w:color w:val="auto"/>
        </w:rPr>
        <w:t xml:space="preserve"> Consolidation</w:t>
      </w:r>
      <w:r>
        <w:rPr>
          <w:rFonts w:ascii="Arial" w:cs="Arial" w:eastAsia="Arial" w:hAnsi="Arial"/>
          <w:sz w:val="17"/>
          <w:szCs w:val="17"/>
          <w:color w:val="auto"/>
        </w:rPr>
        <w:t>. This standard requires an enterprise to perform an analysis to determine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the Company’s fiscal year 2011. The Company is currently evaluating the impact, if any, that ASU No. 2009-17 may have on the Company’s financial condition and results of operations.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 (Topic 820).</w:t>
      </w:r>
      <w:r>
        <w:rPr>
          <w:rFonts w:ascii="Arial" w:cs="Arial" w:eastAsia="Arial" w:hAnsi="Arial"/>
          <w:sz w:val="18"/>
          <w:szCs w:val="18"/>
          <w:color w:val="auto"/>
        </w:rPr>
        <w:t xml:space="preserve"> This standard changes the way entities account for securitizations and other transfers of financial instruments. ASU No. 2009-16 is effective for fiscal years that begin after November 15, 2009, which is the Company’s fiscal year 2011. The Company is currently evaluating the impact, if any, that ASU No. 2009-16 may have on the Company’s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On August 16, 2010, the Company’s Board of Directors declared a cash dividend of $0.22 per outstanding share of common stock. The dividend will be paid on September 15, 2010 to all shareholders of record at the close of business on August 27, 2010.</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31, 2009.</w:t>
      </w:r>
    </w:p>
    <w:p>
      <w:pPr>
        <w:spacing w:after="0" w:line="57"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uncertainty remaining after the recent global credit and financial market crisis;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the expected outcomes of intellectual property and litigation matters; potential acquisitions or divestitures; the expected activities of our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85"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 as of October 31, 2009. Unless otherwise noted, this Management’s Discussion and Analysis relates only to financial results from continuing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96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July 31, 2010</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August 1, 2009</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720,290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491,991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1,991,513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1,443,308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66.7%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54.1%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64.4%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199,491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65,460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486,231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141,799</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0.49</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Diluted EPS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0.65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0.22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1.59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0.49</w:t>
            </w:r>
          </w:p>
        </w:tc>
      </w:tr>
      <w:tr>
        <w:trPr>
          <w:trHeight w:val="391"/>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222"/>
        <w:spacing w:after="0" w:line="312" w:lineRule="auto"/>
        <w:rPr>
          <w:sz w:val="20"/>
          <w:szCs w:val="20"/>
          <w:color w:val="auto"/>
        </w:rPr>
      </w:pPr>
      <w:r>
        <w:rPr>
          <w:rFonts w:ascii="Arial" w:cs="Arial" w:eastAsia="Arial" w:hAnsi="Arial"/>
          <w:sz w:val="16"/>
          <w:szCs w:val="16"/>
          <w:color w:val="auto"/>
        </w:rPr>
        <w:t xml:space="preserve">The year-to-year increases in revenue for the three and nine months ended July 31, 2010 were a result of a resurgence in economic activity from the low levels achieved during 2009 as a result of the general economic downturn following the global credit and financial crisis. The year-to-year revenue changes by end market and product category are more fully outlined below under </w:t>
      </w:r>
      <w:r>
        <w:rPr>
          <w:rFonts w:ascii="Arial" w:cs="Arial" w:eastAsia="Arial" w:hAnsi="Arial"/>
          <w:sz w:val="16"/>
          <w:szCs w:val="16"/>
          <w:i w:val="1"/>
          <w:iCs w:val="1"/>
          <w:color w:val="auto"/>
        </w:rPr>
        <w:t>Revenue Trends by End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Revenue Trends by Product Type</w:t>
      </w:r>
      <w:r>
        <w:rPr>
          <w:rFonts w:ascii="Arial" w:cs="Arial" w:eastAsia="Arial" w:hAnsi="Arial"/>
          <w:sz w:val="16"/>
          <w:szCs w:val="16"/>
          <w:color w:val="auto"/>
        </w:rPr>
        <w:t>.</w:t>
      </w:r>
    </w:p>
    <w:p>
      <w:pPr>
        <w:spacing w:after="0" w:line="3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the third quarter of fiscal 2010, our revenue increased 46% from the third quarter of fiscal 2009 and our diluted earnings per share from continuing operations increased from $0.22 to $0.65. Cash flow from operations in the first nine months of fiscal 2010 was $716.9 million, or 36% of revenue. In addition, we received $174 million in net proceeds related to employee stock option exercises, distributed $184.4 million to our shareholders in dividend payments and paid $73.8 million for capital expenditures. These factors contributed to the net increase in cash, cash equivalents and short-term investments of $692.3 million in the first nine months of fiscal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July 31,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tcBorders>
              <w:top w:val="single" w:sz="8" w:color="auto"/>
            </w:tcBorders>
            <w:gridSpan w:val="2"/>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$ 340,505</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$ 201,900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83,539</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62%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51,497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128,616</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104,432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153,657</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123,550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$ 720,290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$ 491,991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31, 2010</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1,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918,419</w:t>
            </w: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629,676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239,943</w:t>
            </w:r>
          </w:p>
        </w:tc>
        <w:tc>
          <w:tcPr>
            <w:tcW w:w="14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131,510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366,546</w:t>
            </w: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262,576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425,496</w:t>
            </w:r>
          </w:p>
        </w:tc>
        <w:tc>
          <w:tcPr>
            <w:tcW w:w="14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383,713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35,833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1,443,308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revenue in both the three- and nine-month periods ended July 31, 2010 in industrial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increase in demand in this end market, which was most significant for products sold into the instrumentation and automation sectors of this end market.</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The year-to-year increase in revenue in both the three- and nine-month periods ended July 31, 2010 in automotive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increased demand due to various government-initiated incentive programs, inventory replenishment and a general increase in the electronic content found in vehicles.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i w:val="1"/>
          <w:iCs w:val="1"/>
          <w:color w:val="auto"/>
        </w:rPr>
        <w:t xml:space="preserve">Consumer — </w:t>
      </w:r>
      <w:r>
        <w:rPr>
          <w:rFonts w:ascii="Arial" w:cs="Arial" w:eastAsia="Arial" w:hAnsi="Arial"/>
          <w:sz w:val="16"/>
          <w:szCs w:val="16"/>
          <w:color w:val="auto"/>
        </w:rPr>
        <w:t>The year-to-year increase in revenue in both the three- and nine-month periods ended July 31, 2010 in consumer end market revenue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broad-based increase in demand for products used in digital cameras and other consumer applications in this end market.</w:t>
      </w:r>
    </w:p>
    <w:p>
      <w:pPr>
        <w:spacing w:after="0" w:line="1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increase in revenue in the three-month period ended July 31, 2010 in communications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increase in demand in this end market, which was most significant for the infrastructure and base station end market sectors. The year-to-year increase in revenue in the nine-month period ended July 31, 2010 in communications end market revenue was primarily the result of an increase in sales in the infrastructure end market sector.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July 31,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tcBorders>
              <w:top w:val="single" w:sz="8" w:color="auto"/>
            </w:tcBorders>
            <w:gridSpan w:val="2"/>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$ 334,288</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$ 249,162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184,397</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120,288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87,651</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43%</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606,336</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424,207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53,413</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$ 659,749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$ 452,194</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60,541</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$ 720,290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$ 491,991</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July 31, 2010</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1, 2009</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931,088</w:t>
            </w:r>
          </w:p>
        </w:tc>
        <w:tc>
          <w:tcPr>
            <w:tcW w:w="2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723,923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502,532</w:t>
            </w: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374,667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140,244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1,681,201</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1,238,834</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82,288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1,820,290</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1,321,122</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122,186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38%</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1,991,513</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1,443,308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year-to-year increases in total revenue in the three- and nine-month periods ended July 31, 2010 were the result of a broad-based increase in sales across all of our product categories.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July 31, 2010 and August 1, 2009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7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July 31, 2010</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August 1, 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129,933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375,256</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40,189</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23,961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108,052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186,035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504,031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109,530</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91,480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325,751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132,119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85,317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347,642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122,484</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76,008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330,781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98"/>
              </w:rPr>
              <w:t>720,290</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491,991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1,991,513</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1,443,308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the three- and nine-month periods ended July 31, 2010, the predominant countries comprising “Rest of North and South America” are Canada and Mexico; the predominant countries comprising “Europe” are Germany, Sweden, France and the United Kingdom; and the predominant countries comprising “Rest of Asia” are Taiwan and Korea.</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the three- and nine-month periods ended August 1, 2009, the predominant countries comprising “Rest of North and South America” are Canada and Mexico; the predominant countries comprising “Europe” are Germany and Sweden; and the predominant countries comprising “Rest of Asia” are Taiwan and Korea.</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Sales increased in all geographic regions in the third quarter of fiscal 2010 as compared to the third quarter of fiscal 2009, with sales in Europe and China experiencing the largest increases.</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Sales increased in all geographic regions in the first nine months of fiscal 2010 as compared to the first nine months of fiscal 2009, with sales in Europe and Rest of Asia experiencing the largest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9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July 31, 2010</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4900" w:type="dxa"/>
            <w:vAlign w:val="bottom"/>
            <w:vMerge w:val="continue"/>
          </w:tcPr>
          <w:p>
            <w:pPr>
              <w:spacing w:after="0"/>
              <w:rPr>
                <w:sz w:val="16"/>
                <w:szCs w:val="16"/>
                <w:color w:val="auto"/>
              </w:rPr>
            </w:pPr>
          </w:p>
        </w:tc>
        <w:tc>
          <w:tcPr>
            <w:tcW w:w="116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$480,202</w:t>
            </w:r>
          </w:p>
        </w:tc>
        <w:tc>
          <w:tcPr>
            <w:tcW w:w="44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$266,229</w:t>
            </w:r>
          </w:p>
        </w:tc>
        <w:tc>
          <w:tcPr>
            <w:tcW w:w="440" w:type="dxa"/>
            <w:vAlign w:val="bottom"/>
          </w:tcPr>
          <w:p>
            <w:pPr>
              <w:spacing w:after="0"/>
              <w:rPr>
                <w:sz w:val="16"/>
                <w:szCs w:val="16"/>
                <w:color w:val="auto"/>
              </w:rPr>
            </w:pPr>
          </w:p>
        </w:tc>
        <w:tc>
          <w:tcPr>
            <w:tcW w:w="132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$1,283,193</w:t>
            </w:r>
          </w:p>
        </w:tc>
        <w:tc>
          <w:tcPr>
            <w:tcW w:w="4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$796,783</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Gross margin %</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66.7%</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54.1%</w:t>
            </w:r>
          </w:p>
        </w:tc>
        <w:tc>
          <w:tcPr>
            <w:tcW w:w="1760" w:type="dxa"/>
            <w:vAlign w:val="bottom"/>
            <w:gridSpan w:val="2"/>
          </w:tcPr>
          <w:p>
            <w:pPr>
              <w:jc w:val="right"/>
              <w:ind w:right="82"/>
              <w:spacing w:after="0"/>
              <w:rPr>
                <w:sz w:val="20"/>
                <w:szCs w:val="20"/>
                <w:color w:val="auto"/>
              </w:rPr>
            </w:pPr>
            <w:r>
              <w:rPr>
                <w:rFonts w:ascii="Arial" w:cs="Arial" w:eastAsia="Arial" w:hAnsi="Arial"/>
                <w:sz w:val="18"/>
                <w:szCs w:val="18"/>
                <w:color w:val="auto"/>
              </w:rPr>
              <w:t>64.4%</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Gross margin percentage was higher by 1260 basis points in the third quarter of fiscal 2010 as compared to the third quarter of fiscal 2009 primarily as a result of an increase in sales of $228.3 million, increased operating levels in our manufacturing facilities and the impact of ongoing efforts to reduce overall manufacturing costs, including the savings realized as a result of wafer fabrication consolidation actions. Additionally, a higher proportion of our revenues was from products sold into the instrumentation and automation sectors of the industrial end market, which earn higher margins as compared to products sold into our other end markets.</w:t>
      </w:r>
    </w:p>
    <w:p>
      <w:pPr>
        <w:spacing w:after="0" w:line="80" w:lineRule="exact"/>
        <w:rPr>
          <w:sz w:val="20"/>
          <w:szCs w:val="20"/>
          <w:color w:val="auto"/>
        </w:rPr>
      </w:pPr>
    </w:p>
    <w:p>
      <w:pPr>
        <w:jc w:val="both"/>
        <w:ind w:right="240" w:firstLine="225"/>
        <w:spacing w:after="0" w:line="286" w:lineRule="auto"/>
        <w:rPr>
          <w:sz w:val="20"/>
          <w:szCs w:val="20"/>
          <w:color w:val="auto"/>
        </w:rPr>
      </w:pPr>
      <w:r>
        <w:rPr>
          <w:rFonts w:ascii="Arial" w:cs="Arial" w:eastAsia="Arial" w:hAnsi="Arial"/>
          <w:sz w:val="17"/>
          <w:szCs w:val="17"/>
          <w:color w:val="auto"/>
        </w:rPr>
        <w:t>Gross margin percentage was higher by 920 basis points in the nine months ended July 31, 2010 as compared to the nine months ended August 1, 2009, primarily as a result of an increase in sales of $548.2 million, increased operating levels in our manufacturing facilities and the impact of ongoing efforts to reduce overall manufacturing costs, including the savings realized as a result of wafer fabrication consolidation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As of July 31, 2010, the total compensation cost related to unvested equity awards not yet recognized in our statement of income was approximately $108.4 million (before tax consideration), which we will recognize over a weighted average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 1.5 years. See Note 3 in the Notes to our Condensed Consolidated Financial Statements contained in Item 1 of this Quarterly Report on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0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July 31 , 2010</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$126,987</w:t>
            </w:r>
          </w:p>
        </w:tc>
        <w:tc>
          <w:tcPr>
            <w:tcW w:w="44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$107,578</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$364,165</w:t>
            </w:r>
          </w:p>
        </w:tc>
        <w:tc>
          <w:tcPr>
            <w:tcW w:w="44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$336,854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17.6%</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21.9%</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18.3%</w:t>
            </w:r>
          </w:p>
        </w:tc>
        <w:tc>
          <w:tcPr>
            <w:tcW w:w="1820" w:type="dxa"/>
            <w:vAlign w:val="bottom"/>
            <w:gridSpan w:val="2"/>
          </w:tcPr>
          <w:p>
            <w:pPr>
              <w:jc w:val="right"/>
              <w:ind w:right="159"/>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Research and development, or R&amp;D, expenses increased $19.4 million, or 18%, in the third quarter of fiscal 2010 as compared to the third quarter of fiscal 2009, and increased $27.3 million, or 8%, in the nine months ended July 31, 2010 as compared to the nine months ended August 1, 2009. The increase was primarily the result of an increase in variable compensation expense, which is a variable expense linked to our overall profitability, partially offset by the impact of actions we took over the past two years to control discretionary spending and permanently reduce operating expenses.</w:t>
      </w:r>
    </w:p>
    <w:p>
      <w:pPr>
        <w:spacing w:after="0" w:line="6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1, 2009</w:t>
            </w:r>
          </w:p>
        </w:tc>
        <w:tc>
          <w:tcPr>
            <w:tcW w:w="460" w:type="dxa"/>
            <w:vAlign w:val="bottom"/>
          </w:tcPr>
          <w:p>
            <w:pPr>
              <w:spacing w:after="0"/>
              <w:rPr>
                <w:sz w:val="12"/>
                <w:szCs w:val="12"/>
                <w:color w:val="auto"/>
              </w:rPr>
            </w:pPr>
          </w:p>
        </w:tc>
        <w:tc>
          <w:tcPr>
            <w:tcW w:w="11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$102,070</w:t>
            </w:r>
          </w:p>
        </w:tc>
        <w:tc>
          <w:tcPr>
            <w:tcW w:w="440" w:type="dxa"/>
            <w:vAlign w:val="bottom"/>
          </w:tcPr>
          <w:p>
            <w:pPr>
              <w:spacing w:after="0"/>
              <w:rPr>
                <w:sz w:val="16"/>
                <w:szCs w:val="16"/>
                <w:color w:val="auto"/>
              </w:rPr>
            </w:pPr>
          </w:p>
        </w:tc>
        <w:tc>
          <w:tcPr>
            <w:tcW w:w="12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$79,706</w:t>
            </w:r>
          </w:p>
        </w:tc>
        <w:tc>
          <w:tcPr>
            <w:tcW w:w="460" w:type="dxa"/>
            <w:vAlign w:val="bottom"/>
          </w:tcPr>
          <w:p>
            <w:pPr>
              <w:spacing w:after="0"/>
              <w:rPr>
                <w:sz w:val="16"/>
                <w:szCs w:val="16"/>
                <w:color w:val="auto"/>
              </w:rPr>
            </w:pPr>
          </w:p>
        </w:tc>
        <w:tc>
          <w:tcPr>
            <w:tcW w:w="116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$288,211</w:t>
            </w:r>
          </w:p>
        </w:tc>
        <w:tc>
          <w:tcPr>
            <w:tcW w:w="44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14.2%</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16.2%</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14.5%</w:t>
            </w:r>
          </w:p>
        </w:tc>
        <w:tc>
          <w:tcPr>
            <w:tcW w:w="1820" w:type="dxa"/>
            <w:vAlign w:val="bottom"/>
            <w:gridSpan w:val="2"/>
          </w:tcPr>
          <w:p>
            <w:pPr>
              <w:jc w:val="right"/>
              <w:ind w:right="159"/>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Selling, marketing, general and administrative, or SMG&amp;A, expenses increased $22.4 million, or 28%, in the third quarter of fiscal 2010 as compared to the third quarter of fiscal 2009, and increased $38.4 million, or 15%, in the nine months ended July 31, 2010 as compared to the same period of fiscal 2009. In each case, the increase was primarily the result of an increase in variable compensation expense, which is a variable expense linked to our overall profitability, and higher sales commission expenses, which are variable expenses linked to our sales. These increases were offset by the impact of actions we took over the past two years to control discretionary spending and permanently reduce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paid the related lease obligation costs on a monthly basis over the remaining lease term, which expired in March 2010. We recorded a one-time settlement charge of $0.4 million in the first quarter of fiscal 2010 related to the termination of the lease. We do not expect to incur any additional charges related to this 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fiscal 2007, we recorded a special charge of $13.7 million as a result of our decision to only use eight-inch technology at our wafer fabrication facility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Limerick. Certain manufacturing processes and products produced on the Limerick facility’s six-inch production line have transitioned to our existing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eight-inch production line in Limerick while others have transitioned to external foundries. The charge was for severance and fringe benefit costs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our ongoing benefit plan for 150 manufacturing employees associated with this action. We terminated the employment of all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these programs and have paid out all amounts owed to employees as severance. During fiscal 2008, we recorded an additional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related to this action, of which $1.2 million was an adjustment to the original estimate of the severance costs and $0.3 million was for clean-up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closure costs that we expensed as incurred. During fiscal 2009, we recorded additional charges of $1.2 million for clean-up and closure costs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expensed as incurred. The production in the six-inch wafer fabrication facility ceased during the fourth quarter of fiscal 2009. We do not expect to incur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 charges related to this action. The closure of this facility resulted in annual cost savings of approximately $25 million per year, which we began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realizing in the first quarter of fiscal 2010. These savings are recorded in cost of sales, of which approximately $1 million relates to non-cash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savings.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in accordance with our ongoing benefit plan or the statutory requirements at foreign locations for 19 engineering, selling, marketing, general and administrative employees. We terminated the employment of all employees associated with this charge and are paying amounts owed to employees for severance as income continuance.</w:t>
      </w:r>
    </w:p>
    <w:p>
      <w:pPr>
        <w:spacing w:after="0" w:line="79"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$0.9 million was for the write-off of property, plant and equipment no longer used as a result of this action; and approximately $0.8 million was for contract termination costs and for clean-up and closure costs that we expensed as incurred. The remaining $26.5 million related to the severance and fringe benefit costs recorded in accordance with our ongoing benefit plan or statutory requirements at foreign locations for 245 manufacturing employees and 302 engineering and SMG&amp;A employees. We terminated the employment of all employees associated with this charge and are paying amounts owed to employees for severance as income continuance. This cost reduction action, which was substantially completed during the second quarter of fiscal 2009, resulted in annual savings of approximately</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$36.4 million. These annual savings are being realized as follows: approximately $31.6 million in SMG&amp;A expenses and approximately $4.8 million in cost of sales.</w:t>
      </w:r>
    </w:p>
    <w:p>
      <w:pPr>
        <w:spacing w:after="0" w:line="76"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As of July 31, 2010, we still employed 1 of the 149 employees included in this cost reduction action. This employee must continue to be employed by us until his employment is involuntarily terminated in order to receive the severance benefit. Approximately $0.5 million of the charge relates to our decision to abandon efforts to develop a particular expertise in power management, resulting in the impairment of related intellectual property. When fully implemented in the first quarter of fiscal 2011, we estimate that these cost reduction actions will result in quarterly savings of approximately $4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64"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the Company or found alternative employment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within the Company. In addition, we recorded a special charge of approximately $1.7 million for the impairment of manufacturing assets that were originally going to be moved to our other wafer fabrication facilities but are no longer needed at those facilities and therefore have no future use. We also recorded a special charge of $0.1 million for clean-up costs as we began our clean-up of the Cambridge wafer fabrication facility at the end of the fourth quarter of fiscal 2009. As of July 31, 2010, we still employed 1 of the employees included in this action. This employee must continue to be employed by us until his employment is involuntarily terminated in order to receive the severance benefit. We estimate that this action will result in annual cost savings of approximately $41 million per year, which we began realizing in the third quarter of fiscal 2010. We expect these annual savings to be realized as follows: approximately $40.2 million in cost of sales, of which approximately $4.0 million relates to non-cash depreciation savings, and approximately $0.8 million relates to SMG&amp;A expenses.</w:t>
      </w:r>
    </w:p>
    <w:p>
      <w:pPr>
        <w:spacing w:after="0" w:line="8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These cost reductions resulted in quarterly savings of $0.6 million, which we began realizing in the first quarter of fiscal 2010.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2010</w:t>
            </w:r>
          </w:p>
        </w:tc>
        <w:tc>
          <w:tcPr>
            <w:tcW w:w="460" w:type="dxa"/>
            <w:vAlign w:val="bottom"/>
          </w:tcPr>
          <w:p>
            <w:pPr>
              <w:spacing w:after="0"/>
              <w:rPr>
                <w:sz w:val="12"/>
                <w:szCs w:val="12"/>
                <w:color w:val="auto"/>
              </w:rPr>
            </w:pPr>
          </w:p>
        </w:tc>
        <w:tc>
          <w:tcPr>
            <w:tcW w:w="12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16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$251,145</w:t>
            </w:r>
          </w:p>
        </w:tc>
        <w:tc>
          <w:tcPr>
            <w:tcW w:w="460" w:type="dxa"/>
            <w:vAlign w:val="bottom"/>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$78,945</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$614,334</w:t>
            </w:r>
          </w:p>
        </w:tc>
        <w:tc>
          <w:tcPr>
            <w:tcW w:w="44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$156,445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income from continuing operations as a % of</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34.9%</w:t>
            </w:r>
          </w:p>
        </w:tc>
        <w:tc>
          <w:tcPr>
            <w:tcW w:w="1740" w:type="dxa"/>
            <w:vAlign w:val="bottom"/>
            <w:gridSpan w:val="2"/>
          </w:tcPr>
          <w:p>
            <w:pPr>
              <w:jc w:val="right"/>
              <w:ind w:right="159"/>
              <w:spacing w:after="0"/>
              <w:rPr>
                <w:sz w:val="20"/>
                <w:szCs w:val="20"/>
                <w:color w:val="auto"/>
              </w:rPr>
            </w:pPr>
            <w:r>
              <w:rPr>
                <w:rFonts w:ascii="Arial" w:cs="Arial" w:eastAsia="Arial" w:hAnsi="Arial"/>
                <w:sz w:val="18"/>
                <w:szCs w:val="18"/>
                <w:color w:val="auto"/>
              </w:rPr>
              <w:t>16.0%</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30.8%</w:t>
            </w:r>
          </w:p>
        </w:tc>
        <w:tc>
          <w:tcPr>
            <w:tcW w:w="1820" w:type="dxa"/>
            <w:vAlign w:val="bottom"/>
            <w:gridSpan w:val="2"/>
          </w:tcPr>
          <w:p>
            <w:pPr>
              <w:jc w:val="right"/>
              <w:ind w:right="15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222"/>
        <w:spacing w:after="0" w:line="308" w:lineRule="auto"/>
        <w:rPr>
          <w:sz w:val="20"/>
          <w:szCs w:val="20"/>
          <w:color w:val="auto"/>
        </w:rPr>
      </w:pPr>
      <w:r>
        <w:rPr>
          <w:rFonts w:ascii="Arial" w:cs="Arial" w:eastAsia="Arial" w:hAnsi="Arial"/>
          <w:sz w:val="17"/>
          <w:szCs w:val="17"/>
          <w:color w:val="auto"/>
        </w:rPr>
        <w:t>The $172.2 million increase in operating income from continuing operations in the third quarter of fiscal 2010 as compared to the third quarter of fiscal 2009 was primarily the result of an increase in revenue of $228.3 million and a 1260 basis point increase in gross margin percentage.</w:t>
      </w:r>
    </w:p>
    <w:p>
      <w:pPr>
        <w:spacing w:after="0" w:line="38"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$457.9 million increase in operating income from continuing operations in the nine months ended July 31, 2010 as compared to the same period of fiscal 2009 was primarily the result of an increase in revenue of $548.2 million, a 920 basis point increase in gross margin percentage, and lower special charges recorded in the first nine months of fiscal 2010 as compared to the first nine months of fiscal 2009.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9"/>
              </w:rPr>
              <w:t>August 1, 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12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10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2,614</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(2,558)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(7,411)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(13,881)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nonoperating (income) expense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(1,082)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(13,773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Nonoperating income was lower by $0.9 million in the third quarter of fiscal 2010 as compared to the third quarter of fiscal 2009 primarily due to interest expense we incurred during the third quarter of fiscal 2010 as a result of the issuance of $375 million aggregate principal 5.0% senior unsecured notes on June 30, 2009.</w:t>
      </w:r>
    </w:p>
    <w:p>
      <w:pPr>
        <w:spacing w:after="0" w:line="7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Nonoperating expense (income) was lower by $14.5 million in the nine months ended July 31, 2010 as compared to the same period of fiscal 2009 primarily due to lower interest income earned on investments as a result of lower interest rates in the first nine months of fiscal 2010 as compared to the first nine months of fiscal 2009. In addition, we incurred interest expense during the first nine months of fiscal 2010 as a result of the issuance of $375 million aggregate principal 5.0% senior unsecured notes on June 30,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9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118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$51,830</w:t>
            </w:r>
          </w:p>
        </w:tc>
        <w:tc>
          <w:tcPr>
            <w:tcW w:w="440" w:type="dxa"/>
            <w:vAlign w:val="bottom"/>
          </w:tcPr>
          <w:p>
            <w:pPr>
              <w:spacing w:after="0"/>
              <w:rPr>
                <w:sz w:val="16"/>
                <w:szCs w:val="16"/>
                <w:color w:val="auto"/>
              </w:rPr>
            </w:pPr>
          </w:p>
        </w:tc>
        <w:tc>
          <w:tcPr>
            <w:tcW w:w="130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$14,567</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$127,377</w:t>
            </w:r>
          </w:p>
        </w:tc>
        <w:tc>
          <w:tcPr>
            <w:tcW w:w="440" w:type="dxa"/>
            <w:vAlign w:val="bottom"/>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20.6%</w:t>
            </w:r>
          </w:p>
        </w:tc>
        <w:tc>
          <w:tcPr>
            <w:tcW w:w="1740" w:type="dxa"/>
            <w:vAlign w:val="bottom"/>
            <w:gridSpan w:val="2"/>
          </w:tcPr>
          <w:p>
            <w:pPr>
              <w:jc w:val="right"/>
              <w:ind w:right="179"/>
              <w:spacing w:after="0"/>
              <w:rPr>
                <w:sz w:val="20"/>
                <w:szCs w:val="20"/>
                <w:color w:val="auto"/>
              </w:rPr>
            </w:pPr>
            <w:r>
              <w:rPr>
                <w:rFonts w:ascii="Arial" w:cs="Arial" w:eastAsia="Arial" w:hAnsi="Arial"/>
                <w:sz w:val="18"/>
                <w:szCs w:val="18"/>
                <w:color w:val="auto"/>
              </w:rPr>
              <w:t>18.2%</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20.8%</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third quarter of fiscal 2010 was higher compared to our effective tax rate for the third quarter of fiscal 2009 as a result of a change in the mix of our income to jurisdictions where income is taxed at a higher rate.</w:t>
      </w:r>
    </w:p>
    <w:p>
      <w:pPr>
        <w:spacing w:after="0" w:line="7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Our effective tax rate for the first nine months of fiscal 2010 was higher compared to our effective tax rate for the first nine months of fiscal 2009 primarily as a result of higher special charges recorded in the prior year, a majority of which provided a tax benefit at the higher U.S. tax rate. A change in the mix of our income to jurisdictions where income is taxed at a higher rate also contributed to a higher effective tax rate for the first nine months of fiscal 2010.</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08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31, 2010</w:t>
            </w:r>
          </w:p>
        </w:tc>
        <w:tc>
          <w:tcPr>
            <w:tcW w:w="46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1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31, 2010</w:t>
            </w:r>
          </w:p>
        </w:tc>
        <w:tc>
          <w:tcPr>
            <w:tcW w:w="44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August 1, 2009</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199,491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7"/>
              </w:rPr>
              <w:t>65,460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486,231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141,799</w:t>
            </w: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0.22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0.49</w:t>
            </w:r>
          </w:p>
        </w:tc>
      </w:tr>
    </w:tbl>
    <w:p>
      <w:pPr>
        <w:spacing w:after="0" w:line="9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Income from continuing operations, net of tax, in the third quarter of fiscal 2010 was higher than in the third quarter of fiscal 2009 by approximately $134 million primarily as a result of the $172.2 million increase in operating income that was partially offset by a higher provision for income taxes in the third quarter of fiscal 2010.</w:t>
      </w:r>
    </w:p>
    <w:p>
      <w:pPr>
        <w:spacing w:after="0" w:line="73"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Income from continuing operations, net of tax, in the first nine months of fiscal 2010 was higher than in the first nine months of fiscal 2009 by approximately $344.4 million primarily as a result of the $457.9 million increase in operating income that was partially offset by a higher provision for income taxes in the first nine months of fiscal 2010.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31, 2010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 See Note 15 in the Notes to our Condensed Consolidated Financial Statements contained in Item 1 of this Quarterly Report on Form 10-Q for further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expect revenue in the fourth quarter of fiscal 2010 to be in the range of $740 million to $770 million. Our plan is for gross margin for the fourth quarter of fiscal 2010 to be in the range of 66% to 67% and for operating expenses to increase well below the growth rate of our revenue in the fourth quarter. As a result we expect operating margins to be in the range of 35% to 36% and diluted earnings per share from continuing operations to be in the range of $0.68 to $0.72 in the fourth quarter of fiscal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3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2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July 31, 2010</w:t>
            </w:r>
          </w:p>
        </w:tc>
        <w:tc>
          <w:tcPr>
            <w:tcW w:w="5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0" w:type="dxa"/>
            <w:vAlign w:val="bottom"/>
          </w:tcPr>
          <w:p>
            <w:pPr>
              <w:spacing w:after="0"/>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12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$716,899</w:t>
            </w:r>
          </w:p>
        </w:tc>
        <w:tc>
          <w:tcPr>
            <w:tcW w:w="5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$269,470</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36.0%</w:t>
            </w:r>
          </w:p>
        </w:tc>
        <w:tc>
          <w:tcPr>
            <w:tcW w:w="1900" w:type="dxa"/>
            <w:vAlign w:val="bottom"/>
            <w:gridSpan w:val="2"/>
          </w:tcPr>
          <w:p>
            <w:pPr>
              <w:jc w:val="right"/>
              <w:ind w:right="159"/>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15"/>
        <w:spacing w:after="0" w:line="302" w:lineRule="auto"/>
        <w:rPr>
          <w:sz w:val="20"/>
          <w:szCs w:val="20"/>
          <w:color w:val="auto"/>
        </w:rPr>
      </w:pPr>
      <w:r>
        <w:rPr>
          <w:rFonts w:ascii="Arial" w:cs="Arial" w:eastAsia="Arial" w:hAnsi="Arial"/>
          <w:sz w:val="16"/>
          <w:szCs w:val="16"/>
          <w:color w:val="auto"/>
        </w:rPr>
        <w:t>At July 31, 2010, cash, cash equivalents and short-term investments totaled $2,508.3 million. The primary sources of funds for the first nine months of fiscal 2010 were net cash generated from operating activities of $716.9 million and $174 million in net proceeds from employee stock option exercises. The principal uses of funds for the first nine months of fiscal 2010 were dividend payments of $184.4 million and capital expenditures of $73.8 million. These factors contributed to the net increase in cash, cash equivalents and short-term investments of $692.3 million in the first nine months of fiscal 2010.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July 31, 2010</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$357,479</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$301,036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280" w:type="dxa"/>
            <w:vAlign w:val="bottom"/>
          </w:tcPr>
          <w:p>
            <w:pPr>
              <w:jc w:val="right"/>
              <w:ind w:right="254"/>
              <w:spacing w:after="0"/>
              <w:rPr>
                <w:sz w:val="20"/>
                <w:szCs w:val="20"/>
                <w:color w:val="auto"/>
              </w:rPr>
            </w:pPr>
            <w:r>
              <w:rPr>
                <w:rFonts w:ascii="Arial" w:cs="Arial" w:eastAsia="Arial" w:hAnsi="Arial"/>
                <w:sz w:val="18"/>
                <w:szCs w:val="18"/>
                <w:color w:val="auto"/>
              </w:rPr>
              <w:t>45</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$265,266</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$253,161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280" w:type="dxa"/>
            <w:vAlign w:val="bottom"/>
          </w:tcPr>
          <w:p>
            <w:pPr>
              <w:jc w:val="right"/>
              <w:ind w:right="254"/>
              <w:spacing w:after="0"/>
              <w:rPr>
                <w:sz w:val="20"/>
                <w:szCs w:val="20"/>
                <w:color w:val="auto"/>
              </w:rPr>
            </w:pPr>
            <w:r>
              <w:rPr>
                <w:rFonts w:ascii="Arial" w:cs="Arial" w:eastAsia="Arial" w:hAnsi="Arial"/>
                <w:sz w:val="18"/>
                <w:szCs w:val="18"/>
                <w:color w:val="auto"/>
              </w:rPr>
              <w:t>101</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Accounts receivable at July 31, 2010 increased $56.4 million, or 19%, from the end of the fourth quarter of fiscal 2009. The increase in receivables was the result of higher revenue in the third quarter of fiscal 2010 as compared to the fourth quarter of fiscal 2009.</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Inventory at July 31, 2010 increased by $12.1 million, or 5%, from the end of the fourth quarter of fiscal 2009. The increase in inventory relates primarily to an increase in manufacturing production to support anticipated higher sales demand.</w:t>
      </w:r>
    </w:p>
    <w:p>
      <w:pPr>
        <w:spacing w:after="0" w:line="62"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Net additions to property, plant and equipment were $73.8 million in the first nine months of fiscal 2010 and were funded with a combination of cash on hand and cash generated from operations. We expect capital expenditures to be in the range of $110 million to $120 million in fiscal 2010.</w:t>
      </w:r>
    </w:p>
    <w:p>
      <w:pPr>
        <w:spacing w:after="0" w:line="3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August 16, 2010, our Board of Directors declared a cash dividend of $0.22 per outstanding share of our common stock. The dividend is payable on September 15, 2010 to shareholders of record on August 27, 2010 and is expected to be approximately $66 million in the aggregate. We expect quarterly dividends to continue at $0.22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common stock repurchase program has been in place since August 2004. In the aggregate, the Board of Directors has authorized us to repurchase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 billion of our common stock under the program. Under the program, we may repurchase outstanding shares of our common stock from time to time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open market and through privately negotiated transactions. Unless terminated earlier by resolution of our Board of Directors, the repurchase program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expire when we have repurchased all shares authorized under the program. As of July 31, 2010, we had repurchased a total of approximately 114.8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million shares of our common stock for approximately $3,912.4 million under this program. An additional $87.6 million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Notes) with annual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payments of 5.0% paid in two installments on January 1 and July 1 of each year, commencing January 1, 2010. The net proceeds of the offering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$370.4 million, after issuing at a discount and deducting expenses, underwriting discounts and commissions, which will be amortized over the term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 swapped the fixed interest portion of these Notes for a variable interest rate based on the three-month LIBOR plus 2.05% (2.58% as of July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variable interest payments based on the variable annual rate are payable quarterly. The LIBOR based rate is set quarterly three months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interest payment. The indenture governing the Notes contains covenants that may limit our ability to: incur, create, assume or guarantee any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borrowed money secured by a lien upon a principal property; enter into sale and lease-back transactions with respect to a principal property;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consolidate with or merge into, or transfer or lease all or substantially all of our assets to any other party. In addition, we have a five-year $165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unsecured revolving credit facility that expires in May 2013. To date, we have not borrowed under this credit facility but we may borrow in the future and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for support of commercial paper issuance, stock repurchases, dividend payments, acquisitions, capital expenditures, working capital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lawful corporate purposes.</w:t>
      </w:r>
    </w:p>
    <w:p>
      <w:pPr>
        <w:spacing w:after="0" w:line="103"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At July 31, 2010, our principal source of liquidity was $2,508.3 million of cash and cash equivalents and short-term investments. As of July 31, 2010, approximately $710.3 million of our cash and cash equivalents and short-term investments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80"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While there are signs that conditions may be improving, there is no certainty that the current tentative recovery in credit and financial markets will continue. We are unable to predict the likely duration of the tentative recovery in the credit and financial markets.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There have not been any material changes during the first nine months of fiscal 2010 to the amounts presented in the table summarizing our contractual obligations included in our Annual Report on Form 10-K for the year ended October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 (ASC Topic 820) — Improving Disclosures About Fair Value Measurements</w:t>
      </w:r>
      <w:r>
        <w:rPr>
          <w:rFonts w:ascii="Arial" w:cs="Arial" w:eastAsia="Arial" w:hAnsi="Arial"/>
          <w:sz w:val="16"/>
          <w:szCs w:val="16"/>
          <w:color w:val="auto"/>
        </w:rPr>
        <w:t>. The ASU requires new disclosures about transfers into and out</w:t>
      </w:r>
      <w:r>
        <w:rPr>
          <w:rFonts w:ascii="Arial" w:cs="Arial" w:eastAsia="Arial" w:hAnsi="Arial"/>
          <w:sz w:val="16"/>
          <w:szCs w:val="16"/>
          <w:i w:val="1"/>
          <w:iCs w:val="1"/>
          <w:color w:val="auto"/>
        </w:rPr>
        <w:t xml:space="preserve"> </w:t>
      </w:r>
      <w:r>
        <w:rPr>
          <w:rFonts w:ascii="Arial" w:cs="Arial" w:eastAsia="Arial" w:hAnsi="Arial"/>
          <w:sz w:val="16"/>
          <w:szCs w:val="16"/>
          <w:color w:val="auto"/>
        </w:rPr>
        <w:t>of Levels 1 and 2 and separate disclosures about purchases, sales, issuances, and settlements relating to Level 3 measurements. It also clarifies existing fair value disclosures about the level of disaggregation and about inputs and valuation techniques used to measure fair value. The new disclosures and clarifications of existing disclosures were effective for our first quarter of fiscal year 2010, except for the disclosures about purchases, sales, issuances, and settlements relating to Level 3 measurements, which are effective for our first quarter of fiscal year 2012. The adoption of this guidance required additional disclosures but did not have a material impact on our consolidated results of operations and financial position.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We are currently evaluating the impact, if any, that ASU No. 2009-14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2009-13 — </w:t>
      </w:r>
      <w:r>
        <w:rPr>
          <w:rFonts w:ascii="Arial" w:cs="Arial" w:eastAsia="Arial" w:hAnsi="Arial"/>
          <w:sz w:val="17"/>
          <w:szCs w:val="17"/>
          <w:i w:val="1"/>
          <w:iCs w:val="1"/>
          <w:color w:val="auto"/>
        </w:rPr>
        <w:t>Revenue Recognition (Topic 605): Multiple-Deliverable Revenue Arrangements</w:t>
      </w:r>
      <w:r>
        <w:rPr>
          <w:rFonts w:ascii="Arial" w:cs="Arial" w:eastAsia="Arial" w:hAnsi="Arial"/>
          <w:sz w:val="17"/>
          <w:szCs w:val="17"/>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We are currently evaluating the impact, if any, that ASU No. 2009-13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2009, the FASB issued ASU No. 2009-17 — </w:t>
      </w:r>
      <w:r>
        <w:rPr>
          <w:rFonts w:ascii="Arial" w:cs="Arial" w:eastAsia="Arial" w:hAnsi="Arial"/>
          <w:sz w:val="18"/>
          <w:szCs w:val="18"/>
          <w:i w:val="1"/>
          <w:iCs w:val="1"/>
          <w:color w:val="auto"/>
        </w:rPr>
        <w:t>Consolidations (Topic 810): Improvements to Financial Reporting by Enterprises Involved with</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which amends ASC 810,</w:t>
      </w:r>
      <w:r>
        <w:rPr>
          <w:rFonts w:ascii="Arial" w:cs="Arial" w:eastAsia="Arial" w:hAnsi="Arial"/>
          <w:sz w:val="18"/>
          <w:szCs w:val="18"/>
          <w:i w:val="1"/>
          <w:iCs w:val="1"/>
          <w:color w:val="auto"/>
        </w:rPr>
        <w:t xml:space="preserve"> Consolidation</w:t>
      </w:r>
      <w:r>
        <w:rPr>
          <w:rFonts w:ascii="Arial" w:cs="Arial" w:eastAsia="Arial" w:hAnsi="Arial"/>
          <w:sz w:val="18"/>
          <w:szCs w:val="18"/>
          <w:color w:val="auto"/>
        </w:rPr>
        <w:t>. This standard requires an enterprise to perform an analysis to determine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our fiscal year 2011. We are currently evaluating the impact, if any, that ASU No. 2009-17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Assets,</w:t>
      </w:r>
      <w:r>
        <w:rPr>
          <w:rFonts w:ascii="Arial" w:cs="Arial" w:eastAsia="Arial" w:hAnsi="Arial"/>
          <w:sz w:val="18"/>
          <w:szCs w:val="18"/>
          <w:color w:val="auto"/>
        </w:rPr>
        <w:t xml:space="preserve"> (Topic 820)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standard changes the way entities account for securitizations and other transfers of financial instruments. ASU No. 2009-16 is effective for fiscal years that begin after November 15, 2009, which is our fiscal year 2011. We are currently evaluating the impact, if any, that ASU No. 2009-16 may have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There were no material changes in the first nine months of fiscal 2010 to the information provided under the heading “Critical Accounting Policies and Estimates” included in our Annual Report on Form 10-K for the fiscal year ended October 31, 2009.</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have been no material changes in the first nine months of fiscal 2010 in the information provided under Item 7A. “Quantitative and Qualitative Disclosures about Market Risk” set forth in our Annual Report on Form 10-K for the year ended October 31, 2009.</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419" w:right="6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July 31, 2010.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31, 2010,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July 31, 2010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31, 2009 and “Part II, Item 1A. Risk Factors” of our Quarterly Report on Form 10-Q for the quarter ended May 1,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17" w:lineRule="exact"/>
        <w:rPr>
          <w:sz w:val="20"/>
          <w:szCs w:val="20"/>
          <w:color w:val="auto"/>
        </w:rPr>
      </w:pPr>
    </w:p>
    <w:p>
      <w:pPr>
        <w:ind w:right="40" w:firstLine="225"/>
        <w:spacing w:after="0" w:line="267" w:lineRule="auto"/>
        <w:rPr>
          <w:sz w:val="20"/>
          <w:szCs w:val="20"/>
          <w:color w:val="auto"/>
        </w:rPr>
      </w:pPr>
      <w:r>
        <w:rPr>
          <w:rFonts w:ascii="Arial" w:cs="Arial" w:eastAsia="Arial" w:hAnsi="Arial"/>
          <w:sz w:val="17"/>
          <w:szCs w:val="17"/>
          <w:color w:val="auto"/>
        </w:rPr>
        <w:t>Global credit and financial markets appear to be recovering from extreme disruptions experienced over the past two years. However, uncertainty about continuing economic stability remains. Our business was significantly affected by the global economic crisis. While there are signs that conditions are improving, there is no certainty that the current tentative recovery in credit and financial markets will continue. These economic uncertainties affect businesses such as ours in a number of ways, making it difficult to accurately forecast and plan our future business activities. High unemployment rates, continued weakness in commercial and residential real estate markets and the continued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The financial turmoil could cause financial institutions to consolidate or go out of business, which increases the risk that the actual amounts realized in the future on our financial instruments could differ significantly from the fair value assigned to them. During the global financial crisis, many governments adopted stimulus or spending programs designed to ease the economic impact of the crisis. Some of our businesses benefited from these stimulus programs and as these programs conclude, those businesses could be negatively impacted. The recent debt crisis in certain European countries could cause the value of the Euro to deteriorate, thus reducing the purchasing power of our European customers. In addition, the recent European debt crisis and related financial restructuring efforts has contributed to the instability in global credit markets. We are unable to predict the impact of these events on the apparent economic recovery, and if economic conditions deteriorate again, we may record additional charges relating to restructuring costs or the impairment of assets and our business and results of operations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ability of our third party suppliers, subcontractors and manufactures to supply us with sufficient quantities of products or components;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connection with acquisitions; changes in available tax credits; and changes in tax laws or the interpretation of such tax laws. Any significant increase in our future effective tax rates could adversely impact our net income for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rely, and plan to continue to rely, on suppliers, assembly and test subcontractors, and third-party wafer fabricators to supply most of our wafers that can be manufactured using industry-standard submicron processes. This reliance involves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Approximately 48% of our revenue for the first nine months of fiscal 2010 and approximately 49% of our fiscal 2009 revenue was from products fabricated at third-party wafer-fabrication facilities, primarily TSMC.</w:t>
      </w:r>
    </w:p>
    <w:p>
      <w:pPr>
        <w:spacing w:after="0" w:line="5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5"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including claims arising under our contractual obligations to indemnify our customers. Other companies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able to find financing on favorable terms, and the sale of our stock may result in the dilution of our existing shareholders or the issuance of securities with rights that are superior to the rights of our common shareholders.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During the first nine months of fiscal 2010, approximately 81%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States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89"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export tariffs, currency controls, environmental regulations, anti-corruption,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8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enacted in Massachusetts and may be introduced in the future in the U.S. Congress. The U.S. Environmental Protection Agency is preparing reporting regulations that are likely to apply to us. We expect increased worldwide regulatory activity on this topic in the future. The cost of complying, or of failing to comply, with these and other climate change and emissions regulations could have an adverse effect on our business plans and operating results.</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$375 million senior unsecured notes.</w:t>
      </w:r>
    </w:p>
    <w:p>
      <w:pPr>
        <w:spacing w:after="0" w:line="62"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In fiscal 2009, we issued in a public offering $375 million aggregate principal amount of 5.0% senior unsecured notes due July 1, 2014.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46"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available on economically favorable terms.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 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crises in global credit, debt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 as</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3"/>
              </w:rPr>
              <w:t>Total Number of</w:t>
            </w: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80" w:type="dxa"/>
            <w:vAlign w:val="bottom"/>
          </w:tcPr>
          <w:p>
            <w:pPr>
              <w:spacing w:after="0"/>
              <w:rPr>
                <w:sz w:val="12"/>
                <w:szCs w:val="12"/>
                <w:color w:val="auto"/>
              </w:rPr>
            </w:pPr>
          </w:p>
        </w:tc>
        <w:tc>
          <w:tcPr>
            <w:tcW w:w="13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4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Announced Plans or</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14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Period</w:t>
            </w:r>
          </w:p>
        </w:tc>
        <w:tc>
          <w:tcPr>
            <w:tcW w:w="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color w:val="auto"/>
                <w:w w:val="93"/>
              </w:rPr>
              <w:t>(a)</w:t>
            </w:r>
          </w:p>
        </w:tc>
        <w:tc>
          <w:tcPr>
            <w:tcW w:w="38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Paid Per Share (b)</w:t>
            </w:r>
          </w:p>
        </w:tc>
        <w:tc>
          <w:tcPr>
            <w:tcW w:w="40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Programs (c)</w:t>
            </w:r>
          </w:p>
        </w:tc>
        <w:tc>
          <w:tcPr>
            <w:tcW w:w="4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May 2, 2010 through May 29, 2010</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$28.35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$91,614,067</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May 30, 2010 through June 26, 2010</w:t>
            </w: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25,750</w:t>
            </w:r>
          </w:p>
        </w:tc>
        <w:tc>
          <w:tcPr>
            <w:tcW w:w="420" w:type="dxa"/>
            <w:vAlign w:val="bottom"/>
          </w:tcPr>
          <w:p>
            <w:pPr>
              <w:spacing w:after="0"/>
              <w:rPr>
                <w:sz w:val="18"/>
                <w:szCs w:val="18"/>
                <w:color w:val="auto"/>
              </w:rPr>
            </w:pPr>
          </w:p>
        </w:tc>
        <w:tc>
          <w:tcPr>
            <w:tcW w:w="1680" w:type="dxa"/>
            <w:vAlign w:val="bottom"/>
            <w:gridSpan w:val="2"/>
          </w:tcPr>
          <w:p>
            <w:pPr>
              <w:jc w:val="right"/>
              <w:ind w:right="368"/>
              <w:spacing w:after="0"/>
              <w:rPr>
                <w:sz w:val="20"/>
                <w:szCs w:val="20"/>
                <w:color w:val="auto"/>
              </w:rPr>
            </w:pPr>
            <w:r>
              <w:rPr>
                <w:rFonts w:ascii="Arial" w:cs="Arial" w:eastAsia="Arial" w:hAnsi="Arial"/>
                <w:sz w:val="18"/>
                <w:szCs w:val="18"/>
                <w:color w:val="auto"/>
              </w:rPr>
              <w:t>$28.91</w:t>
            </w: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25,750</w:t>
            </w:r>
          </w:p>
        </w:tc>
        <w:tc>
          <w:tcPr>
            <w:tcW w:w="2060" w:type="dxa"/>
            <w:vAlign w:val="bottom"/>
            <w:gridSpan w:val="2"/>
          </w:tcPr>
          <w:p>
            <w:pPr>
              <w:jc w:val="right"/>
              <w:ind w:right="348"/>
              <w:spacing w:after="0"/>
              <w:rPr>
                <w:sz w:val="20"/>
                <w:szCs w:val="20"/>
                <w:color w:val="auto"/>
              </w:rPr>
            </w:pPr>
            <w:r>
              <w:rPr>
                <w:rFonts w:ascii="Arial" w:cs="Arial" w:eastAsia="Arial" w:hAnsi="Arial"/>
                <w:sz w:val="18"/>
                <w:szCs w:val="18"/>
                <w:color w:val="auto"/>
              </w:rPr>
              <w:t>$90,869,540</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June 27, 2010 through July 31, 2010</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110,749</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$29.87</w:t>
            </w:r>
          </w:p>
        </w:tc>
        <w:tc>
          <w:tcPr>
            <w:tcW w:w="16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110,559</w:t>
            </w:r>
          </w:p>
        </w:tc>
        <w:tc>
          <w:tcPr>
            <w:tcW w:w="2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$87,567,549</w:t>
            </w:r>
          </w:p>
        </w:tc>
      </w:tr>
      <w:tr>
        <w:trPr>
          <w:trHeight w:val="223"/>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136,803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gridSpan w:val="2"/>
          </w:tcPr>
          <w:p>
            <w:pPr>
              <w:jc w:val="right"/>
              <w:ind w:right="368"/>
              <w:spacing w:after="0"/>
              <w:rPr>
                <w:sz w:val="20"/>
                <w:szCs w:val="20"/>
                <w:color w:val="auto"/>
              </w:rPr>
            </w:pPr>
            <w:r>
              <w:rPr>
                <w:rFonts w:ascii="Arial" w:cs="Arial" w:eastAsia="Arial" w:hAnsi="Arial"/>
                <w:sz w:val="18"/>
                <w:szCs w:val="18"/>
                <w:color w:val="auto"/>
              </w:rPr>
              <w:t>$29.68</w:t>
            </w:r>
          </w:p>
        </w:tc>
        <w:tc>
          <w:tcPr>
            <w:tcW w:w="7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136,309</w:t>
            </w:r>
          </w:p>
        </w:tc>
        <w:tc>
          <w:tcPr>
            <w:tcW w:w="340" w:type="dxa"/>
            <w:vAlign w:val="bottom"/>
          </w:tcPr>
          <w:p>
            <w:pPr>
              <w:spacing w:after="0"/>
              <w:rPr>
                <w:sz w:val="19"/>
                <w:szCs w:val="19"/>
                <w:color w:val="auto"/>
              </w:rPr>
            </w:pPr>
          </w:p>
        </w:tc>
        <w:tc>
          <w:tcPr>
            <w:tcW w:w="2060" w:type="dxa"/>
            <w:vAlign w:val="bottom"/>
            <w:gridSpan w:val="2"/>
          </w:tcPr>
          <w:p>
            <w:pPr>
              <w:jc w:val="right"/>
              <w:ind w:right="348"/>
              <w:spacing w:after="0"/>
              <w:rPr>
                <w:sz w:val="20"/>
                <w:szCs w:val="20"/>
                <w:color w:val="auto"/>
              </w:rPr>
            </w:pPr>
            <w:r>
              <w:rPr>
                <w:rFonts w:ascii="Arial" w:cs="Arial" w:eastAsia="Arial" w:hAnsi="Arial"/>
                <w:sz w:val="18"/>
                <w:szCs w:val="18"/>
                <w:color w:val="auto"/>
              </w:rPr>
              <w:t>$87,567,549</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494 shares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stock price for each share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17, 2010</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August 17, 2010</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Finance and</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49</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56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16"/>
                <w:szCs w:val="16"/>
                <w:color w:val="auto"/>
              </w:rPr>
            </w:pPr>
          </w:p>
        </w:tc>
        <w:tc>
          <w:tcPr>
            <w:tcW w:w="9860" w:type="dxa"/>
            <w:vAlign w:val="bottom"/>
            <w:gridSpan w:val="3"/>
          </w:tcPr>
          <w:p>
            <w:pPr>
              <w:spacing w:after="0" w:line="195" w:lineRule="exact"/>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Sarbanes-Oxley Act of 2002 (Chief Executive Officer).</w:t>
            </w:r>
          </w:p>
        </w:tc>
      </w:tr>
      <w:tr>
        <w:trPr>
          <w:trHeight w:val="418"/>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Sarbanes-Oxley Act of 2002 (Chief Financial Officer).</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6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months and nine months ended July 31, 2010 and August 1, 2009, (ii) Condensed Consolidated Balance Sheets at July 31, 2010 and October 31, 2009, (iii) Condensed Consolidated Statements of Cash Flows for the nine months ended July 31, 2010 and August 1, 2009 and (iv) Notes to Condensed Consolidated Financial Statements.</w:t>
      </w:r>
    </w:p>
    <w:p>
      <w:pPr>
        <w:spacing w:after="0" w:line="38" w:lineRule="exact"/>
        <w:rPr>
          <w:sz w:val="20"/>
          <w:szCs w:val="20"/>
          <w:color w:val="auto"/>
        </w:rPr>
      </w:pPr>
    </w:p>
    <w:p>
      <w:pPr>
        <w:jc w:val="both"/>
        <w:ind w:left="120" w:right="120"/>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1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31, 2010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31, 2010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emdash "/>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2019-12-09T21:04:46Z</dcterms:created>
  <dcterms:modified xsi:type="dcterms:W3CDTF">2019-12-09T21:04:46Z</dcterms:modified>
</cp:coreProperties>
</file>