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1318895</wp:posOffset>
            </wp:positionH>
            <wp:positionV relativeFrom="page">
              <wp:posOffset>142875</wp:posOffset>
            </wp:positionV>
            <wp:extent cx="4910455" cy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45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1318895</wp:posOffset>
            </wp:positionH>
            <wp:positionV relativeFrom="page">
              <wp:posOffset>173355</wp:posOffset>
            </wp:positionV>
            <wp:extent cx="491045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45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2342515</wp:posOffset>
            </wp:positionH>
            <wp:positionV relativeFrom="paragraph">
              <wp:posOffset>162560</wp:posOffset>
            </wp:positionV>
            <wp:extent cx="103505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Proxy Statement Pursuant to Section 14(a) of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(Amendment No. 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2342515</wp:posOffset>
            </wp:positionH>
            <wp:positionV relativeFrom="paragraph">
              <wp:posOffset>114935</wp:posOffset>
            </wp:positionV>
            <wp:extent cx="103505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ind w:left="640"/>
        <w:spacing w:after="0" w:line="150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3"/>
          <w:szCs w:val="13"/>
          <w:color w:val="auto"/>
        </w:rPr>
        <w:t>☑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640"/>
        <w:spacing w:after="0" w:line="150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3"/>
          <w:szCs w:val="13"/>
          <w:color w:val="auto"/>
        </w:rPr>
        <w:t>☐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Check the appropriate box: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Preliminary Proxy Statement</w:t>
      </w:r>
    </w:p>
    <w:p>
      <w:pPr>
        <w:spacing w:after="0" w:line="170" w:lineRule="exact"/>
        <w:rPr>
          <w:rFonts w:ascii="MS PGothic" w:cs="MS PGothic" w:eastAsia="MS PGothic" w:hAnsi="MS PGothic"/>
          <w:sz w:val="13"/>
          <w:szCs w:val="13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74" w:lineRule="exact"/>
        <w:rPr>
          <w:rFonts w:ascii="MS PGothic" w:cs="MS PGothic" w:eastAsia="MS PGothic" w:hAnsi="MS PGothic"/>
          <w:sz w:val="13"/>
          <w:szCs w:val="13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Definitive Proxy Statement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Definitive Additional Materials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Soliciting Material under § 240.14a-12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Analog Devices, Inc.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(Name of Registrant as Specified in Its Charter)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2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Payment of Filing Fee (Check all boxes that apply):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No fee required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Fee paid previously with preliminary materials</w:t>
      </w:r>
    </w:p>
    <w:p>
      <w:pPr>
        <w:spacing w:after="0" w:line="172" w:lineRule="exact"/>
        <w:rPr>
          <w:rFonts w:ascii="MS PGothic" w:cs="MS PGothic" w:eastAsia="MS PGothic" w:hAnsi="MS PGothic"/>
          <w:sz w:val="13"/>
          <w:szCs w:val="13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404495</wp:posOffset>
            </wp:positionH>
            <wp:positionV relativeFrom="paragraph">
              <wp:posOffset>130175</wp:posOffset>
            </wp:positionV>
            <wp:extent cx="491045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45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404495</wp:posOffset>
            </wp:positionH>
            <wp:positionV relativeFrom="paragraph">
              <wp:posOffset>160020</wp:posOffset>
            </wp:positionV>
            <wp:extent cx="4910455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45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400" w:right="1440" w:bottom="1440" w:gutter="0" w:footer="0" w:header="0"/>
        </w:sectPr>
      </w:pPr>
    </w:p>
    <w:bookmarkStart w:id="1" w:name="page2"/>
    <w:bookmarkEnd w:id="1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10425" cy="304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Explanatory Note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640" w:right="799"/>
        <w:spacing w:after="0" w:line="26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Analog Devices, Inc. (the “Company”) is filing a copy of a slide presentation (the “Presentation”) relating to Proposal 5 in the Company’s 2026 proxy statement. The Company intends to share the Presentation with a number of its investors beginning on February 9, 2026.</w:t>
      </w:r>
    </w:p>
    <w:p>
      <w:pPr>
        <w:sectPr>
          <w:pgSz w:w="11900" w:h="16838" w:orient="portrait"/>
          <w:cols w:equalWidth="0" w:num="1">
            <w:col w:w="9019"/>
          </w:cols>
          <w:pgMar w:left="1440" w:top="229" w:right="1440" w:bottom="1440" w:gutter="0" w:footer="0" w:header="0"/>
        </w:sectPr>
      </w:pPr>
    </w:p>
    <w:bookmarkStart w:id="2" w:name="page3"/>
    <w:bookmarkEnd w:id="2"/>
    <w:p>
      <w:pPr>
        <w:spacing w:after="0" w:line="26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6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6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6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6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6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2026-02-09T06:04:46Z</dcterms:created>
  <dcterms:modified xsi:type="dcterms:W3CDTF">2026-02-09T06:04:46Z</dcterms:modified>
</cp:coreProperties>
</file>