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3560"/>
        <w:spacing w:after="0" w:line="238" w:lineRule="auto"/>
        <w:rPr>
          <w:sz w:val="20"/>
          <w:szCs w:val="20"/>
          <w:color w:val="auto"/>
        </w:rPr>
      </w:pPr>
      <w:r>
        <w:rPr>
          <w:rFonts w:ascii="Courier New" w:cs="Courier New" w:eastAsia="Courier New" w:hAnsi="Courier New"/>
          <w:sz w:val="17"/>
          <w:szCs w:val="17"/>
          <w:color w:val="auto"/>
        </w:rPr>
        <w:t>As filed with the Securities and Exchange Commission on January 12, 2001</w:t>
      </w:r>
    </w:p>
    <w:p>
      <w:pPr>
        <w:jc w:val="center"/>
        <w:ind w:right="3460"/>
        <w:spacing w:after="0" w:line="238" w:lineRule="auto"/>
        <w:rPr>
          <w:sz w:val="20"/>
          <w:szCs w:val="20"/>
          <w:color w:val="auto"/>
        </w:rPr>
      </w:pPr>
      <w:r>
        <w:rPr>
          <w:rFonts w:ascii="Courier New" w:cs="Courier New" w:eastAsia="Courier New" w:hAnsi="Courier New"/>
          <w:sz w:val="17"/>
          <w:szCs w:val="17"/>
          <w:color w:val="auto"/>
        </w:rPr>
        <w:t>Registration Statement No. 333-</w:t>
      </w:r>
    </w:p>
    <w:p>
      <w:pPr>
        <w:spacing w:after="0" w:line="197"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3560"/>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S-3</w:t>
      </w:r>
    </w:p>
    <w:p>
      <w:pPr>
        <w:jc w:val="center"/>
        <w:ind w:right="3460"/>
        <w:spacing w:after="0" w:line="238" w:lineRule="auto"/>
        <w:rPr>
          <w:sz w:val="20"/>
          <w:szCs w:val="20"/>
          <w:color w:val="auto"/>
        </w:rPr>
      </w:pPr>
      <w:r>
        <w:rPr>
          <w:rFonts w:ascii="Courier New" w:cs="Courier New" w:eastAsia="Courier New" w:hAnsi="Courier New"/>
          <w:sz w:val="17"/>
          <w:szCs w:val="17"/>
          <w:color w:val="auto"/>
        </w:rPr>
        <w:t>REGISTRATION STATEMENT UNDER THE SECURITIES ACT OF 1933</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ANALOG DEVICES, INC.</w:t>
      </w:r>
    </w:p>
    <w:p>
      <w:pPr>
        <w:jc w:val="center"/>
        <w:ind w:right="356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237" w:right="139" w:bottom="0" w:gutter="0" w:footer="0" w:header="0"/>
        </w:sectPr>
      </w:pPr>
    </w:p>
    <w:p>
      <w:pPr>
        <w:spacing w:after="0" w:line="190"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Massachusetts</w:t>
      </w:r>
    </w:p>
    <w:p>
      <w:pPr>
        <w:spacing w:after="0" w:line="238" w:lineRule="auto"/>
        <w:rPr>
          <w:sz w:val="20"/>
          <w:szCs w:val="20"/>
          <w:color w:val="auto"/>
        </w:rPr>
      </w:pPr>
      <w:r>
        <w:rPr>
          <w:rFonts w:ascii="Courier New" w:cs="Courier New" w:eastAsia="Courier New" w:hAnsi="Courier New"/>
          <w:sz w:val="17"/>
          <w:szCs w:val="17"/>
          <w:color w:val="auto"/>
        </w:rPr>
        <w:t>(State or other jurisdiction of</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04-2348234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6" w:lineRule="exact"/>
        <w:rPr>
          <w:sz w:val="24"/>
          <w:szCs w:val="24"/>
          <w:color w:val="auto"/>
        </w:rPr>
      </w:pPr>
    </w:p>
    <w:p>
      <w:pPr>
        <w:sectPr>
          <w:pgSz w:w="11900" w:h="16838" w:orient="portrait"/>
          <w:cols w:equalWidth="0" w:num="2">
            <w:col w:w="3660" w:space="720"/>
            <w:col w:w="7140"/>
          </w:cols>
          <w:pgMar w:left="240" w:top="237" w:right="139" w:bottom="0" w:gutter="0" w:footer="0" w:header="0"/>
          <w:type w:val="continuous"/>
        </w:sectPr>
      </w:pPr>
    </w:p>
    <w:p>
      <w:pPr>
        <w:ind w:left="3080"/>
        <w:spacing w:after="0"/>
        <w:rPr>
          <w:sz w:val="20"/>
          <w:szCs w:val="20"/>
          <w:color w:val="auto"/>
        </w:rPr>
      </w:pPr>
      <w:r>
        <w:rPr>
          <w:rFonts w:ascii="Courier New" w:cs="Courier New" w:eastAsia="Courier New" w:hAnsi="Courier New"/>
          <w:sz w:val="17"/>
          <w:szCs w:val="17"/>
          <w:color w:val="auto"/>
        </w:rPr>
        <w:t>One Technology Way</w:t>
      </w:r>
    </w:p>
    <w:p>
      <w:pPr>
        <w:jc w:val="center"/>
        <w:ind w:right="3460"/>
        <w:spacing w:after="0" w:line="238" w:lineRule="auto"/>
        <w:rPr>
          <w:sz w:val="20"/>
          <w:szCs w:val="20"/>
          <w:color w:val="auto"/>
        </w:rPr>
      </w:pPr>
      <w:r>
        <w:rPr>
          <w:rFonts w:ascii="Courier New" w:cs="Courier New" w:eastAsia="Courier New" w:hAnsi="Courier New"/>
          <w:sz w:val="17"/>
          <w:szCs w:val="17"/>
          <w:color w:val="auto"/>
        </w:rPr>
        <w:t>Norwood, Massachusetts 02062-9106</w:t>
      </w:r>
    </w:p>
    <w:p>
      <w:pPr>
        <w:jc w:val="center"/>
        <w:ind w:right="3560"/>
        <w:spacing w:after="0" w:line="238" w:lineRule="auto"/>
        <w:rPr>
          <w:sz w:val="20"/>
          <w:szCs w:val="20"/>
          <w:color w:val="auto"/>
        </w:rPr>
      </w:pPr>
      <w:r>
        <w:rPr>
          <w:rFonts w:ascii="Courier New" w:cs="Courier New" w:eastAsia="Courier New" w:hAnsi="Courier New"/>
          <w:sz w:val="17"/>
          <w:szCs w:val="17"/>
          <w:color w:val="auto"/>
        </w:rPr>
        <w:t>(781) 329-4700</w:t>
      </w:r>
    </w:p>
    <w:p>
      <w:pPr>
        <w:spacing w:after="0" w:line="6" w:lineRule="exact"/>
        <w:rPr>
          <w:sz w:val="24"/>
          <w:szCs w:val="24"/>
          <w:color w:val="auto"/>
        </w:rPr>
      </w:pPr>
    </w:p>
    <w:p>
      <w:pPr>
        <w:ind w:right="4060" w:firstLine="895"/>
        <w:spacing w:after="0" w:line="235"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jc w:val="center"/>
        <w:ind w:right="3560"/>
        <w:spacing w:after="0" w:line="238" w:lineRule="auto"/>
        <w:rPr>
          <w:sz w:val="20"/>
          <w:szCs w:val="20"/>
          <w:color w:val="auto"/>
        </w:rPr>
      </w:pPr>
      <w:r>
        <w:rPr>
          <w:rFonts w:ascii="Courier New" w:cs="Courier New" w:eastAsia="Courier New" w:hAnsi="Courier New"/>
          <w:sz w:val="17"/>
          <w:szCs w:val="17"/>
          <w:color w:val="auto"/>
        </w:rPr>
        <w:t>Paul P. Brountas, Esq.</w:t>
      </w:r>
    </w:p>
    <w:p>
      <w:pPr>
        <w:jc w:val="center"/>
        <w:ind w:right="3460"/>
        <w:spacing w:after="0" w:line="238" w:lineRule="auto"/>
        <w:rPr>
          <w:sz w:val="20"/>
          <w:szCs w:val="20"/>
          <w:color w:val="auto"/>
        </w:rPr>
      </w:pPr>
      <w:r>
        <w:rPr>
          <w:rFonts w:ascii="Courier New" w:cs="Courier New" w:eastAsia="Courier New" w:hAnsi="Courier New"/>
          <w:sz w:val="17"/>
          <w:szCs w:val="17"/>
          <w:color w:val="auto"/>
        </w:rPr>
        <w:t>Hale and Dorr LLP</w:t>
      </w:r>
    </w:p>
    <w:p>
      <w:pPr>
        <w:jc w:val="center"/>
        <w:ind w:right="3460"/>
        <w:spacing w:after="0"/>
        <w:rPr>
          <w:sz w:val="20"/>
          <w:szCs w:val="20"/>
          <w:color w:val="auto"/>
        </w:rPr>
      </w:pPr>
      <w:r>
        <w:rPr>
          <w:rFonts w:ascii="Courier New" w:cs="Courier New" w:eastAsia="Courier New" w:hAnsi="Courier New"/>
          <w:sz w:val="17"/>
          <w:szCs w:val="17"/>
          <w:color w:val="auto"/>
        </w:rPr>
        <w:t>60 State Street</w:t>
      </w:r>
    </w:p>
    <w:p>
      <w:pPr>
        <w:jc w:val="center"/>
        <w:ind w:right="3460"/>
        <w:spacing w:after="0" w:line="237" w:lineRule="auto"/>
        <w:rPr>
          <w:sz w:val="20"/>
          <w:szCs w:val="20"/>
          <w:color w:val="auto"/>
        </w:rPr>
      </w:pPr>
      <w:r>
        <w:rPr>
          <w:rFonts w:ascii="Courier New" w:cs="Courier New" w:eastAsia="Courier New" w:hAnsi="Courier New"/>
          <w:sz w:val="17"/>
          <w:szCs w:val="17"/>
          <w:color w:val="auto"/>
        </w:rPr>
        <w:t>Boston, Massachusetts 02109</w:t>
      </w:r>
    </w:p>
    <w:p>
      <w:pPr>
        <w:jc w:val="center"/>
        <w:ind w:right="3460"/>
        <w:spacing w:after="0" w:line="238" w:lineRule="auto"/>
        <w:rPr>
          <w:sz w:val="20"/>
          <w:szCs w:val="20"/>
          <w:color w:val="auto"/>
        </w:rPr>
      </w:pPr>
      <w:r>
        <w:rPr>
          <w:rFonts w:ascii="Courier New" w:cs="Courier New" w:eastAsia="Courier New" w:hAnsi="Courier New"/>
          <w:sz w:val="17"/>
          <w:szCs w:val="17"/>
          <w:color w:val="auto"/>
        </w:rPr>
        <w:t>Tel: (617) 526-6000</w:t>
      </w:r>
    </w:p>
    <w:p>
      <w:pPr>
        <w:jc w:val="center"/>
        <w:ind w:right="3460"/>
        <w:spacing w:after="0"/>
        <w:rPr>
          <w:sz w:val="20"/>
          <w:szCs w:val="20"/>
          <w:color w:val="auto"/>
        </w:rPr>
      </w:pPr>
      <w:r>
        <w:rPr>
          <w:rFonts w:ascii="Courier New" w:cs="Courier New" w:eastAsia="Courier New" w:hAnsi="Courier New"/>
          <w:sz w:val="17"/>
          <w:szCs w:val="17"/>
          <w:color w:val="auto"/>
        </w:rPr>
        <w:t>Fax: (617) 526-5000</w:t>
      </w:r>
    </w:p>
    <w:p>
      <w:pPr>
        <w:jc w:val="center"/>
        <w:ind w:right="3560"/>
        <w:spacing w:after="0" w:line="237" w:lineRule="auto"/>
        <w:rPr>
          <w:sz w:val="20"/>
          <w:szCs w:val="20"/>
          <w:color w:val="auto"/>
        </w:rPr>
      </w:pPr>
      <w:r>
        <w:rPr>
          <w:rFonts w:ascii="Courier New" w:cs="Courier New" w:eastAsia="Courier New" w:hAnsi="Courier New"/>
          <w:sz w:val="17"/>
          <w:szCs w:val="17"/>
          <w:color w:val="auto"/>
        </w:rPr>
        <w:t>(Name, address, including zip code, and telephone number, including area code,</w:t>
      </w:r>
    </w:p>
    <w:p>
      <w:pPr>
        <w:jc w:val="center"/>
        <w:ind w:right="3660"/>
        <w:spacing w:after="0"/>
        <w:rPr>
          <w:sz w:val="20"/>
          <w:szCs w:val="20"/>
          <w:color w:val="auto"/>
        </w:rPr>
      </w:pPr>
      <w:r>
        <w:rPr>
          <w:rFonts w:ascii="Courier New" w:cs="Courier New" w:eastAsia="Courier New" w:hAnsi="Courier New"/>
          <w:sz w:val="17"/>
          <w:szCs w:val="17"/>
          <w:color w:val="auto"/>
        </w:rPr>
        <w:t>of agent for service)</w:t>
      </w:r>
    </w:p>
    <w:p>
      <w:pPr>
        <w:spacing w:after="0" w:line="189"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right="3760" w:firstLine="497"/>
        <w:spacing w:after="0" w:line="235" w:lineRule="auto"/>
        <w:rPr>
          <w:sz w:val="20"/>
          <w:szCs w:val="20"/>
          <w:color w:val="auto"/>
        </w:rPr>
      </w:pPr>
      <w:r>
        <w:rPr>
          <w:rFonts w:ascii="Courier New" w:cs="Courier New" w:eastAsia="Courier New" w:hAnsi="Courier New"/>
          <w:sz w:val="17"/>
          <w:szCs w:val="17"/>
          <w:color w:val="auto"/>
        </w:rPr>
        <w:t>Approximate date of commencement of proposed sale to public: From time to time after this Registration Statement becomes effective.</w:t>
      </w:r>
    </w:p>
    <w:p>
      <w:pPr>
        <w:spacing w:after="0" w:line="197" w:lineRule="exact"/>
        <w:rPr>
          <w:sz w:val="24"/>
          <w:szCs w:val="24"/>
          <w:color w:val="auto"/>
        </w:rPr>
      </w:pPr>
    </w:p>
    <w:p>
      <w:pPr>
        <w:ind w:right="3660" w:firstLine="497"/>
        <w:spacing w:after="0" w:line="236"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197" w:lineRule="exact"/>
        <w:rPr>
          <w:sz w:val="24"/>
          <w:szCs w:val="24"/>
          <w:color w:val="auto"/>
        </w:rPr>
      </w:pPr>
    </w:p>
    <w:p>
      <w:pPr>
        <w:ind w:right="3560" w:firstLine="497"/>
        <w:spacing w:after="0" w:line="236"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9" w:lineRule="exact"/>
        <w:rPr>
          <w:sz w:val="24"/>
          <w:szCs w:val="24"/>
          <w:color w:val="auto"/>
        </w:rPr>
      </w:pPr>
    </w:p>
    <w:p>
      <w:pPr>
        <w:ind w:right="3560" w:firstLine="497"/>
        <w:spacing w:after="0" w:line="23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333-_______.</w:t>
      </w:r>
    </w:p>
    <w:p>
      <w:pPr>
        <w:spacing w:after="0" w:line="199" w:lineRule="exact"/>
        <w:rPr>
          <w:sz w:val="24"/>
          <w:szCs w:val="24"/>
          <w:color w:val="auto"/>
        </w:rPr>
      </w:pPr>
    </w:p>
    <w:p>
      <w:pPr>
        <w:ind w:right="3560" w:firstLine="895"/>
        <w:spacing w:after="0" w:line="236"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 333-__________.</w:t>
      </w:r>
    </w:p>
    <w:p>
      <w:pPr>
        <w:spacing w:after="0" w:line="199" w:lineRule="exact"/>
        <w:rPr>
          <w:sz w:val="24"/>
          <w:szCs w:val="24"/>
          <w:color w:val="auto"/>
        </w:rPr>
      </w:pPr>
    </w:p>
    <w:p>
      <w:pPr>
        <w:ind w:right="3660" w:firstLine="497"/>
        <w:spacing w:after="0" w:line="235"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379"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67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Proposed</w:t>
      </w:r>
      <w:r>
        <w:rPr>
          <w:rFonts w:ascii="Courier New" w:cs="Courier New" w:eastAsia="Courier New" w:hAnsi="Courier New"/>
          <w:sz w:val="16"/>
          <w:szCs w:val="16"/>
          <w:color w:val="auto"/>
        </w:rPr>
        <w:t>Proposed</w:t>
      </w:r>
    </w:p>
    <w:tbl>
      <w:tblPr>
        <w:tblLayout w:type="fixed"/>
        <w:tblInd w:w="80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Maximum</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Maximum</w:t>
            </w:r>
          </w:p>
        </w:tc>
        <w:tc>
          <w:tcPr>
            <w:tcW w:w="1500" w:type="dxa"/>
            <w:vAlign w:val="bottom"/>
          </w:tcPr>
          <w:p>
            <w:pPr>
              <w:spacing w:after="0"/>
              <w:rPr>
                <w:sz w:val="16"/>
                <w:szCs w:val="16"/>
                <w:color w:val="auto"/>
              </w:rPr>
            </w:pPr>
          </w:p>
        </w:tc>
      </w:tr>
      <w:tr>
        <w:trPr>
          <w:trHeight w:val="191"/>
        </w:trPr>
        <w:tc>
          <w:tcPr>
            <w:tcW w:w="3780" w:type="dxa"/>
            <w:vAlign w:val="bottom"/>
          </w:tcPr>
          <w:p>
            <w:pPr>
              <w:spacing w:after="0"/>
              <w:rPr>
                <w:sz w:val="16"/>
                <w:szCs w:val="16"/>
                <w:color w:val="auto"/>
              </w:rPr>
            </w:pPr>
          </w:p>
        </w:tc>
        <w:tc>
          <w:tcPr>
            <w:tcW w:w="1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Amount</w:t>
            </w:r>
          </w:p>
        </w:tc>
        <w:tc>
          <w:tcPr>
            <w:tcW w:w="17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Offering</w:t>
            </w: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Aggregate</w:t>
            </w:r>
          </w:p>
        </w:tc>
        <w:tc>
          <w:tcPr>
            <w:tcW w:w="1500" w:type="dxa"/>
            <w:vAlign w:val="bottom"/>
          </w:tcPr>
          <w:p>
            <w:pPr>
              <w:jc w:val="center"/>
              <w:ind w:left="317"/>
              <w:spacing w:after="0" w:line="191" w:lineRule="exact"/>
              <w:rPr>
                <w:sz w:val="20"/>
                <w:szCs w:val="20"/>
                <w:color w:val="auto"/>
              </w:rPr>
            </w:pPr>
            <w:r>
              <w:rPr>
                <w:rFonts w:ascii="Courier New" w:cs="Courier New" w:eastAsia="Courier New" w:hAnsi="Courier New"/>
                <w:sz w:val="17"/>
                <w:szCs w:val="17"/>
                <w:color w:val="auto"/>
                <w:w w:val="97"/>
              </w:rPr>
              <w:t>Amount of</w:t>
            </w:r>
          </w:p>
        </w:tc>
      </w:tr>
      <w:tr>
        <w:trPr>
          <w:trHeight w:val="191"/>
        </w:trPr>
        <w:tc>
          <w:tcPr>
            <w:tcW w:w="3780" w:type="dxa"/>
            <w:vAlign w:val="bottom"/>
          </w:tcPr>
          <w:p>
            <w:pPr>
              <w:spacing w:after="0"/>
              <w:rPr>
                <w:sz w:val="16"/>
                <w:szCs w:val="16"/>
                <w:color w:val="auto"/>
              </w:rPr>
            </w:pPr>
          </w:p>
        </w:tc>
        <w:tc>
          <w:tcPr>
            <w:tcW w:w="17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to be</w:t>
            </w:r>
          </w:p>
        </w:tc>
        <w:tc>
          <w:tcPr>
            <w:tcW w:w="17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Price</w:t>
            </w: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Offering</w:t>
            </w:r>
          </w:p>
        </w:tc>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Registration</w:t>
            </w:r>
          </w:p>
        </w:tc>
      </w:tr>
      <w:tr>
        <w:trPr>
          <w:trHeight w:val="0"/>
        </w:trPr>
        <w:tc>
          <w:tcPr>
            <w:tcW w:w="3780" w:type="dxa"/>
            <w:vAlign w:val="bottom"/>
          </w:tcPr>
          <w:p>
            <w:pPr>
              <w:spacing w:after="0"/>
              <w:rPr>
                <w:sz w:val="20"/>
                <w:szCs w:val="20"/>
                <w:color w:val="auto"/>
              </w:rPr>
            </w:pPr>
            <w:r>
              <w:rPr>
                <w:rFonts w:ascii="Courier New" w:cs="Courier New" w:eastAsia="Courier New" w:hAnsi="Courier New"/>
                <w:sz w:val="17"/>
                <w:szCs w:val="17"/>
                <w:color w:val="auto"/>
              </w:rPr>
              <w:t>Title of Shares to be Registered</w:t>
            </w:r>
          </w:p>
        </w:tc>
        <w:tc>
          <w:tcPr>
            <w:tcW w:w="1780" w:type="dxa"/>
            <w:vAlign w:val="bottom"/>
          </w:tcPr>
          <w:p>
            <w:pPr>
              <w:ind w:left="600"/>
              <w:spacing w:after="0"/>
              <w:rPr>
                <w:sz w:val="20"/>
                <w:szCs w:val="20"/>
                <w:color w:val="auto"/>
              </w:rPr>
            </w:pPr>
            <w:r>
              <w:rPr>
                <w:rFonts w:ascii="Courier New" w:cs="Courier New" w:eastAsia="Courier New" w:hAnsi="Courier New"/>
                <w:sz w:val="17"/>
                <w:szCs w:val="17"/>
                <w:color w:val="auto"/>
              </w:rPr>
              <w:t>Registered</w:t>
            </w:r>
          </w:p>
        </w:tc>
        <w:tc>
          <w:tcPr>
            <w:tcW w:w="170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8"/>
              </w:rPr>
              <w:t>Per Share(1)</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Price(1)</w:t>
            </w:r>
          </w:p>
        </w:tc>
        <w:tc>
          <w:tcPr>
            <w:tcW w:w="1500" w:type="dxa"/>
            <w:vAlign w:val="bottom"/>
          </w:tcPr>
          <w:p>
            <w:pPr>
              <w:jc w:val="center"/>
              <w:ind w:left="317"/>
              <w:spacing w:after="0"/>
              <w:rPr>
                <w:sz w:val="20"/>
                <w:szCs w:val="20"/>
                <w:color w:val="auto"/>
              </w:rPr>
            </w:pPr>
            <w:r>
              <w:rPr>
                <w:rFonts w:ascii="Courier New" w:cs="Courier New" w:eastAsia="Courier New" w:hAnsi="Courier New"/>
                <w:sz w:val="17"/>
                <w:szCs w:val="17"/>
                <w:color w:val="auto"/>
                <w:w w:val="97"/>
              </w:rPr>
              <w:t>Fee</w:t>
            </w:r>
          </w:p>
        </w:tc>
      </w:tr>
    </w:tbl>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spacing w:after="0"/>
        <w:tabs>
          <w:tab w:leader="none" w:pos="5360" w:val="left"/>
          <w:tab w:leader="none" w:pos="6740" w:val="left"/>
          <w:tab w:leader="none" w:pos="8140" w:val="left"/>
          <w:tab w:leader="none" w:pos="10120" w:val="left"/>
        </w:tabs>
        <w:rPr>
          <w:sz w:val="20"/>
          <w:szCs w:val="20"/>
          <w:color w:val="auto"/>
        </w:rPr>
      </w:pPr>
      <w:r>
        <w:rPr>
          <w:rFonts w:ascii="Courier New" w:cs="Courier New" w:eastAsia="Courier New" w:hAnsi="Courier New"/>
          <w:sz w:val="17"/>
          <w:szCs w:val="17"/>
          <w:color w:val="auto"/>
        </w:rPr>
        <w:t>Common Stock, $0.16 2/3 par value per share...</w:t>
      </w:r>
      <w:r>
        <w:rPr>
          <w:sz w:val="20"/>
          <w:szCs w:val="20"/>
          <w:color w:val="auto"/>
        </w:rPr>
        <w:tab/>
      </w:r>
      <w:r>
        <w:rPr>
          <w:rFonts w:ascii="Courier New" w:cs="Courier New" w:eastAsia="Courier New" w:hAnsi="Courier New"/>
          <w:sz w:val="17"/>
          <w:szCs w:val="17"/>
          <w:color w:val="auto"/>
        </w:rPr>
        <w:t>63,750</w:t>
      </w:r>
      <w:r>
        <w:rPr>
          <w:sz w:val="20"/>
          <w:szCs w:val="20"/>
          <w:color w:val="auto"/>
        </w:rPr>
        <w:tab/>
      </w:r>
      <w:r>
        <w:rPr>
          <w:rFonts w:ascii="Courier New" w:cs="Courier New" w:eastAsia="Courier New" w:hAnsi="Courier New"/>
          <w:sz w:val="17"/>
          <w:szCs w:val="17"/>
          <w:color w:val="auto"/>
        </w:rPr>
        <w:t>$45.3125</w:t>
      </w:r>
      <w:r>
        <w:rPr>
          <w:sz w:val="20"/>
          <w:szCs w:val="20"/>
          <w:color w:val="auto"/>
        </w:rPr>
        <w:tab/>
      </w:r>
      <w:r>
        <w:rPr>
          <w:rFonts w:ascii="Courier New" w:cs="Courier New" w:eastAsia="Courier New" w:hAnsi="Courier New"/>
          <w:sz w:val="17"/>
          <w:szCs w:val="17"/>
          <w:color w:val="auto"/>
        </w:rPr>
        <w:t>$2,888,671.88</w:t>
      </w:r>
      <w:r>
        <w:rPr>
          <w:sz w:val="20"/>
          <w:szCs w:val="20"/>
          <w:color w:val="auto"/>
        </w:rPr>
        <w:tab/>
      </w:r>
      <w:r>
        <w:rPr>
          <w:rFonts w:ascii="Courier New" w:cs="Courier New" w:eastAsia="Courier New" w:hAnsi="Courier New"/>
          <w:sz w:val="16"/>
          <w:szCs w:val="16"/>
          <w:color w:val="auto"/>
        </w:rPr>
        <w:t>$722.17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237" w:right="139" w:bottom="0" w:gutter="0" w:footer="0" w:header="0"/>
          <w:type w:val="continuous"/>
        </w:sectPr>
      </w:pPr>
    </w:p>
    <w:bookmarkStart w:id="1" w:name="page2"/>
    <w:bookmarkEnd w:id="1"/>
    <w:p>
      <w:pPr>
        <w:ind w:left="900" w:right="2559" w:hanging="898"/>
        <w:spacing w:after="0" w:line="236" w:lineRule="auto"/>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purposes of calculating the registration fee pursuant to Rule 457(c) under the Securities Act and based upon the average of the high and low prices on the New York Stock Exchange on January 9, 2001.</w:t>
      </w:r>
    </w:p>
    <w:p>
      <w:pPr>
        <w:spacing w:after="0" w:line="19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ectPr>
          <w:pgSz w:w="11900" w:h="16838" w:orient="portrait"/>
          <w:cols w:equalWidth="0" w:num="1">
            <w:col w:w="10219"/>
          </w:cols>
          <w:pgMar w:left="240"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SUBJECT TO COMPLETION, DATED JANUARY 12,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ANALOG DEVICES, INC.</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63,750 Shares Of Common Stock</w:t>
      </w:r>
    </w:p>
    <w:p>
      <w:pPr>
        <w:ind w:left="2580"/>
        <w:spacing w:after="0" w:line="238" w:lineRule="auto"/>
        <w:rPr>
          <w:sz w:val="20"/>
          <w:szCs w:val="20"/>
          <w:color w:val="auto"/>
        </w:rPr>
      </w:pPr>
      <w:r>
        <w:rPr>
          <w:rFonts w:ascii="Courier New" w:cs="Courier New" w:eastAsia="Courier New" w:hAnsi="Courier New"/>
          <w:sz w:val="17"/>
          <w:szCs w:val="17"/>
          <w:color w:val="auto"/>
        </w:rPr>
        <w:t>$0.16 2/3 Par Value Per Share</w:t>
      </w:r>
    </w:p>
    <w:p>
      <w:pPr>
        <w:spacing w:after="0" w:line="381"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959" w:firstLine="895"/>
        <w:spacing w:after="0" w:line="256" w:lineRule="auto"/>
        <w:rPr>
          <w:sz w:val="20"/>
          <w:szCs w:val="20"/>
          <w:color w:val="auto"/>
        </w:rPr>
      </w:pPr>
      <w:r>
        <w:rPr>
          <w:rFonts w:ascii="Courier New" w:cs="Courier New" w:eastAsia="Courier New" w:hAnsi="Courier New"/>
          <w:sz w:val="16"/>
          <w:szCs w:val="16"/>
          <w:color w:val="auto"/>
        </w:rPr>
        <w:t>This prospectus relates to resales of shares of our common stock previously issued by us to the former stockholders of Integrated Micro Instruments, Inc. in connection with our acquisition of that company.</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We will not receive any proceeds from the sale of the shares.</w:t>
      </w:r>
    </w:p>
    <w:p>
      <w:pPr>
        <w:spacing w:after="0" w:line="196" w:lineRule="exact"/>
        <w:rPr>
          <w:sz w:val="20"/>
          <w:szCs w:val="20"/>
          <w:color w:val="auto"/>
        </w:rPr>
      </w:pPr>
    </w:p>
    <w:p>
      <w:pPr>
        <w:ind w:right="2559" w:firstLine="895"/>
        <w:spacing w:after="0" w:line="237" w:lineRule="auto"/>
        <w:rPr>
          <w:sz w:val="20"/>
          <w:szCs w:val="20"/>
          <w:color w:val="auto"/>
        </w:rPr>
      </w:pPr>
      <w:r>
        <w:rPr>
          <w:rFonts w:ascii="Courier New" w:cs="Courier New" w:eastAsia="Courier New" w:hAnsi="Courier New"/>
          <w:sz w:val="17"/>
          <w:szCs w:val="17"/>
          <w:color w:val="auto"/>
        </w:rPr>
        <w:t>The selling stockholders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97" w:lineRule="exact"/>
        <w:rPr>
          <w:sz w:val="20"/>
          <w:szCs w:val="20"/>
          <w:color w:val="auto"/>
        </w:rPr>
      </w:pPr>
    </w:p>
    <w:p>
      <w:pPr>
        <w:ind w:right="2659" w:firstLine="895"/>
        <w:spacing w:after="0" w:line="235" w:lineRule="auto"/>
        <w:rPr>
          <w:sz w:val="20"/>
          <w:szCs w:val="20"/>
          <w:color w:val="auto"/>
        </w:rPr>
      </w:pPr>
      <w:r>
        <w:rPr>
          <w:rFonts w:ascii="Courier New" w:cs="Courier New" w:eastAsia="Courier New" w:hAnsi="Courier New"/>
          <w:sz w:val="17"/>
          <w:szCs w:val="17"/>
          <w:color w:val="auto"/>
        </w:rPr>
        <w:t>Our common stock is traded on the New York Stock Exchange under the symbol "ADI."</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INVESTING IN OUR COMMON STOCK INVOLVES A HIGH DEGREE OF RISK. SEE "RISK FACTORS" BEGINNING ON PAGE 3.</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9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The date of this prospectus is January __, 2001.</w:t>
      </w:r>
    </w:p>
    <w:p>
      <w:pPr>
        <w:sectPr>
          <w:pgSz w:w="11900" w:h="16838" w:orient="portrait"/>
          <w:cols w:equalWidth="0" w:num="1">
            <w:col w:w="10219"/>
          </w:cols>
          <w:pgMar w:left="240" w:top="301"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TABLE OF CONTENTS</w:t>
      </w:r>
    </w:p>
    <w:p>
      <w:pPr>
        <w:spacing w:after="0" w:line="190" w:lineRule="exact"/>
        <w:rPr>
          <w:sz w:val="20"/>
          <w:szCs w:val="20"/>
          <w:color w:val="auto"/>
        </w:rPr>
      </w:pPr>
    </w:p>
    <w:p>
      <w:pPr>
        <w:ind w:left="7160"/>
        <w:spacing w:after="0"/>
        <w:rPr>
          <w:sz w:val="20"/>
          <w:szCs w:val="20"/>
          <w:color w:val="auto"/>
        </w:rPr>
      </w:pPr>
      <w:r>
        <w:rPr>
          <w:rFonts w:ascii="Courier New" w:cs="Courier New" w:eastAsia="Courier New" w:hAnsi="Courier New"/>
          <w:sz w:val="17"/>
          <w:szCs w:val="17"/>
          <w:color w:val="auto"/>
        </w:rPr>
        <w:t>PAGE</w:t>
      </w:r>
    </w:p>
    <w:p>
      <w:pPr>
        <w:spacing w:after="0" w:line="190" w:lineRule="exact"/>
        <w:rPr>
          <w:sz w:val="20"/>
          <w:szCs w:val="20"/>
          <w:color w:val="auto"/>
        </w:rPr>
      </w:pPr>
    </w:p>
    <w:p>
      <w:pPr>
        <w:ind w:left="1100"/>
        <w:spacing w:after="0"/>
        <w:tabs>
          <w:tab w:leader="dot" w:pos="7340" w:val="left"/>
        </w:tabs>
        <w:rPr>
          <w:sz w:val="20"/>
          <w:szCs w:val="20"/>
          <w:color w:val="auto"/>
        </w:rPr>
      </w:pPr>
      <w:r>
        <w:rPr>
          <w:rFonts w:ascii="Courier New" w:cs="Courier New" w:eastAsia="Courier New" w:hAnsi="Courier New"/>
          <w:sz w:val="17"/>
          <w:szCs w:val="17"/>
          <w:color w:val="auto"/>
        </w:rPr>
        <w:t>THE COMPANY</w:t>
      </w:r>
      <w:r>
        <w:rPr>
          <w:sz w:val="20"/>
          <w:szCs w:val="20"/>
          <w:color w:val="auto"/>
        </w:rPr>
        <w:tab/>
      </w:r>
      <w:r>
        <w:rPr>
          <w:rFonts w:ascii="Courier New" w:cs="Courier New" w:eastAsia="Courier New" w:hAnsi="Courier New"/>
          <w:sz w:val="16"/>
          <w:szCs w:val="16"/>
          <w:color w:val="auto"/>
        </w:rPr>
        <w:t>3</w:t>
      </w:r>
    </w:p>
    <w:p>
      <w:pPr>
        <w:spacing w:after="0" w:line="190" w:lineRule="exact"/>
        <w:rPr>
          <w:sz w:val="20"/>
          <w:szCs w:val="20"/>
          <w:color w:val="auto"/>
        </w:rPr>
      </w:pPr>
    </w:p>
    <w:p>
      <w:pPr>
        <w:ind w:left="1100"/>
        <w:spacing w:after="0"/>
        <w:tabs>
          <w:tab w:leader="dot" w:pos="734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6"/>
          <w:szCs w:val="16"/>
          <w:color w:val="auto"/>
        </w:rPr>
        <w:t>3</w:t>
      </w:r>
    </w:p>
    <w:p>
      <w:pPr>
        <w:spacing w:after="0" w:line="190" w:lineRule="exact"/>
        <w:rPr>
          <w:sz w:val="20"/>
          <w:szCs w:val="20"/>
          <w:color w:val="auto"/>
        </w:rPr>
      </w:pPr>
    </w:p>
    <w:p>
      <w:pPr>
        <w:ind w:left="1100"/>
        <w:spacing w:after="0"/>
        <w:tabs>
          <w:tab w:leader="none" w:pos="7340" w:val="left"/>
        </w:tabs>
        <w:rPr>
          <w:sz w:val="20"/>
          <w:szCs w:val="20"/>
          <w:color w:val="auto"/>
        </w:rPr>
      </w:pPr>
      <w:r>
        <w:rPr>
          <w:rFonts w:ascii="Courier New" w:cs="Courier New" w:eastAsia="Courier New" w:hAnsi="Courier New"/>
          <w:sz w:val="17"/>
          <w:szCs w:val="17"/>
          <w:color w:val="auto"/>
        </w:rPr>
        <w:t>CAUTIONARY STATEMENT CONCERNING FORWARD-LOOKING INFORMATION..</w:t>
      </w:r>
      <w:r>
        <w:rPr>
          <w:sz w:val="20"/>
          <w:szCs w:val="20"/>
          <w:color w:val="auto"/>
        </w:rPr>
        <w:tab/>
      </w:r>
      <w:r>
        <w:rPr>
          <w:rFonts w:ascii="Courier New" w:cs="Courier New" w:eastAsia="Courier New" w:hAnsi="Courier New"/>
          <w:sz w:val="16"/>
          <w:szCs w:val="16"/>
          <w:color w:val="auto"/>
        </w:rPr>
        <w:t>6</w:t>
      </w:r>
    </w:p>
    <w:p>
      <w:pPr>
        <w:spacing w:after="0" w:line="190" w:lineRule="exact"/>
        <w:rPr>
          <w:sz w:val="20"/>
          <w:szCs w:val="20"/>
          <w:color w:val="auto"/>
        </w:rPr>
      </w:pPr>
    </w:p>
    <w:p>
      <w:pPr>
        <w:ind w:left="1100"/>
        <w:spacing w:after="0"/>
        <w:tabs>
          <w:tab w:leader="dot" w:pos="7340" w:val="left"/>
        </w:tabs>
        <w:rPr>
          <w:sz w:val="20"/>
          <w:szCs w:val="20"/>
          <w:color w:val="auto"/>
        </w:rPr>
      </w:pPr>
      <w:r>
        <w:rPr>
          <w:rFonts w:ascii="Courier New" w:cs="Courier New" w:eastAsia="Courier New" w:hAnsi="Courier New"/>
          <w:sz w:val="17"/>
          <w:szCs w:val="17"/>
          <w:color w:val="auto"/>
        </w:rPr>
        <w:t>SELLING STOCKHOLDERS</w:t>
      </w:r>
      <w:r>
        <w:rPr>
          <w:sz w:val="20"/>
          <w:szCs w:val="20"/>
          <w:color w:val="auto"/>
        </w:rPr>
        <w:tab/>
      </w:r>
      <w:r>
        <w:rPr>
          <w:rFonts w:ascii="Courier New" w:cs="Courier New" w:eastAsia="Courier New" w:hAnsi="Courier New"/>
          <w:sz w:val="16"/>
          <w:szCs w:val="16"/>
          <w:color w:val="auto"/>
        </w:rPr>
        <w:t>7</w:t>
      </w:r>
    </w:p>
    <w:p>
      <w:pPr>
        <w:spacing w:after="0" w:line="190" w:lineRule="exact"/>
        <w:rPr>
          <w:sz w:val="20"/>
          <w:szCs w:val="20"/>
          <w:color w:val="auto"/>
        </w:rPr>
      </w:pPr>
    </w:p>
    <w:p>
      <w:pPr>
        <w:ind w:left="1100"/>
        <w:spacing w:after="0"/>
        <w:tabs>
          <w:tab w:leader="dot" w:pos="734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6"/>
          <w:szCs w:val="16"/>
          <w:color w:val="auto"/>
        </w:rPr>
        <w:t>8</w:t>
      </w:r>
    </w:p>
    <w:p>
      <w:pPr>
        <w:spacing w:after="0" w:line="190" w:lineRule="exact"/>
        <w:rPr>
          <w:sz w:val="20"/>
          <w:szCs w:val="20"/>
          <w:color w:val="auto"/>
        </w:rPr>
      </w:pPr>
    </w:p>
    <w:p>
      <w:pPr>
        <w:ind w:left="1100"/>
        <w:spacing w:after="0"/>
        <w:tabs>
          <w:tab w:leader="dot" w:pos="724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11</w:t>
      </w:r>
    </w:p>
    <w:p>
      <w:pPr>
        <w:spacing w:after="0" w:line="190" w:lineRule="exact"/>
        <w:rPr>
          <w:sz w:val="20"/>
          <w:szCs w:val="20"/>
          <w:color w:val="auto"/>
        </w:rPr>
      </w:pPr>
    </w:p>
    <w:p>
      <w:pPr>
        <w:ind w:left="1100"/>
        <w:spacing w:after="0"/>
        <w:tabs>
          <w:tab w:leader="dot" w:pos="724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12</w:t>
      </w:r>
    </w:p>
    <w:p>
      <w:pPr>
        <w:spacing w:after="0" w:line="190" w:lineRule="exact"/>
        <w:rPr>
          <w:sz w:val="20"/>
          <w:szCs w:val="20"/>
          <w:color w:val="auto"/>
        </w:rPr>
      </w:pPr>
    </w:p>
    <w:p>
      <w:pPr>
        <w:ind w:left="1100"/>
        <w:spacing w:after="0"/>
        <w:tabs>
          <w:tab w:leader="dot" w:pos="724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12</w:t>
      </w:r>
    </w:p>
    <w:p>
      <w:pPr>
        <w:spacing w:after="0" w:line="190" w:lineRule="exact"/>
        <w:rPr>
          <w:sz w:val="20"/>
          <w:szCs w:val="20"/>
          <w:color w:val="auto"/>
        </w:rPr>
      </w:pPr>
    </w:p>
    <w:p>
      <w:pPr>
        <w:ind w:left="1100"/>
        <w:spacing w:after="0"/>
        <w:tabs>
          <w:tab w:leader="dot" w:pos="724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6"/>
          <w:szCs w:val="16"/>
          <w:color w:val="auto"/>
        </w:rPr>
        <w:t>12</w:t>
      </w:r>
    </w:p>
    <w:p>
      <w:pPr>
        <w:spacing w:after="0" w:line="190" w:lineRule="exact"/>
        <w:rPr>
          <w:sz w:val="20"/>
          <w:szCs w:val="20"/>
          <w:color w:val="auto"/>
        </w:rPr>
      </w:pPr>
    </w:p>
    <w:p>
      <w:pPr>
        <w:ind w:left="1100"/>
        <w:spacing w:after="0"/>
        <w:tabs>
          <w:tab w:leader="dot" w:pos="724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6"/>
          <w:szCs w:val="16"/>
          <w:color w:val="auto"/>
        </w:rPr>
        <w:t>12</w:t>
      </w:r>
    </w:p>
    <w:p>
      <w:pPr>
        <w:spacing w:after="0" w:line="3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have not authorized anyone to provide you with information different from that contained or incorporated by reference in this prospectus.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common stock.</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THE COMPANY</w:t>
      </w:r>
    </w:p>
    <w:p>
      <w:pPr>
        <w:spacing w:after="0" w:line="196"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Analog Devices, Inc.'s executive offices are located at One Technology Way, Norwood, Massachusetts 02062-9106, our telephone number is (781) 329-4700 and our Internet address is www.analog.com. The information on our Internet website is not incorporated by reference in this prospectus. Unless the context otherwise requires references in this prospectus to "Analog Devices," "we," "us," and "our" refer to Analog Devices, Inc. and its subsidiaries.</w:t>
      </w:r>
    </w:p>
    <w:p>
      <w:pPr>
        <w:spacing w:after="0" w:line="18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RISK FACTORS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Investing in our common stock involves a high degree of risk. You should carefully consider the risks and uncertainties described below before purchasing our common stock. The risks and uncertainties described below are not the only ones facing our company. Additional risks and uncertainties may also impair our business operations. If any of the following risks actually occur, our business, financial condition or results of operations would likely suffer. In that case, the trading price of our common stock could fall, and you may lose all or part of the money you paid to buy our common stock.</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EXPERIENCE MATERIAL FLUCTUATIONS IN FUTURE OPERATING RESULTS.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207"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OUR FUTURE SUCCESS DEPENDS UPON OUR ABILITY TO DEVELOP AND MARKET NEW PRODUCTS AND ENTER NEW MARKETS.</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205"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WE MAY NOT BE ABLE TO COMPETE SUCCESSFULLY IN THE SEMICONDUCTOR INDUSTRY IN THE FUTURE.</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201"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WE MAY NOT BE ABLE TO SATISFY INCREASING DEMAND FOR OUR PRODUCTS, AND INCREASED PRODUCTION MAY LEAD TO OVERCAPACITY AND LOWER PRICES.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fiscal 1999 and during the current fiscal year. We have increased our manufacturing capacity over the past three years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20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WE RELY ON THIRD-PARTY SUBCONTRACTORS AND MANUFACTURERS FOR SOME INDUSTRY-STANDARD WAFERS AND THEREFORE CANNOT CONTROL THEIR AVAILABILITY OR CONDITIONS OF SUPPLY.</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Also, noncompliance with "take or pay" covenants in supply agreements could adversely impact our operating results.</w:t>
      </w:r>
    </w:p>
    <w:p>
      <w:pPr>
        <w:spacing w:after="0" w:line="199"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OUR REVENUES MAY NOT INCREASE ENOUGH TO OFFSET THE EXPENSE OF ADDITIONAL CAPACITY.</w:t>
      </w:r>
    </w:p>
    <w:p>
      <w:pPr>
        <w:spacing w:after="0" w:line="197"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97"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WE RELY ON MANUFACTURING CAPACITY LOCATED IN GEOLOGICALLY UNSTABLE AREAS, WHICH COULD AFFECT THE AVAILABILITY OF SUPPLIES AND SERVICES.</w:t>
      </w:r>
    </w:p>
    <w:p>
      <w:pPr>
        <w:spacing w:after="0" w:line="197" w:lineRule="exact"/>
        <w:rPr>
          <w:sz w:val="20"/>
          <w:szCs w:val="20"/>
          <w:color w:val="auto"/>
        </w:rPr>
      </w:pPr>
    </w:p>
    <w:p>
      <w:pPr>
        <w:ind w:right="2459" w:firstLine="895"/>
        <w:spacing w:after="0" w:line="254" w:lineRule="auto"/>
        <w:rPr>
          <w:sz w:val="20"/>
          <w:szCs w:val="20"/>
          <w:color w:val="auto"/>
        </w:rPr>
      </w:pPr>
      <w:r>
        <w:rPr>
          <w:rFonts w:ascii="Courier New" w:cs="Courier New" w:eastAsia="Courier New" w:hAnsi="Courier New"/>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8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7"/>
          <w:szCs w:val="17"/>
          <w:color w:val="auto"/>
        </w:rPr>
        <w:t>WE ARE EXPOSED TO ECONOMIC AND POLITICAL RISKS THROUGH OUR SIGNIFICANT INTERNATIONAL OPERATIONS.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 fiscal 2000, 55% of our revenues were derived from customers in international markets. We have manufacturing facilities outside the U.S.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205"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WE ARE INVOLVED IN FREQUENT LITIGATION REGARDING INTELLECTUAL PROPERTY RIGHTS, WHICH COULD BE COSTLY TO UNDERTAKE AND COULD REQUIRE US TO REDESIGN PRODUCTS OR PAY SIGNIFICANT ROYALTIES.</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48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3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enforce patents or other of our intellectual property rights or to defend us against claims of infringement, and this litigation can be costly and divert the attention of key personnel. See Note 11 of the Notes to our Consolidated Financial Statements contained in our Form 10-K for the fiscal year ended October 30, 1999 incorporated by reference in this prospectus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201" w:lineRule="exact"/>
        <w:rPr>
          <w:sz w:val="20"/>
          <w:szCs w:val="20"/>
          <w:color w:val="auto"/>
        </w:rPr>
      </w:pPr>
    </w:p>
    <w:p>
      <w:pPr>
        <w:jc w:val="both"/>
        <w:ind w:right="2459"/>
        <w:spacing w:after="0" w:line="235" w:lineRule="auto"/>
        <w:rPr>
          <w:sz w:val="20"/>
          <w:szCs w:val="20"/>
          <w:color w:val="auto"/>
        </w:rPr>
      </w:pPr>
      <w:r>
        <w:rPr>
          <w:rFonts w:ascii="Courier New" w:cs="Courier New" w:eastAsia="Courier New" w:hAnsi="Courier New"/>
          <w:sz w:val="17"/>
          <w:szCs w:val="17"/>
          <w:color w:val="auto"/>
        </w:rPr>
        <w:t>THE PRICE OF OUR COMMON STOCK MAY FLUCTUATE SIGNIFICANTLY, WHICH MAY RESULT IN LOSSES FOR INVESTORS.</w:t>
      </w:r>
    </w:p>
    <w:p>
      <w:pPr>
        <w:spacing w:after="0" w:line="197" w:lineRule="exact"/>
        <w:rPr>
          <w:sz w:val="20"/>
          <w:szCs w:val="20"/>
          <w:color w:val="auto"/>
        </w:rPr>
      </w:pPr>
    </w:p>
    <w:p>
      <w:pPr>
        <w:jc w:val="both"/>
        <w:ind w:right="2459" w:firstLine="895"/>
        <w:spacing w:after="0" w:line="237" w:lineRule="auto"/>
        <w:rPr>
          <w:sz w:val="20"/>
          <w:szCs w:val="20"/>
          <w:color w:val="auto"/>
        </w:rPr>
      </w:pPr>
      <w:r>
        <w:rPr>
          <w:rFonts w:ascii="Courier New" w:cs="Courier New" w:eastAsia="Courier New" w:hAnsi="Courier New"/>
          <w:sz w:val="17"/>
          <w:szCs w:val="17"/>
          <w:color w:val="auto"/>
        </w:rPr>
        <w:t>The market price for our common stock has been and may continue to be volatile. For example, during the 52-week period ended December 29, 2000, the closing prices of our common stock as reported on the New York Stock Exchange ranged from a high of $103 to a low of $41.31. We expect our stock price to be subject to fluctuations as a result of a variety of factors, including factors beyond our control. These factors include:</w:t>
      </w:r>
    </w:p>
    <w:p>
      <w:pPr>
        <w:spacing w:after="0" w:line="198" w:lineRule="exact"/>
        <w:rPr>
          <w:sz w:val="20"/>
          <w:szCs w:val="20"/>
          <w:color w:val="auto"/>
        </w:rPr>
      </w:pPr>
    </w:p>
    <w:p>
      <w:pPr>
        <w:ind w:left="1200" w:hanging="303"/>
        <w:spacing w:after="0"/>
        <w:tabs>
          <w:tab w:leader="none" w:pos="1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or anticipated variations in our quarterly operating results;</w:t>
      </w:r>
    </w:p>
    <w:p>
      <w:pPr>
        <w:spacing w:after="0" w:line="201" w:lineRule="exact"/>
        <w:rPr>
          <w:rFonts w:ascii="Courier New" w:cs="Courier New" w:eastAsia="Courier New" w:hAnsi="Courier New"/>
          <w:sz w:val="16"/>
          <w:szCs w:val="16"/>
          <w:color w:val="auto"/>
        </w:rPr>
      </w:pPr>
    </w:p>
    <w:p>
      <w:pPr>
        <w:ind w:left="1200" w:right="2959" w:hanging="303"/>
        <w:spacing w:after="0" w:line="235"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announcements of technological innovations or new products or services by us or our competitors;</w:t>
      </w:r>
    </w:p>
    <w:p>
      <w:pPr>
        <w:spacing w:after="0" w:line="190"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announcements relating to strategic relationships or acquisitions;</w:t>
      </w:r>
    </w:p>
    <w:p>
      <w:pPr>
        <w:spacing w:after="0" w:line="196" w:lineRule="exact"/>
        <w:rPr>
          <w:rFonts w:ascii="Courier New" w:cs="Courier New" w:eastAsia="Courier New" w:hAnsi="Courier New"/>
          <w:sz w:val="17"/>
          <w:szCs w:val="17"/>
          <w:color w:val="auto"/>
        </w:rPr>
      </w:pPr>
    </w:p>
    <w:p>
      <w:pPr>
        <w:ind w:left="1200" w:right="2659" w:hanging="303"/>
        <w:spacing w:after="0" w:line="235"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financial estimates or other statements by securities analysts;</w:t>
      </w:r>
    </w:p>
    <w:p>
      <w:pPr>
        <w:spacing w:after="0" w:line="190"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general economic conditions;</w:t>
      </w:r>
    </w:p>
    <w:p>
      <w:pPr>
        <w:spacing w:after="0" w:line="189" w:lineRule="exact"/>
        <w:rPr>
          <w:rFonts w:ascii="Courier New" w:cs="Courier New" w:eastAsia="Courier New" w:hAnsi="Courier New"/>
          <w:sz w:val="17"/>
          <w:szCs w:val="17"/>
          <w:color w:val="auto"/>
        </w:rPr>
      </w:pPr>
    </w:p>
    <w:p>
      <w:pPr>
        <w:ind w:left="1200" w:hanging="303"/>
        <w:spacing w:after="0"/>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or trends affecting the semiconductor industry; and</w:t>
      </w:r>
    </w:p>
    <w:p>
      <w:pPr>
        <w:spacing w:after="0" w:line="196" w:lineRule="exact"/>
        <w:rPr>
          <w:rFonts w:ascii="Courier New" w:cs="Courier New" w:eastAsia="Courier New" w:hAnsi="Courier New"/>
          <w:sz w:val="17"/>
          <w:szCs w:val="17"/>
          <w:color w:val="auto"/>
        </w:rPr>
      </w:pPr>
    </w:p>
    <w:p>
      <w:pPr>
        <w:ind w:left="1200" w:right="2759" w:hanging="303"/>
        <w:spacing w:after="0" w:line="235"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economic performance and/or market valuations of other semiconductor and high-technology companies.</w:t>
      </w:r>
    </w:p>
    <w:p>
      <w:pPr>
        <w:spacing w:after="0" w:line="197"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Because of this volatility, we may fail to meet the expectations of our stockholders or of securities analysts at some time in the future, and our stock price could decline as a result.</w:t>
      </w:r>
    </w:p>
    <w:p>
      <w:pPr>
        <w:spacing w:after="0" w:line="197" w:lineRule="exact"/>
        <w:rPr>
          <w:sz w:val="20"/>
          <w:szCs w:val="20"/>
          <w:color w:val="auto"/>
        </w:rPr>
      </w:pPr>
    </w:p>
    <w:p>
      <w:pPr>
        <w:ind w:right="2259" w:firstLine="895"/>
        <w:spacing w:after="0" w:line="254" w:lineRule="auto"/>
        <w:rPr>
          <w:sz w:val="20"/>
          <w:szCs w:val="20"/>
          <w:color w:val="auto"/>
        </w:rPr>
      </w:pPr>
      <w:r>
        <w:rPr>
          <w:rFonts w:ascii="Courier New" w:cs="Courier New" w:eastAsia="Courier New" w:hAnsi="Courier New"/>
          <w:sz w:val="16"/>
          <w:szCs w:val="16"/>
          <w:color w:val="auto"/>
        </w:rPr>
        <w:t>In addition, the stock market has experienced significant price and volume fluctuations that have particularly affected the trading prices of equity securities of many high technology companies. These fluctuations have often been unrelated or disproportionate to changes in the operating performance of these companies. Any negative change in the public's perception of semiconductor companies could depress our stock price regardless of our operating results.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LEVERAGE AND DEBT SERVICE OBLIGATIONS MAY ADVERSELY AFFECT OUR CASH FLOW.</w:t>
      </w:r>
    </w:p>
    <w:p>
      <w:pPr>
        <w:spacing w:after="0" w:line="196" w:lineRule="exact"/>
        <w:rPr>
          <w:sz w:val="20"/>
          <w:szCs w:val="20"/>
          <w:color w:val="auto"/>
        </w:rPr>
      </w:pPr>
    </w:p>
    <w:p>
      <w:pPr>
        <w:ind w:right="2559" w:firstLine="895"/>
        <w:spacing w:after="0" w:line="259" w:lineRule="auto"/>
        <w:rPr>
          <w:sz w:val="20"/>
          <w:szCs w:val="20"/>
          <w:color w:val="auto"/>
        </w:rPr>
      </w:pPr>
      <w:r>
        <w:rPr>
          <w:rFonts w:ascii="Courier New" w:cs="Courier New" w:eastAsia="Courier New" w:hAnsi="Courier New"/>
          <w:sz w:val="16"/>
          <w:szCs w:val="16"/>
          <w:color w:val="auto"/>
        </w:rPr>
        <w:t>We have a substantial amount of outstanding indebtedness. Our substantial leverage could have significant negative consequences, including:</w:t>
      </w:r>
    </w:p>
    <w:p>
      <w:pPr>
        <w:spacing w:after="0" w:line="183" w:lineRule="exact"/>
        <w:rPr>
          <w:sz w:val="20"/>
          <w:szCs w:val="20"/>
          <w:color w:val="auto"/>
        </w:rPr>
      </w:pPr>
    </w:p>
    <w:p>
      <w:pPr>
        <w:ind w:left="1200" w:right="3059" w:hanging="303"/>
        <w:spacing w:after="0" w:line="235" w:lineRule="auto"/>
        <w:tabs>
          <w:tab w:leader="none" w:pos="1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increasing our vulnerability to general adverse economic and industry conditions;</w:t>
      </w:r>
    </w:p>
    <w:p>
      <w:pPr>
        <w:spacing w:after="0" w:line="196" w:lineRule="exact"/>
        <w:rPr>
          <w:rFonts w:ascii="Courier New" w:cs="Courier New" w:eastAsia="Courier New" w:hAnsi="Courier New"/>
          <w:sz w:val="17"/>
          <w:szCs w:val="17"/>
          <w:color w:val="auto"/>
        </w:rPr>
      </w:pPr>
    </w:p>
    <w:p>
      <w:pPr>
        <w:ind w:left="1200" w:right="2559" w:hanging="303"/>
        <w:spacing w:after="0" w:line="236" w:lineRule="auto"/>
        <w:tabs>
          <w:tab w:leader="none" w:pos="1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requiring the dedication of a substantial portion of our expected cash flow from operations to service our indebtedness, thereby reducing the amount of our expected cash flow available for other purposes, including capital expenditures; and</w:t>
      </w:r>
    </w:p>
    <w:p>
      <w:pPr>
        <w:spacing w:after="0" w:line="198" w:lineRule="exact"/>
        <w:rPr>
          <w:rFonts w:ascii="Courier New" w:cs="Courier New" w:eastAsia="Courier New" w:hAnsi="Courier New"/>
          <w:sz w:val="17"/>
          <w:szCs w:val="17"/>
          <w:color w:val="auto"/>
        </w:rPr>
      </w:pPr>
    </w:p>
    <w:p>
      <w:pPr>
        <w:ind w:left="1200" w:right="2559" w:hanging="303"/>
        <w:spacing w:after="0" w:line="235" w:lineRule="auto"/>
        <w:tabs>
          <w:tab w:leader="none" w:pos="1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limiting our flexibility in planning for, or reacting to, changes in our business and the industry in which we compete.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CAUTIONARY STATEMENT CONCERNING FORWARD-LOOKING INFORMATION</w:t>
      </w:r>
    </w:p>
    <w:p>
      <w:pPr>
        <w:spacing w:after="0" w:line="38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Some statements in this prospectus and in the documents incorporated by reference may constitute "forward-looking statements" within the meaning of the Private Securities Litigation Reform Act of 1995. These statements are subject to risks and uncertainties and are based on beliefs and assumptions of Analog, based on information currently available to the company's management. For this purpose, any statements contained herein or incorporated herein that are not statements of historical fact may be deemed to be forward-looking statements. Without limiting the foregoing, the words "believes", "plans", "expects" and similar expressions are intended to identify forward-looking statements. Actual results may vary materially from those we express in forward-looking statements. Factors which could cause actual results to differ from expectations include those set forth under "Risk Factors".</w:t>
      </w:r>
    </w:p>
    <w:p>
      <w:pPr>
        <w:spacing w:after="0" w:line="38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right="2259" w:firstLine="895"/>
        <w:spacing w:after="0" w:line="235" w:lineRule="auto"/>
        <w:rPr>
          <w:sz w:val="20"/>
          <w:szCs w:val="20"/>
          <w:color w:val="auto"/>
        </w:rPr>
      </w:pPr>
      <w:r>
        <w:rPr>
          <w:rFonts w:ascii="Courier New" w:cs="Courier New" w:eastAsia="Courier New" w:hAnsi="Courier New"/>
          <w:sz w:val="17"/>
          <w:szCs w:val="17"/>
          <w:color w:val="auto"/>
        </w:rPr>
        <w:t>We will not receive any proceeds from the sale of shares by the selling stockholders.</w:t>
      </w:r>
    </w:p>
    <w:p>
      <w:pPr>
        <w:spacing w:after="0" w:line="197"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exchange listing fees and fees and expenses of our counsel and our accountants.</w:t>
      </w:r>
    </w:p>
    <w:p>
      <w:pPr>
        <w:spacing w:after="0" w:line="181"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SELLING STOCKHOLDERS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issued the shares of common stock covered by this prospectus in private placements in connection with our acquisition of Integrated Micro Instruments, Inc. in December 2000. The following table sets forth, to our knowledge, certain information about the selling stockholders as of November 30, 2000. We do not know when or in what amounts a selling stockholder may offer shares for sale. The selling stockholders may decide not to sell any or all of the shares offered by this prospectus. Because the selling stockholders may offer all or some of the shares pursuant to this offering,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w:t>
      </w:r>
    </w:p>
    <w:p>
      <w:pPr>
        <w:spacing w:after="0" w:line="20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Beneficial ownership is determined in accordance with the rules of the SEC, and includes voting or investment power with respect to shares. Shares of common stock issuable under stock options that are exercisable within 60 days after November 30, 2000 are deemed outstanding for computing the percentage ownership of the person holding the options but are not deemed outstanding for computing the percentage ownership of any other person. Unless otherwise indicated below, to our knowledge, all persons named in the table have sole voting and investment power with respect to their shares of common stock,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4180" w:type="dxa"/>
            <w:vAlign w:val="bottom"/>
            <w:gridSpan w:val="2"/>
          </w:tcPr>
          <w:p>
            <w:pPr>
              <w:jc w:val="center"/>
              <w:ind w:left="17"/>
              <w:spacing w:after="0"/>
              <w:rPr>
                <w:sz w:val="20"/>
                <w:szCs w:val="20"/>
                <w:color w:val="auto"/>
              </w:rPr>
            </w:pPr>
            <w:r>
              <w:rPr>
                <w:rFonts w:ascii="Courier New" w:cs="Courier New" w:eastAsia="Courier New" w:hAnsi="Courier New"/>
                <w:sz w:val="17"/>
                <w:szCs w:val="17"/>
                <w:color w:val="auto"/>
                <w:w w:val="97"/>
              </w:rPr>
              <w:t>Shares of Common Stock Beneficially</w:t>
            </w:r>
          </w:p>
        </w:tc>
        <w:tc>
          <w:tcPr>
            <w:tcW w:w="238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418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Owned Prior to Offering</w:t>
            </w:r>
          </w:p>
        </w:tc>
        <w:tc>
          <w:tcPr>
            <w:tcW w:w="2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Number of Shares of</w:t>
            </w:r>
          </w:p>
        </w:tc>
      </w:tr>
      <w:tr>
        <w:trPr>
          <w:trHeight w:val="191"/>
        </w:trPr>
        <w:tc>
          <w:tcPr>
            <w:tcW w:w="3280" w:type="dxa"/>
            <w:vAlign w:val="bottom"/>
          </w:tcPr>
          <w:p>
            <w:pPr>
              <w:spacing w:after="0"/>
              <w:rPr>
                <w:sz w:val="16"/>
                <w:szCs w:val="16"/>
                <w:color w:val="auto"/>
              </w:rPr>
            </w:pPr>
          </w:p>
        </w:tc>
        <w:tc>
          <w:tcPr>
            <w:tcW w:w="418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w:t>
            </w:r>
          </w:p>
        </w:tc>
        <w:tc>
          <w:tcPr>
            <w:tcW w:w="23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Common Stock Being</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of Selling Stockholder</w:t>
            </w:r>
          </w:p>
        </w:tc>
        <w:tc>
          <w:tcPr>
            <w:tcW w:w="240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Number</w:t>
            </w:r>
          </w:p>
        </w:tc>
        <w:tc>
          <w:tcPr>
            <w:tcW w:w="17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w w:val="94"/>
              </w:rPr>
              <w:t>Percentage</w:t>
            </w:r>
          </w:p>
        </w:tc>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Offered</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40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William Clark(1)</w:t>
            </w:r>
          </w:p>
        </w:tc>
        <w:tc>
          <w:tcPr>
            <w:tcW w:w="2400" w:type="dxa"/>
            <w:vAlign w:val="bottom"/>
          </w:tcPr>
          <w:p>
            <w:pPr>
              <w:jc w:val="right"/>
              <w:ind w:right="1017"/>
              <w:spacing w:after="0"/>
              <w:rPr>
                <w:sz w:val="20"/>
                <w:szCs w:val="20"/>
                <w:color w:val="auto"/>
              </w:rPr>
            </w:pPr>
            <w:r>
              <w:rPr>
                <w:rFonts w:ascii="Courier New" w:cs="Courier New" w:eastAsia="Courier New" w:hAnsi="Courier New"/>
                <w:sz w:val="17"/>
                <w:szCs w:val="17"/>
                <w:color w:val="auto"/>
              </w:rPr>
              <w:t>15,625</w:t>
            </w:r>
          </w:p>
        </w:tc>
        <w:tc>
          <w:tcPr>
            <w:tcW w:w="1780" w:type="dxa"/>
            <w:vAlign w:val="bottom"/>
          </w:tcPr>
          <w:p>
            <w:pPr>
              <w:jc w:val="right"/>
              <w:ind w:right="1117"/>
              <w:spacing w:after="0"/>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897"/>
              <w:spacing w:after="0"/>
              <w:rPr>
                <w:sz w:val="20"/>
                <w:szCs w:val="20"/>
                <w:color w:val="auto"/>
              </w:rPr>
            </w:pPr>
            <w:r>
              <w:rPr>
                <w:rFonts w:ascii="Courier New" w:cs="Courier New" w:eastAsia="Courier New" w:hAnsi="Courier New"/>
                <w:sz w:val="17"/>
                <w:szCs w:val="17"/>
                <w:color w:val="auto"/>
              </w:rPr>
              <w:t>15,625</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Thor Juneau(1)</w:t>
            </w:r>
          </w:p>
        </w:tc>
        <w:tc>
          <w:tcPr>
            <w:tcW w:w="24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15,625</w:t>
            </w:r>
          </w:p>
        </w:tc>
        <w:tc>
          <w:tcPr>
            <w:tcW w:w="178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15,625</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Mark Lemkin(1)</w:t>
            </w:r>
          </w:p>
        </w:tc>
        <w:tc>
          <w:tcPr>
            <w:tcW w:w="24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15,625</w:t>
            </w:r>
          </w:p>
        </w:tc>
        <w:tc>
          <w:tcPr>
            <w:tcW w:w="178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15,625</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Trey Roessig(1)</w:t>
            </w:r>
          </w:p>
        </w:tc>
        <w:tc>
          <w:tcPr>
            <w:tcW w:w="24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15,625</w:t>
            </w:r>
          </w:p>
        </w:tc>
        <w:tc>
          <w:tcPr>
            <w:tcW w:w="178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15,625</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Jason Jones(2)</w:t>
            </w:r>
          </w:p>
        </w:tc>
        <w:tc>
          <w:tcPr>
            <w:tcW w:w="240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1,250</w:t>
            </w:r>
          </w:p>
        </w:tc>
        <w:tc>
          <w:tcPr>
            <w:tcW w:w="178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1,250</w:t>
            </w:r>
          </w:p>
        </w:tc>
      </w:tr>
    </w:tbl>
    <w:p>
      <w:pPr>
        <w:spacing w:after="0" w:line="381" w:lineRule="exact"/>
        <w:rPr>
          <w:sz w:val="20"/>
          <w:szCs w:val="20"/>
          <w:color w:val="auto"/>
        </w:rPr>
      </w:pPr>
    </w:p>
    <w:p>
      <w:pPr>
        <w:ind w:left="200" w:hanging="198"/>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one percent.</w:t>
      </w:r>
    </w:p>
    <w:p>
      <w:pPr>
        <w:spacing w:after="0" w:line="196" w:lineRule="exact"/>
        <w:rPr>
          <w:sz w:val="20"/>
          <w:szCs w:val="20"/>
          <w:color w:val="auto"/>
        </w:rPr>
      </w:pPr>
    </w:p>
    <w:p>
      <w:pPr>
        <w:ind w:left="600" w:right="2559" w:hanging="598"/>
        <w:spacing w:after="0" w:line="255" w:lineRule="auto"/>
        <w:tabs>
          <w:tab w:leader="none" w:pos="6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12,255 shares that are subject to an irrevocable waiver by the selling stockholder of his right to receive such shares in the event that Integrated Micro Instruments, Inc. were to suffer a reduction in value owing to a failure to satisfy certain employment conditions.</w:t>
      </w:r>
    </w:p>
    <w:p>
      <w:pPr>
        <w:spacing w:after="0" w:line="185" w:lineRule="exact"/>
        <w:rPr>
          <w:rFonts w:ascii="Courier New" w:cs="Courier New" w:eastAsia="Courier New" w:hAnsi="Courier New"/>
          <w:sz w:val="16"/>
          <w:szCs w:val="16"/>
          <w:color w:val="auto"/>
        </w:rPr>
      </w:pPr>
    </w:p>
    <w:p>
      <w:pPr>
        <w:ind w:left="600" w:right="2759" w:hanging="598"/>
        <w:spacing w:after="0" w:line="255" w:lineRule="auto"/>
        <w:tabs>
          <w:tab w:leader="none" w:pos="6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980 shares that are subject to an irrevocable waiver by the selling stockholder of his right to receive such shares in the event that Integrated Micro Instruments, Inc. were to suffer a reduction in value owing to a failure to satisfy certain employment conditions.</w:t>
      </w:r>
    </w:p>
    <w:p>
      <w:pPr>
        <w:spacing w:after="0" w:line="186" w:lineRule="exact"/>
        <w:rPr>
          <w:sz w:val="20"/>
          <w:szCs w:val="20"/>
          <w:color w:val="auto"/>
        </w:rPr>
      </w:pPr>
    </w:p>
    <w:p>
      <w:pPr>
        <w:jc w:val="both"/>
        <w:ind w:right="2259" w:firstLine="895"/>
        <w:spacing w:after="0" w:line="236" w:lineRule="auto"/>
        <w:rPr>
          <w:sz w:val="20"/>
          <w:szCs w:val="20"/>
          <w:color w:val="auto"/>
        </w:rPr>
      </w:pPr>
      <w:r>
        <w:rPr>
          <w:rFonts w:ascii="Courier New" w:cs="Courier New" w:eastAsia="Courier New" w:hAnsi="Courier New"/>
          <w:sz w:val="17"/>
          <w:szCs w:val="17"/>
          <w:color w:val="auto"/>
        </w:rPr>
        <w:t>None of the selling stockholders has held any position or office with, or has otherwise had a material relationship with, us or any of our subsidiaries within the past three years, except that the selling stockholders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671"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7"/>
          <w:szCs w:val="17"/>
          <w:color w:val="auto"/>
        </w:rPr>
        <w:t>indicated have been employed by their respective companies prior to the acquisition by us of those companies, and such persons are expected to be employed by us following the closing of the respective acquisitions.</w:t>
      </w:r>
    </w:p>
    <w:p>
      <w:pPr>
        <w:spacing w:after="0" w:line="382"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DESCRIPTION OF CAPITAL STOCK</w:t>
      </w:r>
    </w:p>
    <w:p>
      <w:pPr>
        <w:spacing w:after="0" w:line="196"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We are authorized to issue up to 600,000,000 shares of common stock, par value $0.16 2/3 per share, and 471,934 shares of preferred stock, par value $1.00 per share.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196" w:lineRule="exact"/>
        <w:rPr>
          <w:sz w:val="20"/>
          <w:szCs w:val="20"/>
          <w:color w:val="auto"/>
        </w:rPr>
      </w:pPr>
    </w:p>
    <w:p>
      <w:pPr>
        <w:ind w:right="2359" w:firstLine="895"/>
        <w:spacing w:after="0" w:line="259" w:lineRule="auto"/>
        <w:rPr>
          <w:sz w:val="20"/>
          <w:szCs w:val="20"/>
          <w:color w:val="auto"/>
        </w:rPr>
      </w:pPr>
      <w:r>
        <w:rPr>
          <w:rFonts w:ascii="Courier New" w:cs="Courier New" w:eastAsia="Courier New" w:hAnsi="Courier New"/>
          <w:sz w:val="16"/>
          <w:szCs w:val="16"/>
          <w:color w:val="auto"/>
        </w:rPr>
        <w:t>As of December 13, 2000, there were 358,411,156 shares of our common stock outstanding that were held of record by approximately 4,358 stockholders.</w:t>
      </w:r>
    </w:p>
    <w:p>
      <w:pPr>
        <w:spacing w:after="0" w:line="18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The directors are elected to serve in staggered three-year terms.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Devices. We have no present plans to issue any shares of preferred stock.</w:t>
      </w:r>
    </w:p>
    <w:p>
      <w:pPr>
        <w:spacing w:after="0" w:line="193" w:lineRule="exact"/>
        <w:rPr>
          <w:sz w:val="20"/>
          <w:szCs w:val="20"/>
          <w:color w:val="auto"/>
        </w:rPr>
      </w:pPr>
    </w:p>
    <w:p>
      <w:pPr>
        <w:ind w:right="3459"/>
        <w:spacing w:after="0" w:line="235" w:lineRule="auto"/>
        <w:rPr>
          <w:sz w:val="20"/>
          <w:szCs w:val="20"/>
          <w:color w:val="auto"/>
        </w:rPr>
      </w:pPr>
      <w:r>
        <w:rPr>
          <w:rFonts w:ascii="Courier New" w:cs="Courier New" w:eastAsia="Courier New" w:hAnsi="Courier New"/>
          <w:sz w:val="17"/>
          <w:szCs w:val="17"/>
          <w:color w:val="auto"/>
        </w:rPr>
        <w:t>MASSACHUSETTS LAW AND CERTAIN PROVISIONS OF OUR RESTATED ARTICLES OF ORGANIZATION AND BY-LAWS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198" w:lineRule="exact"/>
        <w:rPr>
          <w:sz w:val="20"/>
          <w:szCs w:val="20"/>
          <w:color w:val="auto"/>
        </w:rPr>
      </w:pPr>
    </w:p>
    <w:p>
      <w:pPr>
        <w:ind w:left="1300" w:right="2659" w:hanging="403"/>
        <w:spacing w:after="0" w:line="235" w:lineRule="auto"/>
        <w:tabs>
          <w:tab w:leader="none" w:pos="13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interested stockholder obtains the approval of the Board of Directors prior to becoming an interested stockholder,</w:t>
      </w:r>
    </w:p>
    <w:p>
      <w:pPr>
        <w:spacing w:after="0" w:line="196" w:lineRule="exact"/>
        <w:rPr>
          <w:rFonts w:ascii="Courier New" w:cs="Courier New" w:eastAsia="Courier New" w:hAnsi="Courier New"/>
          <w:sz w:val="17"/>
          <w:szCs w:val="17"/>
          <w:color w:val="auto"/>
        </w:rPr>
      </w:pPr>
    </w:p>
    <w:p>
      <w:pPr>
        <w:ind w:left="1300" w:right="2359" w:hanging="403"/>
        <w:spacing w:after="0" w:line="236" w:lineRule="auto"/>
        <w:tabs>
          <w:tab w:leader="none" w:pos="13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interested stockholder acquires 90% of the outstanding voting stock of the corporation (excluding shares held by some affiliates of the corporation) at the time it becomes an interested stockholder, or</w:t>
      </w:r>
    </w:p>
    <w:p>
      <w:pPr>
        <w:spacing w:after="0" w:line="198" w:lineRule="exact"/>
        <w:rPr>
          <w:rFonts w:ascii="Courier New" w:cs="Courier New" w:eastAsia="Courier New" w:hAnsi="Courier New"/>
          <w:sz w:val="17"/>
          <w:szCs w:val="17"/>
          <w:color w:val="auto"/>
        </w:rPr>
      </w:pPr>
    </w:p>
    <w:p>
      <w:pPr>
        <w:ind w:left="1300" w:right="2459" w:hanging="403"/>
        <w:spacing w:after="0" w:line="236" w:lineRule="auto"/>
        <w:tabs>
          <w:tab w:leader="none" w:pos="13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combination is approved by both the Board of Directors and the holders of two-thirds of the outstanding voting stock of the corporation (excluding shares held by the interested stockholder).</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199"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Our Restated Articles of Organization provide that we shall indemnify our directors and officers to the fullest extent authorized by Massachusetts law, as it now exists or may in the future be amended, against all liabilities and expenses incurred in connection with service for us or on our behalf. In addition, the Restated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RIGHTS PLAN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 March 1998, the Board of Directors adopted a Stockholder Rights Plan that replaced a plan adopted by the Board in 1988. Pursuant to the Stockholder Rights Plan, each share of common stock has an associated right. Under certain circumstances, each right would entitle the registered holder to purchase from us one one-thousandth share of Series A Junior Participating Preferred Stock at a purchase price of $90 in cash, subject to adjustment.</w:t>
      </w:r>
    </w:p>
    <w:p>
      <w:pPr>
        <w:spacing w:after="0" w:line="198" w:lineRule="exact"/>
        <w:rPr>
          <w:sz w:val="20"/>
          <w:szCs w:val="20"/>
          <w:color w:val="auto"/>
        </w:rPr>
      </w:pPr>
    </w:p>
    <w:p>
      <w:pPr>
        <w:jc w:val="both"/>
        <w:ind w:right="2659" w:firstLine="895"/>
        <w:spacing w:after="0" w:line="236" w:lineRule="auto"/>
        <w:rPr>
          <w:sz w:val="20"/>
          <w:szCs w:val="20"/>
          <w:color w:val="auto"/>
        </w:rPr>
      </w:pPr>
      <w:r>
        <w:rPr>
          <w:rFonts w:ascii="Courier New" w:cs="Courier New" w:eastAsia="Courier New" w:hAnsi="Courier New"/>
          <w:sz w:val="17"/>
          <w:szCs w:val="17"/>
          <w:color w:val="auto"/>
        </w:rPr>
        <w:t>The rights are not exercisable and cannot be transferred separately from the common stock until ten business days (or such later date as may be determined by the Board of Directors) after</w:t>
      </w:r>
    </w:p>
    <w:p>
      <w:pPr>
        <w:spacing w:after="0" w:line="197" w:lineRule="exact"/>
        <w:rPr>
          <w:sz w:val="20"/>
          <w:szCs w:val="20"/>
          <w:color w:val="auto"/>
        </w:rPr>
      </w:pPr>
    </w:p>
    <w:p>
      <w:pPr>
        <w:jc w:val="both"/>
        <w:ind w:left="1300" w:right="2659" w:hanging="403"/>
        <w:spacing w:after="0" w:line="256" w:lineRule="auto"/>
        <w:tabs>
          <w:tab w:leader="none" w:pos="1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that a person or group of affiliated or associated persons has acquired (or obtained rights to acquire) beneficial ownership of 15% or more of our common stock or</w:t>
      </w:r>
    </w:p>
    <w:p>
      <w:pPr>
        <w:spacing w:after="0" w:line="185" w:lineRule="exact"/>
        <w:rPr>
          <w:rFonts w:ascii="Courier New" w:cs="Courier New" w:eastAsia="Courier New" w:hAnsi="Courier New"/>
          <w:sz w:val="16"/>
          <w:szCs w:val="16"/>
          <w:color w:val="auto"/>
        </w:rPr>
      </w:pPr>
    </w:p>
    <w:p>
      <w:pPr>
        <w:ind w:left="1300" w:right="2659" w:hanging="403"/>
        <w:spacing w:after="0" w:line="253" w:lineRule="auto"/>
        <w:tabs>
          <w:tab w:leader="none" w:pos="13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of a tender offer or exchange offer that would result in a person or group beneficially owning 20% or more</w:t>
      </w:r>
    </w:p>
    <w:p>
      <w:pPr>
        <w:ind w:left="13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outstanding common stock.</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If and when the rights become exercisable, each holder of a right shall have the right to receive, upon exercise, that number of common stock (or in certain circumstances, cash, property or other of our securities) that equals the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199" w:lineRule="exact"/>
        <w:rPr>
          <w:sz w:val="20"/>
          <w:szCs w:val="20"/>
          <w:color w:val="auto"/>
        </w:rPr>
      </w:pPr>
    </w:p>
    <w:p>
      <w:pPr>
        <w:ind w:left="1300" w:right="2359" w:hanging="403"/>
        <w:spacing w:after="0" w:line="237" w:lineRule="auto"/>
        <w:tabs>
          <w:tab w:leader="none" w:pos="13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96" w:lineRule="exact"/>
        <w:rPr>
          <w:rFonts w:ascii="Courier New" w:cs="Courier New" w:eastAsia="Courier New" w:hAnsi="Courier New"/>
          <w:sz w:val="17"/>
          <w:szCs w:val="17"/>
          <w:color w:val="auto"/>
        </w:rPr>
      </w:pPr>
    </w:p>
    <w:p>
      <w:pPr>
        <w:ind w:left="3780" w:right="2359" w:hanging="2883"/>
        <w:spacing w:after="0" w:line="468" w:lineRule="auto"/>
        <w:tabs>
          <w:tab w:leader="none" w:pos="129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 or more of our assets or earning power is sold or transferred, -9-</w:t>
      </w:r>
    </w:p>
    <w:p>
      <w:pPr>
        <w:sectPr>
          <w:pgSz w:w="11900" w:h="16838" w:orient="portrait"/>
          <w:cols w:equalWidth="0" w:num="1">
            <w:col w:w="10219"/>
          </w:cols>
          <w:pgMar w:left="240" w:top="301"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199"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$.0005 per right at any time prior to the tenth day following a person's acquisition of 15% or more of our then outstanding common stock. So long as the rights are not separately transferable, each new share of common stock issued will have a right associated with it.</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PLAN OF DISTRIBUTION</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The shares covered by this prospectus may be offered and sold from time to time by the selling stockholders. The term "selling stockholders" includes donees, pledgees, transferees or other successors-in-interest selling shares received after the date of this prospectus from a selling stockholder as a gift, pledge, partnership distribution or other non-sale related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their shares by one or more of, or a combination of, the following methods:</w:t>
      </w:r>
    </w:p>
    <w:p>
      <w:pPr>
        <w:spacing w:after="0" w:line="193" w:lineRule="exact"/>
        <w:rPr>
          <w:sz w:val="20"/>
          <w:szCs w:val="20"/>
          <w:color w:val="auto"/>
        </w:rPr>
      </w:pPr>
    </w:p>
    <w:p>
      <w:pPr>
        <w:ind w:left="1300" w:right="2759" w:hanging="403"/>
        <w:spacing w:after="0" w:line="259" w:lineRule="auto"/>
        <w:tabs>
          <w:tab w:leader="none" w:pos="1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82" w:lineRule="exact"/>
        <w:rPr>
          <w:rFonts w:ascii="Courier New" w:cs="Courier New" w:eastAsia="Courier New" w:hAnsi="Courier New"/>
          <w:sz w:val="16"/>
          <w:szCs w:val="16"/>
          <w:color w:val="auto"/>
        </w:rPr>
      </w:pPr>
    </w:p>
    <w:p>
      <w:pPr>
        <w:ind w:left="1300" w:right="2859" w:hanging="403"/>
        <w:spacing w:after="0" w:line="235" w:lineRule="auto"/>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ordinary brokerage transactions and transactions in which the broker solicits purchasers;</w:t>
      </w:r>
    </w:p>
    <w:p>
      <w:pPr>
        <w:spacing w:after="0" w:line="196" w:lineRule="exact"/>
        <w:rPr>
          <w:rFonts w:ascii="Courier New" w:cs="Courier New" w:eastAsia="Courier New" w:hAnsi="Courier New"/>
          <w:sz w:val="17"/>
          <w:szCs w:val="17"/>
          <w:color w:val="auto"/>
        </w:rPr>
      </w:pPr>
    </w:p>
    <w:p>
      <w:pPr>
        <w:ind w:left="1300" w:right="2359" w:hanging="403"/>
        <w:spacing w:after="0" w:line="236" w:lineRule="auto"/>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block trades in which the broker-dealer so engaged will attempt to sell the shares as agent but may position and resell a portion of the block as principal to facilitate the transaction;</w:t>
      </w:r>
    </w:p>
    <w:p>
      <w:pPr>
        <w:spacing w:after="0" w:line="190" w:lineRule="exact"/>
        <w:rPr>
          <w:rFonts w:ascii="Courier New" w:cs="Courier New" w:eastAsia="Courier New" w:hAnsi="Courier New"/>
          <w:sz w:val="17"/>
          <w:szCs w:val="17"/>
          <w:color w:val="auto"/>
        </w:rPr>
      </w:pPr>
    </w:p>
    <w:p>
      <w:pPr>
        <w:ind w:left="1300" w:hanging="403"/>
        <w:spacing w:after="0"/>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over-the-counter distribution;</w:t>
      </w:r>
    </w:p>
    <w:p>
      <w:pPr>
        <w:spacing w:after="0" w:line="189" w:lineRule="exact"/>
        <w:rPr>
          <w:rFonts w:ascii="Courier New" w:cs="Courier New" w:eastAsia="Courier New" w:hAnsi="Courier New"/>
          <w:sz w:val="17"/>
          <w:szCs w:val="17"/>
          <w:color w:val="auto"/>
        </w:rPr>
      </w:pPr>
    </w:p>
    <w:p>
      <w:pPr>
        <w:ind w:left="1300" w:hanging="403"/>
        <w:spacing w:after="0"/>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privately negotiated transactions; and</w:t>
      </w:r>
    </w:p>
    <w:p>
      <w:pPr>
        <w:spacing w:after="0" w:line="189" w:lineRule="exact"/>
        <w:rPr>
          <w:rFonts w:ascii="Courier New" w:cs="Courier New" w:eastAsia="Courier New" w:hAnsi="Courier New"/>
          <w:sz w:val="17"/>
          <w:szCs w:val="17"/>
          <w:color w:val="auto"/>
        </w:rPr>
      </w:pPr>
    </w:p>
    <w:p>
      <w:pPr>
        <w:ind w:left="1300" w:hanging="403"/>
        <w:spacing w:after="0"/>
        <w:tabs>
          <w:tab w:leader="none" w:pos="13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options transactions.</w:t>
      </w:r>
    </w:p>
    <w:p>
      <w:pPr>
        <w:spacing w:after="0" w:line="196" w:lineRule="exact"/>
        <w:rPr>
          <w:sz w:val="20"/>
          <w:szCs w:val="20"/>
          <w:color w:val="auto"/>
        </w:rPr>
      </w:pPr>
    </w:p>
    <w:p>
      <w:pPr>
        <w:ind w:right="2359" w:firstLine="895"/>
        <w:spacing w:after="0" w:line="235" w:lineRule="auto"/>
        <w:rPr>
          <w:sz w:val="20"/>
          <w:szCs w:val="20"/>
          <w:color w:val="auto"/>
        </w:rPr>
      </w:pPr>
      <w:r>
        <w:rPr>
          <w:rFonts w:ascii="Courier New" w:cs="Courier New" w:eastAsia="Courier New" w:hAnsi="Courier New"/>
          <w:sz w:val="17"/>
          <w:szCs w:val="17"/>
          <w:color w:val="auto"/>
        </w:rPr>
        <w:t>In addition, any shares that qualify for sale pursuant to Rule 144 may be sold under Rule 144 rather than pursuant to this prospectus.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To the extent required, this prospectus may be amended or supplemented from time to time to describe a specific plan of distribution. 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the common stock in the course of hedging the positions they assume with selling stockholders. The selling stockholders may also sell the common stock short and redeliver the shares to close out such short positions. The selling stockholders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211" w:lineRule="exact"/>
        <w:rPr>
          <w:sz w:val="20"/>
          <w:szCs w:val="20"/>
          <w:color w:val="auto"/>
        </w:rPr>
      </w:pPr>
    </w:p>
    <w:p>
      <w:pPr>
        <w:ind w:right="2259" w:firstLine="895"/>
        <w:spacing w:after="0" w:line="255" w:lineRule="auto"/>
        <w:rPr>
          <w:sz w:val="20"/>
          <w:szCs w:val="20"/>
          <w:color w:val="auto"/>
        </w:rPr>
      </w:pPr>
      <w:r>
        <w:rPr>
          <w:rFonts w:ascii="Courier New" w:cs="Courier New" w:eastAsia="Courier New" w:hAnsi="Courier New"/>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8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98"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1"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which may include delivery through the facilities of the New York Stock Exchange pursuant to Rule 153 under the Securities Act. The selling stockholders may indemnify any broker-dealer that participates in transactions involving the sale of the shares against certain liabilities, including liabilities arising under the Securities Act.</w:t>
      </w:r>
    </w:p>
    <w:p>
      <w:pPr>
        <w:spacing w:after="0" w:line="202" w:lineRule="exact"/>
        <w:rPr>
          <w:sz w:val="20"/>
          <w:szCs w:val="20"/>
          <w:color w:val="auto"/>
        </w:rPr>
      </w:pPr>
    </w:p>
    <w:p>
      <w:pPr>
        <w:ind w:right="2559" w:firstLine="895"/>
        <w:spacing w:after="0" w:line="237" w:lineRule="auto"/>
        <w:rPr>
          <w:sz w:val="20"/>
          <w:szCs w:val="20"/>
          <w:color w:val="auto"/>
        </w:rPr>
      </w:pPr>
      <w:r>
        <w:rPr>
          <w:rFonts w:ascii="Courier New" w:cs="Courier New" w:eastAsia="Courier New" w:hAnsi="Courier New"/>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99" w:lineRule="exact"/>
        <w:rPr>
          <w:sz w:val="20"/>
          <w:szCs w:val="20"/>
          <w:color w:val="auto"/>
        </w:rPr>
      </w:pPr>
    </w:p>
    <w:p>
      <w:pPr>
        <w:ind w:right="2559" w:firstLine="895"/>
        <w:spacing w:after="0" w:line="259" w:lineRule="auto"/>
        <w:rPr>
          <w:sz w:val="20"/>
          <w:szCs w:val="20"/>
          <w:color w:val="auto"/>
        </w:rPr>
      </w:pPr>
      <w:r>
        <w:rPr>
          <w:rFonts w:ascii="Courier New" w:cs="Courier New" w:eastAsia="Courier New" w:hAnsi="Courier New"/>
          <w:sz w:val="16"/>
          <w:szCs w:val="16"/>
          <w:color w:val="auto"/>
        </w:rPr>
        <w:t>We have agreed to indemnify the selling stockholders against certain liabilities, including certain liabilities under the Securities Act.</w:t>
      </w:r>
    </w:p>
    <w:p>
      <w:pPr>
        <w:spacing w:after="0" w:line="183"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have agreed with the selling stockholders to keep the registration statement of which this prospectus constitutes a part effective until the earlier of (i) such time as all of the shares covered by this prospectus have been disposed of pursuant to and in accordance with the registration statement or (ii) the first anniversary of the date on which the Registration Statement of which this prospectus constitutes a part, becomes effective.</w:t>
      </w: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LEGAL MATTERS</w:t>
      </w:r>
    </w:p>
    <w:p>
      <w:pPr>
        <w:spacing w:after="0" w:line="196" w:lineRule="exact"/>
        <w:rPr>
          <w:sz w:val="20"/>
          <w:szCs w:val="20"/>
          <w:color w:val="auto"/>
        </w:rPr>
      </w:pPr>
    </w:p>
    <w:p>
      <w:pPr>
        <w:ind w:right="2359" w:firstLine="895"/>
        <w:spacing w:after="0" w:line="236" w:lineRule="auto"/>
        <w:rPr>
          <w:sz w:val="20"/>
          <w:szCs w:val="20"/>
          <w:color w:val="auto"/>
        </w:rPr>
      </w:pPr>
      <w:r>
        <w:rPr>
          <w:rFonts w:ascii="Courier New" w:cs="Courier New" w:eastAsia="Courier New" w:hAnsi="Courier New"/>
          <w:sz w:val="17"/>
          <w:szCs w:val="17"/>
          <w:color w:val="auto"/>
        </w:rPr>
        <w:t>The validity of the shares offered by this prospectus has been passed upon by Hale and Dorr LLP. Paul P. Brountas, a partner of Hale and Dorr LLP, is Clerk of Analog Devices and owns 70,000 shares of common stock of Analog Devices.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The consolidated financial statements and financial statement schedule of Analog Devices, Inc. incorporated by reference and included, respectively, in Analog Devices, Inc.'s Annual Report on Form 10-K for the year ended October 30, 1999, have been audited by Ernst &amp; Young LLP, independent auditors, as set forth in their reports thereon incorporated by reference and included therein, respectively, and incorporated herein by reference. Such consolidated financial statements and financial statement schedule are incorporated herein by reference in reliance upon such reports given on the authority of such firm as experts in accounting and auditing.</w:t>
      </w:r>
    </w:p>
    <w:p>
      <w:pPr>
        <w:spacing w:after="0" w:line="19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WHERE YOU CAN FIND MORE INFORMATION</w:t>
      </w:r>
    </w:p>
    <w:p>
      <w:pPr>
        <w:spacing w:after="0" w:line="196"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We file reports, proxy statements and other documents with the Securities and Exchange Commission. You may read and copy any document we file at the SEC's public reference room at Judiciary Plaza Building, 450 Fifth Street, N.W., Room 1024, Washington, D.C. 20549. You should call 1-800-SEC-0330 for more information on the public reference room. Our SEC filings are also available to you on the SEC's Internet site at http://www.sec.gov. In addition, these materials may be read at the offices of the New York Stock Exchange, 20 Broad Street, New York, New York 10005.</w:t>
      </w:r>
    </w:p>
    <w:p>
      <w:pPr>
        <w:spacing w:after="0" w:line="200" w:lineRule="exact"/>
        <w:rPr>
          <w:sz w:val="20"/>
          <w:szCs w:val="20"/>
          <w:color w:val="auto"/>
        </w:rPr>
      </w:pPr>
    </w:p>
    <w:p>
      <w:pPr>
        <w:ind w:right="2359" w:firstLine="895"/>
        <w:spacing w:after="0" w:line="237" w:lineRule="auto"/>
        <w:rPr>
          <w:sz w:val="20"/>
          <w:szCs w:val="20"/>
          <w:color w:val="auto"/>
        </w:rPr>
      </w:pPr>
      <w:r>
        <w:rPr>
          <w:rFonts w:ascii="Courier New" w:cs="Courier New" w:eastAsia="Courier New" w:hAnsi="Courier New"/>
          <w:sz w:val="17"/>
          <w:szCs w:val="17"/>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 at the address listed above or from the SEC's Internet site.</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The SEC allows us to "incorporate by reference" into this prospectus information that we file with the SEC in other documents. This means that we can disclose important information to you by referring to other documents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that contain that information. The information incorporated by reference is considered to be part of this prospectus. Information contained in this prospectus and information that we file with the SEC in the future and incorporate by reference in this prospectus automatically updates and supersedes previously filed information. We incorporate by reference the documents listed below and any future filings we make with the SEC under Sections 13(a), 13(c),</w:t>
      </w:r>
    </w:p>
    <w:p>
      <w:pPr>
        <w:spacing w:after="0" w:line="1"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14 or 15(d) of the Securities Exchange Act of 1934, prior to the sale of all the shares covered by this prospectus.</w:t>
      </w:r>
    </w:p>
    <w:p>
      <w:pPr>
        <w:spacing w:after="0" w:line="190" w:lineRule="exact"/>
        <w:rPr>
          <w:sz w:val="20"/>
          <w:szCs w:val="20"/>
          <w:color w:val="auto"/>
        </w:rPr>
      </w:pPr>
    </w:p>
    <w:p>
      <w:pPr>
        <w:ind w:left="900" w:hanging="401"/>
        <w:spacing w:after="0"/>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October 30, 1999;</w:t>
      </w:r>
    </w:p>
    <w:p>
      <w:pPr>
        <w:spacing w:after="0" w:line="196" w:lineRule="exact"/>
        <w:rPr>
          <w:rFonts w:ascii="Courier New" w:cs="Courier New" w:eastAsia="Courier New" w:hAnsi="Courier New"/>
          <w:sz w:val="17"/>
          <w:szCs w:val="17"/>
          <w:color w:val="auto"/>
        </w:rPr>
      </w:pPr>
    </w:p>
    <w:p>
      <w:pPr>
        <w:ind w:left="900" w:right="2459" w:hanging="401"/>
        <w:spacing w:after="0" w:line="235"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Reports on Form 10-Q for the quarters ended January 29, 2000, April 29, 2000 and July 29, 2000;</w:t>
      </w:r>
    </w:p>
    <w:p>
      <w:pPr>
        <w:spacing w:after="0" w:line="196" w:lineRule="exact"/>
        <w:rPr>
          <w:rFonts w:ascii="Courier New" w:cs="Courier New" w:eastAsia="Courier New" w:hAnsi="Courier New"/>
          <w:sz w:val="17"/>
          <w:szCs w:val="17"/>
          <w:color w:val="auto"/>
        </w:rPr>
      </w:pPr>
    </w:p>
    <w:p>
      <w:pPr>
        <w:ind w:left="900" w:right="2659" w:hanging="401"/>
        <w:spacing w:after="0" w:line="235"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dated November 19, 1999, October 6, 2000 and December 13, 2000; and</w:t>
      </w:r>
    </w:p>
    <w:p>
      <w:pPr>
        <w:spacing w:after="0" w:line="196" w:lineRule="exact"/>
        <w:rPr>
          <w:rFonts w:ascii="Courier New" w:cs="Courier New" w:eastAsia="Courier New" w:hAnsi="Courier New"/>
          <w:sz w:val="17"/>
          <w:szCs w:val="17"/>
          <w:color w:val="auto"/>
        </w:rPr>
      </w:pPr>
    </w:p>
    <w:p>
      <w:pPr>
        <w:ind w:left="900" w:right="2559" w:hanging="401"/>
        <w:spacing w:after="0" w:line="236" w:lineRule="auto"/>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our filings pursuant to the Exchange Act after the date of filing the initial registration statement and prior to effectiveness of the registration statement.</w:t>
      </w:r>
    </w:p>
    <w:p>
      <w:pPr>
        <w:spacing w:after="0" w:line="197" w:lineRule="exact"/>
        <w:rPr>
          <w:sz w:val="20"/>
          <w:szCs w:val="20"/>
          <w:color w:val="auto"/>
        </w:rPr>
      </w:pPr>
    </w:p>
    <w:p>
      <w:pPr>
        <w:ind w:right="2559" w:firstLine="895"/>
        <w:spacing w:after="0" w:line="235" w:lineRule="auto"/>
        <w:rPr>
          <w:sz w:val="20"/>
          <w:szCs w:val="20"/>
          <w:color w:val="auto"/>
        </w:rPr>
      </w:pPr>
      <w:r>
        <w:rPr>
          <w:rFonts w:ascii="Courier New" w:cs="Courier New" w:eastAsia="Courier New" w:hAnsi="Courier New"/>
          <w:sz w:val="17"/>
          <w:szCs w:val="17"/>
          <w:color w:val="auto"/>
        </w:rPr>
        <w:t>You may request a copy of these documents, which will be provided to you at no cost, by contacting:</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Analog Devices, Inc.</w:t>
      </w:r>
    </w:p>
    <w:p>
      <w:pPr>
        <w:ind w:left="2680"/>
        <w:spacing w:after="0" w:line="238" w:lineRule="auto"/>
        <w:rPr>
          <w:sz w:val="20"/>
          <w:szCs w:val="20"/>
          <w:color w:val="auto"/>
        </w:rPr>
      </w:pPr>
      <w:r>
        <w:rPr>
          <w:rFonts w:ascii="Courier New" w:cs="Courier New" w:eastAsia="Courier New" w:hAnsi="Courier New"/>
          <w:sz w:val="17"/>
          <w:szCs w:val="17"/>
          <w:color w:val="auto"/>
        </w:rPr>
        <w:t>One Technology Way</w:t>
      </w:r>
    </w:p>
    <w:p>
      <w:pPr>
        <w:ind w:left="2680"/>
        <w:spacing w:after="0" w:line="238" w:lineRule="auto"/>
        <w:rPr>
          <w:sz w:val="20"/>
          <w:szCs w:val="20"/>
          <w:color w:val="auto"/>
        </w:rPr>
      </w:pPr>
      <w:r>
        <w:rPr>
          <w:rFonts w:ascii="Courier New" w:cs="Courier New" w:eastAsia="Courier New" w:hAnsi="Courier New"/>
          <w:sz w:val="17"/>
          <w:szCs w:val="17"/>
          <w:color w:val="auto"/>
        </w:rPr>
        <w:t>Norwood, MA 02062-9106</w:t>
      </w:r>
    </w:p>
    <w:p>
      <w:pPr>
        <w:ind w:left="2680"/>
        <w:spacing w:after="0"/>
        <w:tabs>
          <w:tab w:leader="none" w:pos="3860" w:val="left"/>
        </w:tabs>
        <w:rPr>
          <w:sz w:val="20"/>
          <w:szCs w:val="20"/>
          <w:color w:val="auto"/>
        </w:rPr>
      </w:pPr>
      <w:r>
        <w:rPr>
          <w:rFonts w:ascii="Courier New" w:cs="Courier New" w:eastAsia="Courier New" w:hAnsi="Courier New"/>
          <w:sz w:val="17"/>
          <w:szCs w:val="17"/>
          <w:color w:val="auto"/>
        </w:rPr>
        <w:t>Attention:</w:t>
        <w:tab/>
        <w:t>Joseph E. McDonough</w:t>
      </w:r>
    </w:p>
    <w:p>
      <w:pPr>
        <w:ind w:left="3880"/>
        <w:spacing w:after="0" w:line="237" w:lineRule="auto"/>
        <w:rPr>
          <w:sz w:val="20"/>
          <w:szCs w:val="20"/>
          <w:color w:val="auto"/>
        </w:rPr>
      </w:pPr>
      <w:r>
        <w:rPr>
          <w:rFonts w:ascii="Courier New" w:cs="Courier New" w:eastAsia="Courier New" w:hAnsi="Courier New"/>
          <w:sz w:val="17"/>
          <w:szCs w:val="17"/>
          <w:color w:val="auto"/>
        </w:rPr>
        <w:t>Vice President, Finance</w:t>
      </w:r>
    </w:p>
    <w:p>
      <w:pPr>
        <w:ind w:left="2680"/>
        <w:spacing w:after="0" w:line="238" w:lineRule="auto"/>
        <w:tabs>
          <w:tab w:leader="none" w:pos="3860" w:val="left"/>
        </w:tabs>
        <w:rPr>
          <w:sz w:val="20"/>
          <w:szCs w:val="20"/>
          <w:color w:val="auto"/>
        </w:rPr>
      </w:pPr>
      <w:r>
        <w:rPr>
          <w:rFonts w:ascii="Courier New" w:cs="Courier New" w:eastAsia="Courier New" w:hAnsi="Courier New"/>
          <w:sz w:val="17"/>
          <w:szCs w:val="17"/>
          <w:color w:val="auto"/>
        </w:rPr>
        <w:t>Telephone:</w:t>
        <w:tab/>
        <w:t>(781) 329-4700</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1"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OTHER EXPENSES OF ISSUANCE AND DISTRIBUTION.</w:t>
      </w:r>
    </w:p>
    <w:p>
      <w:pPr>
        <w:spacing w:after="0" w:line="196" w:lineRule="exact"/>
        <w:rPr>
          <w:sz w:val="20"/>
          <w:szCs w:val="20"/>
          <w:color w:val="auto"/>
        </w:rPr>
      </w:pPr>
    </w:p>
    <w:p>
      <w:pPr>
        <w:ind w:right="2359" w:firstLine="895"/>
        <w:spacing w:after="0" w:line="254" w:lineRule="auto"/>
        <w:rPr>
          <w:sz w:val="20"/>
          <w:szCs w:val="20"/>
          <w:color w:val="auto"/>
        </w:rPr>
      </w:pPr>
      <w:r>
        <w:rPr>
          <w:rFonts w:ascii="Courier New" w:cs="Courier New" w:eastAsia="Courier New" w:hAnsi="Courier New"/>
          <w:sz w:val="16"/>
          <w:szCs w:val="16"/>
          <w:color w:val="auto"/>
        </w:rPr>
        <w:t>The following table sets forth the various expenses to be incurred in connection with the sale and distribution of the securities being registered hereby, all of which will be borne by Analog Devices (except any underwriting discounts and commissions and expenses incurred by the selling stockholders for brokerage, accounting, tax or legal services or any other expenses incurred by the selling stockholders in disposing of the shares). All amounts shown are estimates except the Securities and Exchange Commission registration fee.</w:t>
      </w:r>
    </w:p>
    <w:p>
      <w:pPr>
        <w:sectPr>
          <w:pgSz w:w="11900" w:h="16838" w:orient="portrait"/>
          <w:cols w:equalWidth="0" w:num="1">
            <w:col w:w="10219"/>
          </w:cols>
          <w:pgMar w:left="240" w:top="301" w:right="1440" w:bottom="862" w:gutter="0" w:footer="0" w:header="0"/>
        </w:sectPr>
      </w:pPr>
    </w:p>
    <w:p>
      <w:pPr>
        <w:spacing w:after="0" w:line="18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Filing Fee - Securities and Exchange Commission ..........</w:t>
      </w: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Legal fees and expenses...................................</w:t>
      </w: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Miscellaneous expenses....................................</w:t>
      </w:r>
    </w:p>
    <w:p>
      <w:pPr>
        <w:spacing w:after="0" w:line="19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Total Expenses...................................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722.17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$7,722.17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260" w:space="500"/>
            <w:col w:w="3459"/>
          </w:cols>
          <w:pgMar w:left="240" w:top="301" w:right="1440" w:bottom="862"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ectPr>
          <w:pgSz w:w="11900" w:h="16838" w:orient="portrait"/>
          <w:cols w:equalWidth="0" w:num="1">
            <w:col w:w="10219"/>
          </w:cols>
          <w:pgMar w:left="240" w:top="301" w:right="1440" w:bottom="862" w:gutter="0" w:footer="0" w:header="0"/>
          <w:type w:val="continuous"/>
        </w:sectPr>
      </w:pPr>
    </w:p>
    <w:p>
      <w:pPr>
        <w:spacing w:after="0" w:line="201"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Article 6A of the Registrant's Restated Articles of Organization (the "Restated Articles")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5"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94"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Restated Articles.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02"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Article 6D of the Restated Articles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1" w:right="1440" w:bottom="862"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ind w:right="2459" w:firstLine="895"/>
        <w:spacing w:after="0" w:line="235" w:lineRule="auto"/>
        <w:rPr>
          <w:sz w:val="20"/>
          <w:szCs w:val="20"/>
          <w:color w:val="auto"/>
        </w:rPr>
      </w:pPr>
      <w:r>
        <w:rPr>
          <w:rFonts w:ascii="Courier New" w:cs="Courier New" w:eastAsia="Courier New" w:hAnsi="Courier New"/>
          <w:sz w:val="17"/>
          <w:szCs w:val="17"/>
          <w:color w:val="auto"/>
        </w:rPr>
        <w:t>The Registrant has directors and officers liability insurance for the benefit of its directors and officers.</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190"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90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060" w:type="dxa"/>
            <w:vAlign w:val="bottom"/>
          </w:tcPr>
          <w:p>
            <w:pPr>
              <w:spacing w:after="0"/>
              <w:rPr>
                <w:sz w:val="16"/>
                <w:szCs w:val="16"/>
                <w:color w:val="auto"/>
              </w:rPr>
            </w:pPr>
          </w:p>
        </w:tc>
      </w:tr>
      <w:tr>
        <w:trPr>
          <w:trHeight w:val="191"/>
        </w:trPr>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w:t>
            </w:r>
          </w:p>
        </w:tc>
        <w:tc>
          <w:tcPr>
            <w:tcW w:w="6060" w:type="dxa"/>
            <w:vAlign w:val="bottom"/>
          </w:tcPr>
          <w:p>
            <w:pPr>
              <w:ind w:left="2280"/>
              <w:spacing w:after="0" w:line="191" w:lineRule="exact"/>
              <w:rPr>
                <w:sz w:val="20"/>
                <w:szCs w:val="20"/>
                <w:color w:val="auto"/>
              </w:rPr>
            </w:pPr>
            <w:r>
              <w:rPr>
                <w:rFonts w:ascii="Courier New" w:cs="Courier New" w:eastAsia="Courier New" w:hAnsi="Courier New"/>
                <w:sz w:val="17"/>
                <w:szCs w:val="17"/>
                <w:color w:val="auto"/>
              </w:rPr>
              <w:t>DESCRIPTION</w:t>
            </w:r>
          </w:p>
        </w:tc>
      </w:tr>
      <w:tr>
        <w:trPr>
          <w:trHeight w:val="191"/>
        </w:trPr>
        <w:tc>
          <w:tcPr>
            <w:tcW w:w="9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6060" w:type="dxa"/>
            <w:vAlign w:val="bottom"/>
          </w:tcPr>
          <w:p>
            <w:pPr>
              <w:ind w:left="228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5.1</w:t>
            </w:r>
          </w:p>
        </w:tc>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Opinion of Hale and Dorr LLP.</w:t>
            </w:r>
          </w:p>
        </w:tc>
      </w:tr>
      <w:tr>
        <w:trPr>
          <w:trHeight w:val="383"/>
        </w:trPr>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23.1</w:t>
            </w:r>
          </w:p>
        </w:tc>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Consent of Ernst &amp; Young LLP.</w:t>
            </w:r>
          </w:p>
        </w:tc>
      </w:tr>
      <w:tr>
        <w:trPr>
          <w:trHeight w:val="383"/>
        </w:trPr>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23.2</w:t>
            </w:r>
          </w:p>
        </w:tc>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w w:val="97"/>
              </w:rPr>
              <w:t>Consent of Hale and Dorr LLP, included in Exhibit 5.1 filed</w:t>
            </w:r>
          </w:p>
        </w:tc>
      </w:tr>
      <w:tr>
        <w:trPr>
          <w:trHeight w:val="191"/>
        </w:trPr>
        <w:tc>
          <w:tcPr>
            <w:tcW w:w="900" w:type="dxa"/>
            <w:vAlign w:val="bottom"/>
          </w:tcPr>
          <w:p>
            <w:pPr>
              <w:spacing w:after="0"/>
              <w:rPr>
                <w:sz w:val="16"/>
                <w:szCs w:val="16"/>
                <w:color w:val="auto"/>
              </w:rPr>
            </w:pPr>
          </w:p>
        </w:tc>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herewith.</w:t>
            </w:r>
          </w:p>
        </w:tc>
      </w:tr>
      <w:tr>
        <w:trPr>
          <w:trHeight w:val="382"/>
        </w:trPr>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24.1</w:t>
            </w:r>
          </w:p>
        </w:tc>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Power of Attorney (See page II-4 of this Registration</w:t>
            </w:r>
          </w:p>
        </w:tc>
      </w:tr>
      <w:tr>
        <w:trPr>
          <w:trHeight w:val="191"/>
        </w:trPr>
        <w:tc>
          <w:tcPr>
            <w:tcW w:w="900" w:type="dxa"/>
            <w:vAlign w:val="bottom"/>
          </w:tcPr>
          <w:p>
            <w:pPr>
              <w:spacing w:after="0"/>
              <w:rPr>
                <w:sz w:val="16"/>
                <w:szCs w:val="16"/>
                <w:color w:val="auto"/>
              </w:rPr>
            </w:pPr>
          </w:p>
        </w:tc>
        <w:tc>
          <w:tcPr>
            <w:tcW w:w="6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UNDERTAKINGS.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196" w:lineRule="exact"/>
        <w:rPr>
          <w:sz w:val="20"/>
          <w:szCs w:val="20"/>
          <w:color w:val="auto"/>
        </w:rPr>
      </w:pPr>
    </w:p>
    <w:p>
      <w:pPr>
        <w:ind w:right="2259" w:firstLine="897"/>
        <w:spacing w:after="0" w:line="235" w:lineRule="auto"/>
        <w:tabs>
          <w:tab w:leader="none" w:pos="1293"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900" w:right="2259" w:firstLine="395"/>
        <w:spacing w:after="0" w:line="235" w:lineRule="auto"/>
        <w:tabs>
          <w:tab w:leader="none" w:pos="1895"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left="900" w:right="2259" w:firstLine="395"/>
        <w:spacing w:after="0" w:line="253" w:lineRule="auto"/>
        <w:tabs>
          <w:tab w:leader="none" w:pos="189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93" w:lineRule="exact"/>
        <w:rPr>
          <w:rFonts w:ascii="Courier New" w:cs="Courier New" w:eastAsia="Courier New" w:hAnsi="Courier New"/>
          <w:sz w:val="16"/>
          <w:szCs w:val="16"/>
          <w:color w:val="auto"/>
        </w:rPr>
      </w:pPr>
    </w:p>
    <w:p>
      <w:pPr>
        <w:ind w:left="900" w:right="2259" w:firstLine="494"/>
        <w:spacing w:after="0" w:line="236" w:lineRule="auto"/>
        <w:tabs>
          <w:tab w:leader="none" w:pos="1994" w:val="left"/>
        </w:tabs>
        <w:numPr>
          <w:ilvl w:val="2"/>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this registration statement;</w:t>
      </w:r>
    </w:p>
    <w:p>
      <w:pPr>
        <w:spacing w:after="0" w:line="199"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the registration statement.</w:t>
      </w:r>
    </w:p>
    <w:p>
      <w:pPr>
        <w:spacing w:after="0" w:line="198" w:lineRule="exact"/>
        <w:rPr>
          <w:sz w:val="20"/>
          <w:szCs w:val="20"/>
          <w:color w:val="auto"/>
        </w:rPr>
      </w:pPr>
    </w:p>
    <w:p>
      <w:pPr>
        <w:ind w:right="2359" w:firstLine="897"/>
        <w:spacing w:after="0" w:line="237" w:lineRule="auto"/>
        <w:tabs>
          <w:tab w:leader="none" w:pos="129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purposes of determining any liability under the Securities Act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Courier New" w:cs="Courier New" w:eastAsia="Courier New" w:hAnsi="Courier New"/>
          <w:sz w:val="17"/>
          <w:szCs w:val="17"/>
          <w:color w:val="auto"/>
        </w:rPr>
      </w:pPr>
    </w:p>
    <w:p>
      <w:pPr>
        <w:ind w:right="2259" w:firstLine="897"/>
        <w:spacing w:after="0" w:line="236" w:lineRule="auto"/>
        <w:tabs>
          <w:tab w:leader="none" w:pos="129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2459" w:firstLine="895"/>
        <w:spacing w:after="0" w:line="254"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Exchange Act of 1934 (and, where applicable, each filing of an employee benefit plan's annual report pursuant to Section 15(d) of the Exchange Act of 1934) that is incorporated by reference in the registration statement shall be</w:t>
      </w:r>
    </w:p>
    <w:p>
      <w:pPr>
        <w:spacing w:after="0" w:line="1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01"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17</w:t>
      </w:r>
    </w:p>
    <w:p>
      <w:pPr>
        <w:spacing w:after="0" w:line="196"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1"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January 12, 2001.</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ANALOG DEVICES, INC.</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By: /s/ Jerald G. Fishman</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Jerald G. Fishman</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86"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SIGNATURES AND POWER OF ATTORNEY</w:t>
      </w:r>
    </w:p>
    <w:p>
      <w:pPr>
        <w:spacing w:after="0" w:line="196" w:lineRule="exact"/>
        <w:rPr>
          <w:sz w:val="20"/>
          <w:szCs w:val="20"/>
          <w:color w:val="auto"/>
        </w:rPr>
      </w:pPr>
    </w:p>
    <w:p>
      <w:pPr>
        <w:ind w:right="2259" w:firstLine="895"/>
        <w:spacing w:after="0" w:line="253"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and Joseph E. McDonough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3"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as amended, this Registration Statement has been signed by the following persons in the capacities and on the dates indicated.</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01"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940"/>
          </w:cols>
          <w:pgMar w:left="240" w:top="307"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Signature</w:t>
      </w:r>
    </w:p>
    <w:p>
      <w:pPr>
        <w:spacing w:after="0" w:line="1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5140" w:space="720"/>
            <w:col w:w="3360" w:space="720"/>
            <w:col w:w="1000"/>
          </w:cols>
          <w:pgMar w:left="240" w:top="307" w:right="71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Jerald G. Fishman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January 12, 2001</w:t>
      </w:r>
    </w:p>
    <w:p>
      <w:pPr>
        <w:spacing w:after="0" w:line="201" w:lineRule="exact"/>
        <w:rPr>
          <w:sz w:val="20"/>
          <w:szCs w:val="20"/>
          <w:color w:val="auto"/>
        </w:rPr>
      </w:pPr>
    </w:p>
    <w:p>
      <w:pPr>
        <w:sectPr>
          <w:pgSz w:w="11900" w:h="16838" w:orient="portrait"/>
          <w:cols w:equalWidth="0" w:num="3">
            <w:col w:w="3780" w:space="300"/>
            <w:col w:w="4680" w:space="600"/>
            <w:col w:w="1580"/>
          </w:cols>
          <w:pgMar w:left="240" w:top="307" w:right="7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Jerald G. Fishman</w:t>
      </w:r>
    </w:p>
    <w:p>
      <w:pPr>
        <w:sectPr>
          <w:pgSz w:w="11900" w:h="16838" w:orient="portrait"/>
          <w:cols w:equalWidth="0" w:num="1">
            <w:col w:w="10940"/>
          </w:cols>
          <w:pgMar w:left="240" w:top="307" w:right="7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Ray Stata</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Director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12, 2001</w:t>
      </w:r>
    </w:p>
    <w:p>
      <w:pPr>
        <w:spacing w:after="0" w:line="3" w:lineRule="exact"/>
        <w:rPr>
          <w:sz w:val="20"/>
          <w:szCs w:val="20"/>
          <w:color w:val="auto"/>
        </w:rPr>
      </w:pPr>
    </w:p>
    <w:p>
      <w:pPr>
        <w:sectPr>
          <w:pgSz w:w="11900" w:h="16838" w:orient="portrait"/>
          <w:cols w:equalWidth="0" w:num="3">
            <w:col w:w="3360" w:space="720"/>
            <w:col w:w="4560" w:space="720"/>
            <w:col w:w="1580"/>
          </w:cols>
          <w:pgMar w:left="240" w:top="307" w:right="719" w:bottom="1440" w:gutter="0" w:footer="0" w:header="0"/>
          <w:type w:val="continuous"/>
        </w:sectPr>
      </w:pPr>
    </w:p>
    <w:p>
      <w:pPr>
        <w:ind w:left="200" w:hanging="198"/>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Ray Stata</w:t>
      </w:r>
    </w:p>
    <w:p>
      <w:pPr>
        <w:spacing w:after="0" w:line="381" w:lineRule="exact"/>
        <w:rPr>
          <w:sz w:val="20"/>
          <w:szCs w:val="20"/>
          <w:color w:val="auto"/>
        </w:rPr>
      </w:pPr>
    </w:p>
    <w:p>
      <w:pPr>
        <w:spacing w:after="0"/>
        <w:tabs>
          <w:tab w:leader="none" w:pos="4060" w:val="left"/>
          <w:tab w:leader="none" w:pos="9340" w:val="left"/>
        </w:tabs>
        <w:rPr>
          <w:sz w:val="20"/>
          <w:szCs w:val="20"/>
          <w:color w:val="auto"/>
        </w:rPr>
      </w:pPr>
      <w:r>
        <w:rPr>
          <w:rFonts w:ascii="Courier New" w:cs="Courier New" w:eastAsia="Courier New" w:hAnsi="Courier New"/>
          <w:sz w:val="17"/>
          <w:szCs w:val="17"/>
          <w:color w:val="auto"/>
        </w:rPr>
        <w:t>/s/ Joseph E. McDonough</w:t>
      </w:r>
      <w:r>
        <w:rPr>
          <w:sz w:val="20"/>
          <w:szCs w:val="20"/>
          <w:color w:val="auto"/>
        </w:rPr>
        <w:tab/>
      </w:r>
      <w:r>
        <w:rPr>
          <w:rFonts w:ascii="Courier New" w:cs="Courier New" w:eastAsia="Courier New" w:hAnsi="Courier New"/>
          <w:sz w:val="17"/>
          <w:szCs w:val="17"/>
          <w:color w:val="auto"/>
        </w:rPr>
        <w:t>Vice President-Finance and Chief Financial Officer</w:t>
      </w:r>
      <w:r>
        <w:rPr>
          <w:sz w:val="20"/>
          <w:szCs w:val="20"/>
          <w:color w:val="auto"/>
        </w:rPr>
        <w:tab/>
      </w:r>
      <w:r>
        <w:rPr>
          <w:rFonts w:ascii="Courier New" w:cs="Courier New" w:eastAsia="Courier New" w:hAnsi="Courier New"/>
          <w:sz w:val="16"/>
          <w:szCs w:val="16"/>
          <w:color w:val="auto"/>
        </w:rPr>
        <w:t>January 12, 2001</w:t>
      </w:r>
    </w:p>
    <w:p>
      <w:pPr>
        <w:spacing w:after="0"/>
        <w:tabs>
          <w:tab w:leader="none" w:pos="42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(Principal Financial and Accounting Officer)</w:t>
      </w:r>
    </w:p>
    <w:p>
      <w:pPr>
        <w:spacing w:after="0" w:line="238" w:lineRule="auto"/>
        <w:rPr>
          <w:sz w:val="20"/>
          <w:szCs w:val="20"/>
          <w:color w:val="auto"/>
        </w:rPr>
      </w:pPr>
      <w:r>
        <w:rPr>
          <w:rFonts w:ascii="Courier New" w:cs="Courier New" w:eastAsia="Courier New" w:hAnsi="Courier New"/>
          <w:sz w:val="17"/>
          <w:szCs w:val="17"/>
          <w:color w:val="auto"/>
        </w:rPr>
        <w:t>Joseph E. McDonough</w:t>
      </w:r>
    </w:p>
    <w:p>
      <w:pPr>
        <w:spacing w:after="0" w:line="382" w:lineRule="exact"/>
        <w:rPr>
          <w:sz w:val="20"/>
          <w:szCs w:val="20"/>
          <w:color w:val="auto"/>
        </w:rPr>
      </w:pPr>
    </w:p>
    <w:p>
      <w:pPr>
        <w:spacing w:after="0"/>
        <w:tabs>
          <w:tab w:leader="none" w:pos="4060" w:val="left"/>
          <w:tab w:leader="none" w:pos="9340" w:val="left"/>
        </w:tabs>
        <w:rPr>
          <w:sz w:val="20"/>
          <w:szCs w:val="20"/>
          <w:color w:val="auto"/>
        </w:rPr>
      </w:pPr>
      <w:r>
        <w:rPr>
          <w:rFonts w:ascii="Courier New" w:cs="Courier New" w:eastAsia="Courier New" w:hAnsi="Courier New"/>
          <w:sz w:val="17"/>
          <w:szCs w:val="17"/>
          <w:color w:val="auto"/>
        </w:rPr>
        <w:t>/s/ John L. Doyle</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January 12, 2001</w:t>
      </w:r>
    </w:p>
    <w:p>
      <w:pPr>
        <w:ind w:left="200" w:hanging="198"/>
        <w:spacing w:after="0" w:line="238" w:lineRule="auto"/>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John L. Doyle</w:t>
      </w:r>
    </w:p>
    <w:p>
      <w:pPr>
        <w:spacing w:after="0" w:line="381" w:lineRule="exact"/>
        <w:rPr>
          <w:sz w:val="20"/>
          <w:szCs w:val="20"/>
          <w:color w:val="auto"/>
        </w:rPr>
      </w:pPr>
    </w:p>
    <w:p>
      <w:pPr>
        <w:spacing w:after="0"/>
        <w:tabs>
          <w:tab w:leader="none" w:pos="4060" w:val="left"/>
          <w:tab w:leader="none" w:pos="9340" w:val="left"/>
        </w:tabs>
        <w:rPr>
          <w:sz w:val="20"/>
          <w:szCs w:val="20"/>
          <w:color w:val="auto"/>
        </w:rPr>
      </w:pPr>
      <w:r>
        <w:rPr>
          <w:rFonts w:ascii="Courier New" w:cs="Courier New" w:eastAsia="Courier New" w:hAnsi="Courier New"/>
          <w:sz w:val="17"/>
          <w:szCs w:val="17"/>
          <w:color w:val="auto"/>
        </w:rPr>
        <w:t>/s/ Charles O. Holliday, Jr.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January 12, 2001</w:t>
      </w:r>
    </w:p>
    <w:p>
      <w:pPr>
        <w:ind w:left="200" w:hanging="198"/>
        <w:spacing w:after="0" w:line="238" w:lineRule="auto"/>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Charles O. Holliday, Jr.</w:t>
      </w:r>
    </w:p>
    <w:p>
      <w:pPr>
        <w:spacing w:after="0" w:line="381" w:lineRule="exact"/>
        <w:rPr>
          <w:sz w:val="20"/>
          <w:szCs w:val="20"/>
          <w:color w:val="auto"/>
        </w:rPr>
      </w:pPr>
    </w:p>
    <w:p>
      <w:pPr>
        <w:spacing w:after="0"/>
        <w:tabs>
          <w:tab w:leader="none" w:pos="4060" w:val="left"/>
          <w:tab w:leader="none" w:pos="9340" w:val="left"/>
        </w:tabs>
        <w:rPr>
          <w:sz w:val="20"/>
          <w:szCs w:val="20"/>
          <w:color w:val="auto"/>
        </w:rPr>
      </w:pPr>
      <w:r>
        <w:rPr>
          <w:rFonts w:ascii="Courier New" w:cs="Courier New" w:eastAsia="Courier New" w:hAnsi="Courier New"/>
          <w:sz w:val="17"/>
          <w:szCs w:val="17"/>
          <w:color w:val="auto"/>
        </w:rPr>
        <w:t>/s/ Joel Moses</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January 12, 2001</w:t>
      </w:r>
    </w:p>
    <w:p>
      <w:pPr>
        <w:ind w:left="200" w:hanging="198"/>
        <w:spacing w:after="0" w:line="238" w:lineRule="auto"/>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Joel Moses</w:t>
      </w:r>
    </w:p>
    <w:p>
      <w:pPr>
        <w:spacing w:after="0" w:line="381" w:lineRule="exact"/>
        <w:rPr>
          <w:sz w:val="20"/>
          <w:szCs w:val="20"/>
          <w:color w:val="auto"/>
        </w:rPr>
      </w:pPr>
    </w:p>
    <w:p>
      <w:pPr>
        <w:spacing w:after="0"/>
        <w:tabs>
          <w:tab w:leader="none" w:pos="4060" w:val="left"/>
          <w:tab w:leader="none" w:pos="9340" w:val="left"/>
        </w:tabs>
        <w:rPr>
          <w:sz w:val="20"/>
          <w:szCs w:val="20"/>
          <w:color w:val="auto"/>
        </w:rPr>
      </w:pPr>
      <w:r>
        <w:rPr>
          <w:rFonts w:ascii="Courier New" w:cs="Courier New" w:eastAsia="Courier New" w:hAnsi="Courier New"/>
          <w:sz w:val="17"/>
          <w:szCs w:val="17"/>
          <w:color w:val="auto"/>
        </w:rPr>
        <w:t>/s/ F. Grant Saviers</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January 12, 2001</w:t>
      </w:r>
    </w:p>
    <w:p>
      <w:pPr>
        <w:ind w:left="200" w:hanging="198"/>
        <w:spacing w:after="0" w:line="238" w:lineRule="auto"/>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 Grant Saviers</w:t>
      </w:r>
    </w:p>
    <w:p>
      <w:pPr>
        <w:spacing w:after="0" w:line="381" w:lineRule="exact"/>
        <w:rPr>
          <w:sz w:val="20"/>
          <w:szCs w:val="20"/>
          <w:color w:val="auto"/>
        </w:rPr>
      </w:pPr>
    </w:p>
    <w:p>
      <w:pPr>
        <w:spacing w:after="0"/>
        <w:tabs>
          <w:tab w:leader="none" w:pos="4060" w:val="left"/>
          <w:tab w:leader="none" w:pos="9340" w:val="left"/>
        </w:tabs>
        <w:rPr>
          <w:sz w:val="20"/>
          <w:szCs w:val="20"/>
          <w:color w:val="auto"/>
        </w:rPr>
      </w:pPr>
      <w:r>
        <w:rPr>
          <w:rFonts w:ascii="Courier New" w:cs="Courier New" w:eastAsia="Courier New" w:hAnsi="Courier New"/>
          <w:sz w:val="17"/>
          <w:szCs w:val="17"/>
          <w:color w:val="auto"/>
        </w:rPr>
        <w:t>/s/ Lester C. Thurow</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January 12, 2001</w:t>
      </w:r>
    </w:p>
    <w:p>
      <w:pPr>
        <w:ind w:left="200" w:hanging="198"/>
        <w:spacing w:after="0" w:line="238" w:lineRule="auto"/>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Lester C. Thurow</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940"/>
          </w:cols>
          <w:pgMar w:left="240" w:top="307" w:right="719"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20</w:t>
      </w:r>
    </w:p>
    <w:p>
      <w:pPr>
        <w:spacing w:after="0" w:line="381"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1040" w:type="dxa"/>
            <w:vAlign w:val="bottom"/>
          </w:tcPr>
          <w:p>
            <w:pPr>
              <w:spacing w:after="0"/>
              <w:rPr>
                <w:sz w:val="16"/>
                <w:szCs w:val="16"/>
                <w:color w:val="auto"/>
              </w:rPr>
            </w:pPr>
          </w:p>
        </w:tc>
        <w:tc>
          <w:tcPr>
            <w:tcW w:w="5620" w:type="dxa"/>
            <w:vAlign w:val="bottom"/>
          </w:tcPr>
          <w:p>
            <w:pPr>
              <w:ind w:left="1640"/>
              <w:spacing w:after="0"/>
              <w:rPr>
                <w:sz w:val="20"/>
                <w:szCs w:val="20"/>
                <w:color w:val="auto"/>
              </w:rPr>
            </w:pPr>
            <w:r>
              <w:rPr>
                <w:rFonts w:ascii="Courier New" w:cs="Courier New" w:eastAsia="Courier New" w:hAnsi="Courier New"/>
                <w:sz w:val="17"/>
                <w:szCs w:val="17"/>
                <w:color w:val="auto"/>
              </w:rPr>
              <w:t>EXHIBIT INDEX</w:t>
            </w:r>
          </w:p>
        </w:tc>
      </w:tr>
      <w:tr>
        <w:trPr>
          <w:trHeight w:val="574"/>
        </w:trPr>
        <w:tc>
          <w:tcPr>
            <w:tcW w:w="104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5620" w:type="dxa"/>
            <w:vAlign w:val="bottom"/>
          </w:tcPr>
          <w:p>
            <w:pPr>
              <w:spacing w:after="0"/>
              <w:rPr>
                <w:sz w:val="24"/>
                <w:szCs w:val="24"/>
                <w:color w:val="auto"/>
              </w:rPr>
            </w:pP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w:t>
            </w:r>
          </w:p>
        </w:tc>
        <w:tc>
          <w:tcPr>
            <w:tcW w:w="562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DESCRIPTION</w:t>
            </w:r>
          </w:p>
        </w:tc>
      </w:tr>
      <w:tr>
        <w:trPr>
          <w:trHeight w:val="191"/>
        </w:trPr>
        <w:tc>
          <w:tcPr>
            <w:tcW w:w="104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5620" w:type="dxa"/>
            <w:vAlign w:val="bottom"/>
          </w:tcPr>
          <w:p>
            <w:pPr>
              <w:ind w:left="244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5.1</w:t>
            </w:r>
          </w:p>
        </w:tc>
        <w:tc>
          <w:tcPr>
            <w:tcW w:w="5620" w:type="dxa"/>
            <w:vAlign w:val="bottom"/>
          </w:tcPr>
          <w:p>
            <w:pPr>
              <w:ind w:left="360"/>
              <w:spacing w:after="0"/>
              <w:rPr>
                <w:sz w:val="20"/>
                <w:szCs w:val="20"/>
                <w:color w:val="auto"/>
              </w:rPr>
            </w:pPr>
            <w:r>
              <w:rPr>
                <w:rFonts w:ascii="Courier New" w:cs="Courier New" w:eastAsia="Courier New" w:hAnsi="Courier New"/>
                <w:sz w:val="17"/>
                <w:szCs w:val="17"/>
                <w:color w:val="auto"/>
              </w:rPr>
              <w:t>Opinion of Hale and Dorr LLP.</w:t>
            </w:r>
          </w:p>
        </w:tc>
      </w:tr>
      <w:tr>
        <w:trPr>
          <w:trHeight w:val="383"/>
        </w:trPr>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23.1</w:t>
            </w:r>
          </w:p>
        </w:tc>
        <w:tc>
          <w:tcPr>
            <w:tcW w:w="5620" w:type="dxa"/>
            <w:vAlign w:val="bottom"/>
          </w:tcPr>
          <w:p>
            <w:pPr>
              <w:ind w:left="360"/>
              <w:spacing w:after="0"/>
              <w:rPr>
                <w:sz w:val="20"/>
                <w:szCs w:val="20"/>
                <w:color w:val="auto"/>
              </w:rPr>
            </w:pPr>
            <w:r>
              <w:rPr>
                <w:rFonts w:ascii="Courier New" w:cs="Courier New" w:eastAsia="Courier New" w:hAnsi="Courier New"/>
                <w:sz w:val="17"/>
                <w:szCs w:val="17"/>
                <w:color w:val="auto"/>
              </w:rPr>
              <w:t>Consent of Ernst &amp; Young LLP.</w:t>
            </w:r>
          </w:p>
        </w:tc>
      </w:tr>
      <w:tr>
        <w:trPr>
          <w:trHeight w:val="382"/>
        </w:trPr>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23.2</w:t>
            </w:r>
          </w:p>
        </w:tc>
        <w:tc>
          <w:tcPr>
            <w:tcW w:w="5620" w:type="dxa"/>
            <w:vAlign w:val="bottom"/>
          </w:tcPr>
          <w:p>
            <w:pPr>
              <w:ind w:left="360"/>
              <w:spacing w:after="0"/>
              <w:rPr>
                <w:sz w:val="20"/>
                <w:szCs w:val="20"/>
                <w:color w:val="auto"/>
              </w:rPr>
            </w:pPr>
            <w:r>
              <w:rPr>
                <w:rFonts w:ascii="Courier New" w:cs="Courier New" w:eastAsia="Courier New" w:hAnsi="Courier New"/>
                <w:sz w:val="17"/>
                <w:szCs w:val="17"/>
                <w:color w:val="auto"/>
                <w:w w:val="96"/>
              </w:rPr>
              <w:t>Consent of Hale and Dorr LLP, included in Exhibit 5.1</w:t>
            </w:r>
          </w:p>
        </w:tc>
      </w:tr>
      <w:tr>
        <w:trPr>
          <w:trHeight w:val="191"/>
        </w:trPr>
        <w:tc>
          <w:tcPr>
            <w:tcW w:w="1040" w:type="dxa"/>
            <w:vAlign w:val="bottom"/>
          </w:tcPr>
          <w:p>
            <w:pPr>
              <w:spacing w:after="0"/>
              <w:rPr>
                <w:sz w:val="16"/>
                <w:szCs w:val="16"/>
                <w:color w:val="auto"/>
              </w:rPr>
            </w:pPr>
          </w:p>
        </w:tc>
        <w:tc>
          <w:tcPr>
            <w:tcW w:w="5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filed herewith.</w:t>
            </w:r>
          </w:p>
        </w:tc>
      </w:tr>
      <w:tr>
        <w:trPr>
          <w:trHeight w:val="383"/>
        </w:trPr>
        <w:tc>
          <w:tcPr>
            <w:tcW w:w="104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24.1</w:t>
            </w:r>
          </w:p>
        </w:tc>
        <w:tc>
          <w:tcPr>
            <w:tcW w:w="5620" w:type="dxa"/>
            <w:vAlign w:val="bottom"/>
          </w:tcPr>
          <w:p>
            <w:pPr>
              <w:ind w:left="360"/>
              <w:spacing w:after="0"/>
              <w:rPr>
                <w:sz w:val="20"/>
                <w:szCs w:val="20"/>
                <w:color w:val="auto"/>
              </w:rPr>
            </w:pPr>
            <w:r>
              <w:rPr>
                <w:rFonts w:ascii="Courier New" w:cs="Courier New" w:eastAsia="Courier New" w:hAnsi="Courier New"/>
                <w:sz w:val="17"/>
                <w:szCs w:val="17"/>
                <w:color w:val="auto"/>
                <w:w w:val="96"/>
              </w:rPr>
              <w:t>Power of Attorney (See page II-4 of this Registration</w:t>
            </w:r>
          </w:p>
        </w:tc>
      </w:tr>
      <w:tr>
        <w:trPr>
          <w:trHeight w:val="191"/>
        </w:trPr>
        <w:tc>
          <w:tcPr>
            <w:tcW w:w="1040" w:type="dxa"/>
            <w:vAlign w:val="bottom"/>
          </w:tcPr>
          <w:p>
            <w:pPr>
              <w:spacing w:after="0"/>
              <w:rPr>
                <w:sz w:val="16"/>
                <w:szCs w:val="16"/>
                <w:color w:val="auto"/>
              </w:rPr>
            </w:pPr>
          </w:p>
        </w:tc>
        <w:tc>
          <w:tcPr>
            <w:tcW w:w="56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Statement).</w:t>
            </w:r>
          </w:p>
        </w:tc>
      </w:tr>
    </w:tbl>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9919"/>
          </w:cols>
          <w:pgMar w:left="540" w:top="301"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ind w:left="6860"/>
        <w:spacing w:after="0"/>
        <w:rPr>
          <w:sz w:val="20"/>
          <w:szCs w:val="20"/>
          <w:color w:val="auto"/>
        </w:rPr>
      </w:pPr>
      <w:r>
        <w:rPr>
          <w:rFonts w:ascii="Courier New" w:cs="Courier New" w:eastAsia="Courier New" w:hAnsi="Courier New"/>
          <w:sz w:val="17"/>
          <w:szCs w:val="17"/>
          <w:color w:val="auto"/>
        </w:rPr>
        <w:t>EXHIBIT 5.1</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HALE AND DORR LLP</w:t>
      </w:r>
    </w:p>
    <w:p>
      <w:pPr>
        <w:ind w:left="3080"/>
        <w:spacing w:after="0" w:line="238" w:lineRule="auto"/>
        <w:rPr>
          <w:sz w:val="20"/>
          <w:szCs w:val="20"/>
          <w:color w:val="auto"/>
        </w:rPr>
      </w:pPr>
      <w:r>
        <w:rPr>
          <w:rFonts w:ascii="Courier New" w:cs="Courier New" w:eastAsia="Courier New" w:hAnsi="Courier New"/>
          <w:sz w:val="17"/>
          <w:szCs w:val="17"/>
          <w:color w:val="auto"/>
        </w:rPr>
        <w:t>COUNSELLORS AT LAW</w:t>
      </w:r>
    </w:p>
    <w:p>
      <w:pPr>
        <w:ind w:left="1800"/>
        <w:spacing w:after="0" w:line="238" w:lineRule="auto"/>
        <w:rPr>
          <w:sz w:val="20"/>
          <w:szCs w:val="20"/>
          <w:color w:val="auto"/>
        </w:rPr>
      </w:pPr>
      <w:r>
        <w:rPr>
          <w:rFonts w:ascii="Courier New" w:cs="Courier New" w:eastAsia="Courier New" w:hAnsi="Courier New"/>
          <w:sz w:val="17"/>
          <w:szCs w:val="17"/>
          <w:color w:val="auto"/>
        </w:rPr>
        <w:t>60 STATE STREET, BOSTON, MASSACHUSETTS 02109</w:t>
      </w:r>
    </w:p>
    <w:p>
      <w:pPr>
        <w:ind w:left="2480"/>
        <w:spacing w:after="0"/>
        <w:rPr>
          <w:sz w:val="20"/>
          <w:szCs w:val="20"/>
          <w:color w:val="auto"/>
        </w:rPr>
      </w:pPr>
      <w:r>
        <w:rPr>
          <w:rFonts w:ascii="Courier New" w:cs="Courier New" w:eastAsia="Courier New" w:hAnsi="Courier New"/>
          <w:sz w:val="17"/>
          <w:szCs w:val="17"/>
          <w:color w:val="auto"/>
        </w:rPr>
        <w:t>617-526-6000 - FAX 617-526-5000</w:t>
      </w:r>
    </w:p>
    <w:p>
      <w:pPr>
        <w:spacing w:after="0" w:line="18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January 12, 2001</w:t>
      </w:r>
    </w:p>
    <w:p>
      <w:pPr>
        <w:spacing w:after="0" w:line="238" w:lineRule="auto"/>
        <w:rPr>
          <w:sz w:val="20"/>
          <w:szCs w:val="20"/>
          <w:color w:val="auto"/>
        </w:rPr>
      </w:pPr>
      <w:r>
        <w:rPr>
          <w:rFonts w:ascii="Courier New" w:cs="Courier New" w:eastAsia="Courier New" w:hAnsi="Courier New"/>
          <w:sz w:val="17"/>
          <w:szCs w:val="17"/>
          <w:color w:val="auto"/>
        </w:rPr>
        <w:t>Analog Devices, Inc.</w:t>
      </w:r>
    </w:p>
    <w:p>
      <w:pPr>
        <w:spacing w:after="0" w:line="238" w:lineRule="auto"/>
        <w:rPr>
          <w:sz w:val="20"/>
          <w:szCs w:val="20"/>
          <w:color w:val="auto"/>
        </w:rPr>
      </w:pPr>
      <w:r>
        <w:rPr>
          <w:rFonts w:ascii="Courier New" w:cs="Courier New" w:eastAsia="Courier New" w:hAnsi="Courier New"/>
          <w:sz w:val="17"/>
          <w:szCs w:val="17"/>
          <w:color w:val="auto"/>
        </w:rPr>
        <w:t>One Technology Way</w:t>
      </w:r>
    </w:p>
    <w:p>
      <w:pPr>
        <w:spacing w:after="0"/>
        <w:rPr>
          <w:sz w:val="20"/>
          <w:szCs w:val="20"/>
          <w:color w:val="auto"/>
        </w:rPr>
      </w:pPr>
      <w:r>
        <w:rPr>
          <w:rFonts w:ascii="Courier New" w:cs="Courier New" w:eastAsia="Courier New" w:hAnsi="Courier New"/>
          <w:sz w:val="17"/>
          <w:szCs w:val="17"/>
          <w:color w:val="auto"/>
        </w:rPr>
        <w:t>Norwood, Massachusetts 02062-9106</w:t>
      </w:r>
    </w:p>
    <w:p>
      <w:pPr>
        <w:spacing w:after="0" w:line="18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Registration Statement on Form S-3</w:t>
      </w:r>
    </w:p>
    <w:p>
      <w:pPr>
        <w:ind w:left="90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6"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This opinion is furnished to you in connection with a Registration Statement on Form S-3 (the "Registration Statement") to be filed with the Securities and Exchange Commission (the "Commission") under the Securities Act of 1933, as amended (the "Securities Act"), for the registration of an aggregate of 63,750 shares of Common Stock, $0.16 2/3 par value per share (the "Shares"), of Analog Devices, Inc., a Massachusetts corporation (the "Company"). All of the Shares are being registered on behalf of certain stockholders of the Company (the "Selling Stockholders").</w:t>
      </w:r>
    </w:p>
    <w:p>
      <w:pPr>
        <w:spacing w:after="0" w:line="200"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are acting as counsel for the Company in connection with the registration for resale of the Shares. We have examined signed copies of the Registration Statement to be filed with the Commission. We have also examined and relied upon minutes of meetings of the Board of Directors of the Company as provided to us by the Company, the Articles of Organization and By-Laws of the Company, each as restated and/or amended to date, and such other documents as we have deemed necessary for purposes of rendering the opinions hereinafter set forth.</w:t>
      </w:r>
    </w:p>
    <w:p>
      <w:pPr>
        <w:spacing w:after="0" w:line="200"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Our opinion below, insofar as it relates to the Selling Stockholders' shares being fully paid, is based solely on a certificate of the Chief Financial Officer of the Company confirming the Company's receipt of the consideration called for by the applicable resolutions authorizing the issuance of such shares.</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We assume that the appropriate action will be taken, prior to the offer and sale of the Shares, to register and qualify the Shares for sale under all applicable state securities or "blue sky" laws.</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We express no opinion herein as to the laws of any state or jurisdiction other than the state laws of the Commonwealth of Massachusetts, and the federal laws of the United States of America.</w:t>
      </w:r>
    </w:p>
    <w:p>
      <w:pPr>
        <w:spacing w:after="0" w:line="197"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Based upon and subject to the foregoing, we are of the opinion that the Shares have been duly authorized and are validly issued, fully paid and nonassessable.</w:t>
      </w:r>
    </w:p>
    <w:p>
      <w:pPr>
        <w:spacing w:after="0" w:line="197" w:lineRule="exact"/>
        <w:rPr>
          <w:sz w:val="20"/>
          <w:szCs w:val="20"/>
          <w:color w:val="auto"/>
        </w:rPr>
      </w:pPr>
    </w:p>
    <w:p>
      <w:pPr>
        <w:jc w:val="both"/>
        <w:ind w:right="2659" w:firstLine="895"/>
        <w:spacing w:after="0" w:line="236" w:lineRule="auto"/>
        <w:rPr>
          <w:sz w:val="20"/>
          <w:szCs w:val="20"/>
          <w:color w:val="auto"/>
        </w:rPr>
      </w:pPr>
      <w:r>
        <w:rPr>
          <w:rFonts w:ascii="Courier New" w:cs="Courier New" w:eastAsia="Courier New" w:hAnsi="Courier New"/>
          <w:sz w:val="17"/>
          <w:szCs w:val="17"/>
          <w:color w:val="auto"/>
        </w:rPr>
        <w:t>It is understood that this opinion is to be used only in connection with the offer and sale of the Shares while the Registration Statement is in effect.</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0" w:lineRule="exact"/>
        <w:rPr>
          <w:sz w:val="20"/>
          <w:szCs w:val="20"/>
          <w:color w:val="auto"/>
        </w:rPr>
      </w:pPr>
    </w:p>
    <w:p>
      <w:pPr>
        <w:spacing w:after="0" w:line="374" w:lineRule="exact"/>
        <w:rPr>
          <w:sz w:val="20"/>
          <w:szCs w:val="20"/>
          <w:color w:val="auto"/>
        </w:rPr>
      </w:pPr>
    </w:p>
    <w:p>
      <w:pPr>
        <w:spacing w:after="0"/>
        <w:tabs>
          <w:tab w:leader="none" w:pos="1080" w:val="left"/>
          <w:tab w:leader="none" w:pos="3260" w:val="left"/>
          <w:tab w:leader="none" w:pos="4860" w:val="left"/>
          <w:tab w:leader="none" w:pos="7240" w:val="left"/>
        </w:tabs>
        <w:rPr>
          <w:sz w:val="20"/>
          <w:szCs w:val="20"/>
          <w:color w:val="auto"/>
        </w:rPr>
      </w:pPr>
      <w:r>
        <w:rPr>
          <w:rFonts w:ascii="Courier New" w:cs="Courier New" w:eastAsia="Courier New" w:hAnsi="Courier New"/>
          <w:sz w:val="17"/>
          <w:szCs w:val="17"/>
          <w:color w:val="auto"/>
        </w:rPr>
        <w:t>BOSTON</w:t>
      </w:r>
      <w:r>
        <w:rPr>
          <w:sz w:val="20"/>
          <w:szCs w:val="20"/>
          <w:color w:val="auto"/>
        </w:rPr>
        <w:tab/>
      </w: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7"/>
          <w:szCs w:val="17"/>
          <w:color w:val="auto"/>
        </w:rPr>
        <w:t>NEW YORK</w:t>
      </w:r>
      <w:r>
        <w:rPr>
          <w:sz w:val="20"/>
          <w:szCs w:val="20"/>
          <w:color w:val="auto"/>
        </w:rPr>
        <w:tab/>
      </w:r>
      <w:r>
        <w:rPr>
          <w:rFonts w:ascii="Courier New" w:cs="Courier New" w:eastAsia="Courier New" w:hAnsi="Courier New"/>
          <w:sz w:val="17"/>
          <w:szCs w:val="17"/>
          <w:color w:val="auto"/>
        </w:rPr>
        <w:t>RESTON, VA</w:t>
      </w:r>
      <w:r>
        <w:rPr>
          <w:sz w:val="20"/>
          <w:szCs w:val="20"/>
          <w:color w:val="auto"/>
        </w:rPr>
        <w:tab/>
      </w:r>
      <w:r>
        <w:rPr>
          <w:rFonts w:ascii="Courier New" w:cs="Courier New" w:eastAsia="Courier New" w:hAnsi="Courier New"/>
          <w:sz w:val="16"/>
          <w:szCs w:val="16"/>
          <w:color w:val="auto"/>
        </w:rPr>
        <w:t>LONDON*</w:t>
      </w:r>
    </w:p>
    <w:p>
      <w:pPr>
        <w:spacing w:after="0" w:line="5" w:lineRule="exact"/>
        <w:rPr>
          <w:sz w:val="20"/>
          <w:szCs w:val="20"/>
          <w:color w:val="auto"/>
        </w:rPr>
      </w:pPr>
    </w:p>
    <w:p>
      <w:pPr>
        <w:ind w:left="200" w:hanging="198"/>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0" w:right="3659" w:hanging="597"/>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Hale and Dorr LLP Includes Professional Corporations * an independent joint venture law firm</w:t>
      </w:r>
    </w:p>
    <w:p>
      <w:pPr>
        <w:sectPr>
          <w:pgSz w:w="11900" w:h="16838" w:orient="portrait"/>
          <w:cols w:equalWidth="0" w:num="1">
            <w:col w:w="10219"/>
          </w:cols>
          <w:pgMar w:left="240" w:top="13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Analog Devices, Inc.</w:t>
      </w:r>
    </w:p>
    <w:p>
      <w:pPr>
        <w:spacing w:after="0" w:line="238" w:lineRule="auto"/>
        <w:rPr>
          <w:sz w:val="20"/>
          <w:szCs w:val="20"/>
          <w:color w:val="auto"/>
        </w:rPr>
      </w:pPr>
      <w:r>
        <w:rPr>
          <w:rFonts w:ascii="Courier New" w:cs="Courier New" w:eastAsia="Courier New" w:hAnsi="Courier New"/>
          <w:sz w:val="17"/>
          <w:szCs w:val="17"/>
          <w:color w:val="auto"/>
        </w:rPr>
        <w:t>January 12, 2001</w:t>
      </w:r>
    </w:p>
    <w:p>
      <w:pPr>
        <w:spacing w:after="0" w:line="238" w:lineRule="auto"/>
        <w:rPr>
          <w:sz w:val="20"/>
          <w:szCs w:val="20"/>
          <w:color w:val="auto"/>
        </w:rPr>
      </w:pPr>
      <w:r>
        <w:rPr>
          <w:rFonts w:ascii="Courier New" w:cs="Courier New" w:eastAsia="Courier New" w:hAnsi="Courier New"/>
          <w:sz w:val="17"/>
          <w:szCs w:val="17"/>
          <w:color w:val="auto"/>
        </w:rPr>
        <w:t>Page 2</w:t>
      </w:r>
    </w:p>
    <w:p>
      <w:pPr>
        <w:spacing w:after="0" w:line="197" w:lineRule="exact"/>
        <w:rPr>
          <w:sz w:val="20"/>
          <w:szCs w:val="20"/>
          <w:color w:val="auto"/>
        </w:rPr>
      </w:pPr>
    </w:p>
    <w:p>
      <w:pPr>
        <w:ind w:right="2259" w:firstLine="895"/>
        <w:spacing w:after="0" w:line="237" w:lineRule="auto"/>
        <w:rPr>
          <w:sz w:val="20"/>
          <w:szCs w:val="20"/>
          <w:color w:val="auto"/>
        </w:rPr>
      </w:pPr>
      <w:r>
        <w:rPr>
          <w:rFonts w:ascii="Courier New" w:cs="Courier New" w:eastAsia="Courier New" w:hAnsi="Courier New"/>
          <w:sz w:val="17"/>
          <w:szCs w:val="17"/>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92"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Hale and Dorr LLP</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HALE AND DORR LLP</w:t>
      </w:r>
    </w:p>
    <w:p>
      <w:pPr>
        <w:sectPr>
          <w:pgSz w:w="11900" w:h="16838" w:orient="portrait"/>
          <w:cols w:equalWidth="0" w:num="1">
            <w:col w:w="10219"/>
          </w:cols>
          <w:pgMar w:left="240" w:top="301"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23.1</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INDEPENDENT AUDITORS' CONSENT</w:t>
      </w:r>
    </w:p>
    <w:p>
      <w:pPr>
        <w:spacing w:after="0" w:line="38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 consent to the reference to our firm under the caption "Experts" in the Registration Statement (Form S-3) and related Prospectus of Analog Devices, Inc. for the registration of 63,750 shares of its common stock and to the incorporation by reference therein of our report dated November 30, 1999, with respect to the consolidated financial statements of Analog Devices, Inc. incorporated by reference in its Annual Report (Form 10-K) for the year ended October 30, 1999, and our report dated January 25, 2000 with respect to the related financial statement schedule included therein, filed with the Securities and Exchange Commission.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Ernst &amp; Young LLP</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Massachusetts</w:t>
      </w:r>
    </w:p>
    <w:p>
      <w:pPr>
        <w:spacing w:after="0" w:line="238" w:lineRule="auto"/>
        <w:rPr>
          <w:sz w:val="20"/>
          <w:szCs w:val="20"/>
          <w:color w:val="auto"/>
        </w:rPr>
      </w:pPr>
      <w:r>
        <w:rPr>
          <w:rFonts w:ascii="Courier New" w:cs="Courier New" w:eastAsia="Courier New" w:hAnsi="Courier New"/>
          <w:sz w:val="17"/>
          <w:szCs w:val="17"/>
          <w:color w:val="auto"/>
        </w:rPr>
        <w:t>January 9, 2001</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2019-12-20T04:56:28Z</dcterms:created>
  <dcterms:modified xsi:type="dcterms:W3CDTF">2019-12-20T04:56:28Z</dcterms:modified>
</cp:coreProperties>
</file>