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March 13,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ind w:left="3840"/>
        <w:spacing w:after="0"/>
        <w:rPr>
          <w:sz w:val="20"/>
          <w:szCs w:val="20"/>
          <w:color w:val="auto"/>
        </w:rPr>
      </w:pPr>
      <w:r>
        <w:rPr>
          <w:rFonts w:ascii="Arial" w:cs="Arial" w:eastAsia="Arial" w:hAnsi="Arial"/>
          <w:sz w:val="43"/>
          <w:szCs w:val="43"/>
          <w:b w:val="1"/>
          <w:bCs w:val="1"/>
          <w:color w:val="auto"/>
        </w:rPr>
        <w:t>Analog Devices,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160" w:type="dxa"/>
            <w:vAlign w:val="bottom"/>
          </w:tcPr>
          <w:p>
            <w:pPr>
              <w:jc w:val="center"/>
              <w:ind w:right="2524"/>
              <w:spacing w:after="0"/>
              <w:rPr>
                <w:sz w:val="20"/>
                <w:szCs w:val="20"/>
                <w:color w:val="auto"/>
              </w:rPr>
            </w:pPr>
            <w:r>
              <w:rPr>
                <w:rFonts w:ascii="Arial" w:cs="Arial" w:eastAsia="Arial" w:hAnsi="Arial"/>
                <w:sz w:val="18"/>
                <w:szCs w:val="18"/>
                <w:b w:val="1"/>
                <w:bCs w:val="1"/>
                <w:color w:val="auto"/>
                <w:w w:val="83"/>
              </w:rPr>
              <w:t>Massachusetts</w:t>
            </w:r>
          </w:p>
        </w:tc>
        <w:tc>
          <w:tcPr>
            <w:tcW w:w="2300" w:type="dxa"/>
            <w:vAlign w:val="bottom"/>
          </w:tcPr>
          <w:p>
            <w:pPr>
              <w:jc w:val="center"/>
              <w:ind w:right="1206"/>
              <w:spacing w:after="0"/>
              <w:rPr>
                <w:sz w:val="20"/>
                <w:szCs w:val="20"/>
                <w:color w:val="auto"/>
              </w:rPr>
            </w:pPr>
            <w:r>
              <w:rPr>
                <w:rFonts w:ascii="Arial" w:cs="Arial" w:eastAsia="Arial" w:hAnsi="Arial"/>
                <w:sz w:val="18"/>
                <w:szCs w:val="18"/>
                <w:b w:val="1"/>
                <w:bCs w:val="1"/>
                <w:color w:val="auto"/>
                <w:w w:val="89"/>
              </w:rPr>
              <w:t>1-7819</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04-2348234</w:t>
            </w:r>
          </w:p>
        </w:tc>
      </w:tr>
      <w:tr>
        <w:trPr>
          <w:trHeight w:val="149"/>
        </w:trPr>
        <w:tc>
          <w:tcPr>
            <w:tcW w:w="4160" w:type="dxa"/>
            <w:vAlign w:val="bottom"/>
          </w:tcPr>
          <w:p>
            <w:pPr>
              <w:jc w:val="center"/>
              <w:ind w:right="254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00" w:type="dxa"/>
            <w:vAlign w:val="bottom"/>
          </w:tcPr>
          <w:p>
            <w:pPr>
              <w:jc w:val="center"/>
              <w:ind w:right="122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160" w:type="dxa"/>
            <w:vAlign w:val="bottom"/>
          </w:tcPr>
          <w:p>
            <w:pPr>
              <w:jc w:val="center"/>
              <w:ind w:right="2544"/>
              <w:spacing w:after="0"/>
              <w:rPr>
                <w:sz w:val="20"/>
                <w:szCs w:val="20"/>
                <w:color w:val="auto"/>
              </w:rPr>
            </w:pPr>
            <w:r>
              <w:rPr>
                <w:rFonts w:ascii="Arial" w:cs="Arial" w:eastAsia="Arial" w:hAnsi="Arial"/>
                <w:sz w:val="14"/>
                <w:szCs w:val="14"/>
                <w:b w:val="1"/>
                <w:bCs w:val="1"/>
                <w:color w:val="auto"/>
                <w:w w:val="87"/>
              </w:rPr>
              <w:t>of incorporation</w:t>
            </w:r>
          </w:p>
        </w:tc>
        <w:tc>
          <w:tcPr>
            <w:tcW w:w="2300" w:type="dxa"/>
            <w:vAlign w:val="bottom"/>
          </w:tcPr>
          <w:p>
            <w:pPr>
              <w:jc w:val="center"/>
              <w:ind w:right="1206"/>
              <w:spacing w:after="0"/>
              <w:rPr>
                <w:sz w:val="20"/>
                <w:szCs w:val="20"/>
                <w:color w:val="auto"/>
              </w:rPr>
            </w:pPr>
            <w:r>
              <w:rPr>
                <w:rFonts w:ascii="Arial" w:cs="Arial" w:eastAsia="Arial" w:hAnsi="Arial"/>
                <w:sz w:val="14"/>
                <w:szCs w:val="14"/>
                <w:b w:val="1"/>
                <w:bCs w:val="1"/>
                <w:color w:val="auto"/>
                <w:w w:val="91"/>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160" w:type="dxa"/>
            <w:vAlign w:val="bottom"/>
          </w:tcPr>
          <w:p>
            <w:pPr>
              <w:jc w:val="center"/>
              <w:ind w:left="1064"/>
              <w:spacing w:after="0"/>
              <w:rPr>
                <w:sz w:val="20"/>
                <w:szCs w:val="20"/>
                <w:color w:val="auto"/>
              </w:rPr>
            </w:pPr>
            <w:r>
              <w:rPr>
                <w:rFonts w:ascii="Arial" w:cs="Arial" w:eastAsia="Arial" w:hAnsi="Arial"/>
                <w:sz w:val="18"/>
                <w:szCs w:val="18"/>
                <w:b w:val="1"/>
                <w:bCs w:val="1"/>
                <w:color w:val="auto"/>
                <w:w w:val="88"/>
              </w:rPr>
              <w:t>One Technology Way, Norwood, MA</w:t>
            </w:r>
          </w:p>
        </w:tc>
        <w:tc>
          <w:tcPr>
            <w:tcW w:w="2300" w:type="dxa"/>
            <w:vAlign w:val="bottom"/>
          </w:tcPr>
          <w:p>
            <w:pPr>
              <w:spacing w:after="0"/>
              <w:rPr>
                <w:sz w:val="24"/>
                <w:szCs w:val="24"/>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02062</w:t>
            </w:r>
          </w:p>
        </w:tc>
      </w:tr>
      <w:tr>
        <w:trPr>
          <w:trHeight w:val="174"/>
        </w:trPr>
        <w:tc>
          <w:tcPr>
            <w:tcW w:w="4160" w:type="dxa"/>
            <w:vAlign w:val="bottom"/>
          </w:tcPr>
          <w:p>
            <w:pPr>
              <w:jc w:val="center"/>
              <w:ind w:left="1084"/>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0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375"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102870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3.01. Notice of Delisting or Failure to Satisfy a Continue Listing Rule or Standard; Transfer of Listing.</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March 13, 2012, the Board of Directors (the “Board”) of Analog Devices, Inc. (the “Company”) approved the voluntary withdrawal of the Company’s common stock (the “Common Stock”) from listing on the New York Stock Exchange. The Board also approved the listing of the Common Stock on The NASDAQ Global Select Market (“NASDAQ”). The Common Stock is expected to commence trading on NASDAQ on or about April 2, 2012 under the Company’s current trading symbol, “ADI”. The Company expects that the Common Stock will cease trading on the New York Stock Exchange effective upon the close of market on March 30, 2012.</w:t>
      </w:r>
    </w:p>
    <w:p>
      <w:pPr>
        <w:spacing w:after="0" w:line="143"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On March 13, 2012, the Company provided written notice to NYSE and issued a press release announcing that the transfer of the listing of the Common Stock to NASDAQ, a copy of which is attached as Exhibit 99.1 to this Current Report on Form 8-K and incorporated herein by reference.</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Voting Results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of Shareholders of Analog Devices, Inc., held on March 13, 2012, the proposals listed below were submitted to a vote of our shareholders.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proposals are described in our definitive proxy statement for the annual meeting.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Proposal 1 – The election of nine nominees to our Board of Directors each for a term of one year.</w:t>
      </w:r>
    </w:p>
    <w:p>
      <w:pPr>
        <w:spacing w:after="0" w:line="9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The nine (9) nominees named in the definitive proxy statement were elected to serve as directors until the 2013 annual meeting. Information as to the vote on each director standing for election is provided below:</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7"/>
              </w:rPr>
              <w:t>Nominee</w:t>
            </w:r>
          </w:p>
        </w:tc>
        <w:tc>
          <w:tcPr>
            <w:tcW w:w="5800" w:type="dxa"/>
            <w:vAlign w:val="bottom"/>
            <w:vMerge w:val="restart"/>
          </w:tcPr>
          <w:p>
            <w:pPr>
              <w:spacing w:after="0"/>
              <w:rPr>
                <w:sz w:val="14"/>
                <w:szCs w:val="14"/>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Votes</w:t>
            </w: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8"/>
              </w:rPr>
              <w:t>Votes</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Votes</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Broker</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5800" w:type="dxa"/>
            <w:vAlign w:val="bottom"/>
            <w:vMerge w:val="continue"/>
          </w:tcPr>
          <w:p>
            <w:pPr>
              <w:spacing w:after="0"/>
              <w:rPr>
                <w:sz w:val="14"/>
                <w:szCs w:val="14"/>
                <w:color w:val="auto"/>
              </w:rPr>
            </w:pPr>
          </w:p>
        </w:tc>
        <w:tc>
          <w:tcPr>
            <w:tcW w:w="12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7"/>
              </w:rPr>
              <w:t>For</w:t>
            </w:r>
          </w:p>
        </w:tc>
        <w:tc>
          <w:tcPr>
            <w:tcW w:w="1040" w:type="dxa"/>
            <w:vAlign w:val="bottom"/>
            <w:gridSpan w:val="2"/>
          </w:tcPr>
          <w:p>
            <w:pPr>
              <w:jc w:val="center"/>
              <w:ind w:right="320"/>
              <w:spacing w:after="0" w:line="148" w:lineRule="exact"/>
              <w:rPr>
                <w:sz w:val="20"/>
                <w:szCs w:val="20"/>
                <w:color w:val="auto"/>
              </w:rPr>
            </w:pPr>
            <w:r>
              <w:rPr>
                <w:rFonts w:ascii="Arial" w:cs="Arial" w:eastAsia="Arial" w:hAnsi="Arial"/>
                <w:sz w:val="14"/>
                <w:szCs w:val="14"/>
                <w:b w:val="1"/>
                <w:bCs w:val="1"/>
                <w:color w:val="auto"/>
                <w:w w:val="85"/>
              </w:rPr>
              <w:t>Against</w:t>
            </w:r>
          </w:p>
        </w:tc>
        <w:tc>
          <w:tcPr>
            <w:tcW w:w="940" w:type="dxa"/>
            <w:vAlign w:val="bottom"/>
            <w:gridSpan w:val="2"/>
          </w:tcPr>
          <w:p>
            <w:pPr>
              <w:jc w:val="right"/>
              <w:ind w:right="300"/>
              <w:spacing w:after="0" w:line="148" w:lineRule="exact"/>
              <w:rPr>
                <w:sz w:val="20"/>
                <w:szCs w:val="20"/>
                <w:color w:val="auto"/>
              </w:rPr>
            </w:pPr>
            <w:r>
              <w:rPr>
                <w:rFonts w:ascii="Arial" w:cs="Arial" w:eastAsia="Arial" w:hAnsi="Arial"/>
                <w:sz w:val="14"/>
                <w:szCs w:val="14"/>
                <w:b w:val="1"/>
                <w:bCs w:val="1"/>
                <w:color w:val="auto"/>
                <w:w w:val="85"/>
              </w:rPr>
              <w:t>Abstaining</w:t>
            </w:r>
          </w:p>
        </w:tc>
        <w:tc>
          <w:tcPr>
            <w:tcW w:w="9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5"/>
              </w:rPr>
              <w:t>Non-Votes</w:t>
            </w:r>
          </w:p>
        </w:tc>
        <w:tc>
          <w:tcPr>
            <w:tcW w:w="0" w:type="dxa"/>
            <w:vAlign w:val="bottom"/>
          </w:tcPr>
          <w:p>
            <w:pPr>
              <w:spacing w:after="0"/>
              <w:rPr>
                <w:sz w:val="1"/>
                <w:szCs w:val="1"/>
                <w:color w:val="auto"/>
              </w:rPr>
            </w:pP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Ray Stata</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235,360,237</w:t>
            </w:r>
          </w:p>
        </w:tc>
        <w:tc>
          <w:tcPr>
            <w:tcW w:w="3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1,269,567</w:t>
            </w: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104,494</w:t>
            </w: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18,543,362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Jerald G. Fishman</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234,213,761</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2,384,631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135,906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James A. Champy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234,954,921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1,434,731</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344,646</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John C. Hodgson</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235,763,188</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624,084</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347,026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Yves-Andre Istel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234,540,482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1,797,002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396,814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Neil Novich</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231,412,595</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4,974,349</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347,354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 Grant Saviers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230,200,972</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6,190,277</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343,049</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b w:val="1"/>
                <w:bCs w:val="1"/>
                <w:color w:val="auto"/>
              </w:rPr>
              <w:t>Paul J. Severino</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231,467,499</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4,928,083</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338,716</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Kenton J. Sicchitano</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235,651,296</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735,928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347,074</w:t>
            </w: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18,543,362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i w:val="1"/>
          <w:iCs w:val="1"/>
          <w:u w:val="single" w:color="auto"/>
          <w:color w:val="auto"/>
        </w:rPr>
        <w:t>Proposal 2 – The approval of the compensation of our named executive officers, as described in the Compensation Discussion and Analysis, executive compensation tables and accompanying narrative disclosure in our proxy statement.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shareholders approved, on an advisory basis, the compensation of our named executive officers. The voting results were as follows: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Broker</w:t>
            </w:r>
          </w:p>
        </w:tc>
      </w:tr>
      <w:tr>
        <w:trPr>
          <w:trHeight w:val="161"/>
        </w:trPr>
        <w:tc>
          <w:tcPr>
            <w:tcW w:w="2880" w:type="dxa"/>
            <w:vAlign w:val="bottom"/>
            <w:gridSpan w:val="2"/>
          </w:tcPr>
          <w:p>
            <w:pPr>
              <w:jc w:val="center"/>
              <w:ind w:right="1900"/>
              <w:spacing w:after="0"/>
              <w:rPr>
                <w:sz w:val="20"/>
                <w:szCs w:val="20"/>
                <w:color w:val="auto"/>
              </w:rPr>
            </w:pPr>
            <w:r>
              <w:rPr>
                <w:rFonts w:ascii="Arial" w:cs="Arial" w:eastAsia="Arial" w:hAnsi="Arial"/>
                <w:sz w:val="14"/>
                <w:szCs w:val="14"/>
                <w:b w:val="1"/>
                <w:bCs w:val="1"/>
                <w:color w:val="auto"/>
                <w:w w:val="83"/>
              </w:rPr>
              <w:t>Votes For</w:t>
            </w:r>
          </w:p>
        </w:tc>
        <w:tc>
          <w:tcPr>
            <w:tcW w:w="2800" w:type="dxa"/>
            <w:vAlign w:val="bottom"/>
            <w:gridSpan w:val="2"/>
          </w:tcPr>
          <w:p>
            <w:pPr>
              <w:ind w:left="60"/>
              <w:spacing w:after="0"/>
              <w:rPr>
                <w:sz w:val="20"/>
                <w:szCs w:val="20"/>
                <w:color w:val="auto"/>
              </w:rPr>
            </w:pPr>
            <w:r>
              <w:rPr>
                <w:rFonts w:ascii="Arial" w:cs="Arial" w:eastAsia="Arial" w:hAnsi="Arial"/>
                <w:sz w:val="14"/>
                <w:szCs w:val="14"/>
                <w:b w:val="1"/>
                <w:bCs w:val="1"/>
                <w:color w:val="auto"/>
              </w:rPr>
              <w:t>Votes Against</w:t>
            </w:r>
          </w:p>
        </w:tc>
        <w:tc>
          <w:tcPr>
            <w:tcW w:w="3000" w:type="dxa"/>
            <w:vAlign w:val="bottom"/>
            <w:gridSpan w:val="2"/>
          </w:tcPr>
          <w:p>
            <w:pPr>
              <w:jc w:val="center"/>
              <w:ind w:right="1920"/>
              <w:spacing w:after="0"/>
              <w:rPr>
                <w:sz w:val="20"/>
                <w:szCs w:val="20"/>
                <w:color w:val="auto"/>
              </w:rPr>
            </w:pPr>
            <w:r>
              <w:rPr>
                <w:rFonts w:ascii="Arial" w:cs="Arial" w:eastAsia="Arial" w:hAnsi="Arial"/>
                <w:sz w:val="14"/>
                <w:szCs w:val="14"/>
                <w:b w:val="1"/>
                <w:bCs w:val="1"/>
                <w:color w:val="auto"/>
                <w:w w:val="83"/>
              </w:rPr>
              <w:t>Votes Abstaining</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2"/>
              </w:rPr>
              <w:t>Non-Votes</w:t>
            </w:r>
          </w:p>
        </w:tc>
      </w:tr>
      <w:tr>
        <w:trPr>
          <w:trHeight w:val="210"/>
        </w:trPr>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207,347,328</w:t>
            </w:r>
          </w:p>
        </w:tc>
        <w:tc>
          <w:tcPr>
            <w:tcW w:w="19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0"/>
              </w:rPr>
              <w:t>26,963,095</w:t>
            </w:r>
          </w:p>
        </w:tc>
        <w:tc>
          <w:tcPr>
            <w:tcW w:w="19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122"/>
              <w:spacing w:after="0"/>
              <w:rPr>
                <w:sz w:val="20"/>
                <w:szCs w:val="20"/>
                <w:color w:val="auto"/>
              </w:rPr>
            </w:pPr>
            <w:r>
              <w:rPr>
                <w:rFonts w:ascii="Arial" w:cs="Arial" w:eastAsia="Arial" w:hAnsi="Arial"/>
                <w:sz w:val="18"/>
                <w:szCs w:val="18"/>
                <w:color w:val="auto"/>
              </w:rPr>
              <w:t>2,423,875</w:t>
            </w:r>
          </w:p>
        </w:tc>
        <w:tc>
          <w:tcPr>
            <w:tcW w:w="19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18,543,362</w:t>
            </w:r>
          </w:p>
        </w:tc>
      </w:tr>
    </w:tbl>
    <w:p>
      <w:pPr>
        <w:sectPr>
          <w:pgSz w:w="11900" w:h="16838" w:orient="portrait"/>
          <w:cols w:equalWidth="0" w:num="1">
            <w:col w:w="11400"/>
          </w:cols>
          <w:pgMar w:left="240" w:top="274" w:right="259" w:bottom="1440" w:gutter="0" w:footer="0" w:header="0"/>
        </w:sectPr>
      </w:pPr>
    </w:p>
    <w:bookmarkStart w:id="2" w:name="page3"/>
    <w:bookmarkEnd w:id="2"/>
    <w:p>
      <w:pPr>
        <w:spacing w:after="0" w:line="268" w:lineRule="auto"/>
        <w:rPr>
          <w:sz w:val="20"/>
          <w:szCs w:val="20"/>
          <w:color w:val="auto"/>
        </w:rPr>
      </w:pPr>
      <w:r>
        <w:rPr>
          <w:rFonts w:ascii="Arial" w:cs="Arial" w:eastAsia="Arial" w:hAnsi="Arial"/>
          <w:sz w:val="18"/>
          <w:szCs w:val="18"/>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3 – The ratification of the selection of Ernst &amp; Young LLP as our independent registered public accounting firm for the fiscal year ending November 3, 2012.</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shareholders ratified the Company’s selection of Ernst &amp; Young as our independent registered public accounting firm for the fiscal year ending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3, 2012. The voting results were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340" w:type="dxa"/>
            <w:vAlign w:val="bottom"/>
            <w:gridSpan w:val="2"/>
          </w:tcPr>
          <w:p>
            <w:pPr>
              <w:jc w:val="center"/>
              <w:ind w:right="3440"/>
              <w:spacing w:after="0"/>
              <w:rPr>
                <w:sz w:val="20"/>
                <w:szCs w:val="20"/>
                <w:color w:val="auto"/>
              </w:rPr>
            </w:pPr>
            <w:r>
              <w:rPr>
                <w:rFonts w:ascii="Arial" w:cs="Arial" w:eastAsia="Arial" w:hAnsi="Arial"/>
                <w:sz w:val="14"/>
                <w:szCs w:val="14"/>
                <w:b w:val="1"/>
                <w:bCs w:val="1"/>
                <w:color w:val="auto"/>
                <w:w w:val="83"/>
              </w:rPr>
              <w:t>Votes For</w:t>
            </w:r>
          </w:p>
        </w:tc>
        <w:tc>
          <w:tcPr>
            <w:tcW w:w="4240" w:type="dxa"/>
            <w:vAlign w:val="bottom"/>
            <w:gridSpan w:val="2"/>
          </w:tcPr>
          <w:p>
            <w:pPr>
              <w:jc w:val="center"/>
              <w:ind w:right="3440"/>
              <w:spacing w:after="0"/>
              <w:rPr>
                <w:sz w:val="20"/>
                <w:szCs w:val="20"/>
                <w:color w:val="auto"/>
              </w:rPr>
            </w:pPr>
            <w:r>
              <w:rPr>
                <w:rFonts w:ascii="Arial" w:cs="Arial" w:eastAsia="Arial" w:hAnsi="Arial"/>
                <w:sz w:val="14"/>
                <w:szCs w:val="14"/>
                <w:b w:val="1"/>
                <w:bCs w:val="1"/>
                <w:color w:val="auto"/>
                <w:w w:val="81"/>
              </w:rPr>
              <w:t>Votes Against</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Votes Abstaining</w:t>
            </w:r>
          </w:p>
        </w:tc>
      </w:tr>
      <w:tr>
        <w:trPr>
          <w:trHeight w:val="210"/>
        </w:trPr>
        <w:tc>
          <w:tcPr>
            <w:tcW w:w="920" w:type="dxa"/>
            <w:vAlign w:val="bottom"/>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252,472,432</w:t>
            </w:r>
          </w:p>
        </w:tc>
        <w:tc>
          <w:tcPr>
            <w:tcW w:w="3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2,572,090</w:t>
            </w:r>
          </w:p>
        </w:tc>
        <w:tc>
          <w:tcPr>
            <w:tcW w:w="34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42"/>
              <w:spacing w:after="0"/>
              <w:rPr>
                <w:sz w:val="20"/>
                <w:szCs w:val="20"/>
                <w:color w:val="auto"/>
              </w:rPr>
            </w:pPr>
            <w:r>
              <w:rPr>
                <w:rFonts w:ascii="Arial" w:cs="Arial" w:eastAsia="Arial" w:hAnsi="Arial"/>
                <w:sz w:val="18"/>
                <w:szCs w:val="18"/>
                <w:color w:val="auto"/>
              </w:rPr>
              <w:t>233,138</w:t>
            </w:r>
          </w:p>
        </w:tc>
      </w:tr>
      <w:tr>
        <w:trPr>
          <w:trHeight w:val="457"/>
        </w:trPr>
        <w:tc>
          <w:tcPr>
            <w:tcW w:w="5260" w:type="dxa"/>
            <w:vAlign w:val="bottom"/>
            <w:gridSpan w:val="3"/>
          </w:tcPr>
          <w:p>
            <w:pPr>
              <w:spacing w:after="0"/>
              <w:rPr>
                <w:sz w:val="20"/>
                <w:szCs w:val="20"/>
                <w:color w:val="auto"/>
              </w:rPr>
            </w:pPr>
            <w:r>
              <w:rPr>
                <w:rFonts w:ascii="Arial" w:cs="Arial" w:eastAsia="Arial" w:hAnsi="Arial"/>
                <w:sz w:val="18"/>
                <w:szCs w:val="18"/>
                <w:b w:val="1"/>
                <w:bCs w:val="1"/>
                <w:color w:val="auto"/>
              </w:rPr>
              <w:t>Item 9.01. Financial Statements and Exhibits.</w:t>
            </w: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97"/>
        </w:trPr>
        <w:tc>
          <w:tcPr>
            <w:tcW w:w="526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See the Exhibit Index attached to this Current Report on Form 8-K, which is incorporated herein by reference.</w:t>
      </w:r>
    </w:p>
    <w:p>
      <w:pPr>
        <w:sectPr>
          <w:pgSz w:w="11900" w:h="16838" w:orient="portrait"/>
          <w:cols w:equalWidth="0" w:num="1">
            <w:col w:w="11300"/>
          </w:cols>
          <w:pgMar w:left="240" w:top="280" w:right="359" w:bottom="1440" w:gutter="0" w:footer="0" w:header="0"/>
        </w:sectPr>
      </w:pPr>
    </w:p>
    <w:bookmarkStart w:id="3" w:name="page4"/>
    <w:bookmarkEnd w:id="3"/>
    <w:p>
      <w:pPr>
        <w:jc w:val="center"/>
        <w:ind w:right="-87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spacing w:after="0"/>
        <w:tabs>
          <w:tab w:leader="none" w:pos="5820" w:val="left"/>
        </w:tabs>
        <w:rPr>
          <w:sz w:val="20"/>
          <w:szCs w:val="20"/>
          <w:color w:val="auto"/>
        </w:rPr>
      </w:pPr>
      <w:r>
        <w:rPr>
          <w:rFonts w:ascii="Arial" w:cs="Arial" w:eastAsia="Arial" w:hAnsi="Arial"/>
          <w:sz w:val="18"/>
          <w:szCs w:val="18"/>
          <w:color w:val="auto"/>
        </w:rPr>
        <w:t>Date: March 15, 2012</w:t>
      </w:r>
      <w:r>
        <w:rPr>
          <w:sz w:val="20"/>
          <w:szCs w:val="20"/>
          <w:color w:val="auto"/>
        </w:rPr>
        <w:tab/>
      </w:r>
      <w:r>
        <w:rPr>
          <w:rFonts w:ascii="Arial" w:cs="Arial" w:eastAsia="Arial" w:hAnsi="Arial"/>
          <w:sz w:val="16"/>
          <w:szCs w:val="16"/>
          <w:color w:val="auto"/>
        </w:rPr>
        <w:t>ANALOG DEVICES, INC.</w:t>
      </w:r>
    </w:p>
    <w:p>
      <w:pPr>
        <w:spacing w:after="0" w:line="225" w:lineRule="exact"/>
        <w:rPr>
          <w:sz w:val="20"/>
          <w:szCs w:val="20"/>
          <w:color w:val="auto"/>
        </w:rPr>
      </w:pPr>
    </w:p>
    <w:p>
      <w:pPr>
        <w:ind w:left="5840"/>
        <w:spacing w:after="0"/>
        <w:tabs>
          <w:tab w:leader="none" w:pos="6260" w:val="left"/>
        </w:tabs>
        <w:rPr>
          <w:sz w:val="20"/>
          <w:szCs w:val="20"/>
          <w:color w:val="auto"/>
        </w:rPr>
      </w:pPr>
      <w:r>
        <w:rPr>
          <w:rFonts w:ascii="Arial" w:cs="Arial" w:eastAsia="Arial" w:hAnsi="Arial"/>
          <w:sz w:val="18"/>
          <w:szCs w:val="18"/>
          <w:color w:val="auto"/>
        </w:rPr>
        <w:t>By:</w:t>
        <w:tab/>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A. Zinsner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Vice President, Finance and Chief Financial Officer</w:t>
      </w:r>
    </w:p>
    <w:p>
      <w:pPr>
        <w:sectPr>
          <w:pgSz w:w="11900" w:h="16838" w:orient="portrait"/>
          <w:cols w:equalWidth="0" w:num="1">
            <w:col w:w="10540"/>
          </w:cols>
          <w:pgMar w:left="240" w:top="280" w:right="1119" w:bottom="1440" w:gutter="0" w:footer="0" w:header="0"/>
        </w:sectPr>
      </w:pPr>
    </w:p>
    <w:bookmarkStart w:id="4" w:name="page5"/>
    <w:bookmarkEnd w:id="4"/>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100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by Analog Devices, Inc. on March 13, 2012</w:t>
      </w:r>
    </w:p>
    <w:p>
      <w:pPr>
        <w:sectPr>
          <w:pgSz w:w="11900" w:h="16838" w:orient="portrait"/>
          <w:cols w:equalWidth="0" w:num="1">
            <w:col w:w="10219"/>
          </w:cols>
          <w:pgMar w:left="240" w:top="274"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WILL MOVE TO NASDAQ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Ticker symbol will remain ADI</w:t>
      </w:r>
    </w:p>
    <w:p>
      <w:pPr>
        <w:spacing w:after="0" w:line="15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NORWOOD, Mass</w:t>
      </w:r>
      <w:r>
        <w:rPr>
          <w:rFonts w:ascii="Arial" w:cs="Arial" w:eastAsia="Arial" w:hAnsi="Arial"/>
          <w:sz w:val="18"/>
          <w:szCs w:val="18"/>
          <w:color w:val="auto"/>
        </w:rPr>
        <w:t>. – Analog Devices, Inc. (ADI) (NYSE: ADI) today announced that it will be transferring its stock exchange listing to The NASDAQ Global</w:t>
      </w:r>
      <w:r>
        <w:rPr>
          <w:rFonts w:ascii="Arial" w:cs="Arial" w:eastAsia="Arial" w:hAnsi="Arial"/>
          <w:sz w:val="18"/>
          <w:szCs w:val="18"/>
          <w:b w:val="1"/>
          <w:bCs w:val="1"/>
          <w:color w:val="auto"/>
        </w:rPr>
        <w:t xml:space="preserve"> </w:t>
      </w:r>
      <w:r>
        <w:rPr>
          <w:rFonts w:ascii="Arial" w:cs="Arial" w:eastAsia="Arial" w:hAnsi="Arial"/>
          <w:sz w:val="18"/>
          <w:szCs w:val="18"/>
          <w:color w:val="auto"/>
        </w:rPr>
        <w:t>Select Market from The New York Stock Exchange. Effective April 2, 2012, ADI shares will begin trading as a NASDAQ-listed security under the symbol “ADI.”</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“NASDAQ is recognized throughout the world for being synonymous with technology and innovation. Not only are the foremost technology companies listed on NASDAQ, but also the exchange employs leading technology to provide excellent service, making it a great fit for ADI,” said David Zinsner, vice president of finance and chief financial officer for Analog Devices.</w:t>
      </w:r>
    </w:p>
    <w:p>
      <w:pPr>
        <w:spacing w:after="0" w:line="140"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“We are thrilled that Analog Devices is joining NASDAQ. ADI is an innovation leader in analog technology, one of the most critical areas in the new economy. As more electronics go digital, ADI’s technology plays an increasingly important role in bridging the real world with the digital world, throughout communications, manufacturing, transportation, and energy. We are proud to welcome a company with such a strong and sustainable technology franchise to NASDAQ,” said Bruce Aust, Executive Vice President, Global Corporate Client Group, NASDAQ.</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Analog Devices</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Innovation, performance, and excellence are the cultural pillars on which Analog Devices has built one of the longest standing, highest growth companies within the technology sector. Acknowledged industry-wide as the world leader in data conversion and signal conditioning technology, Analog Devices serves over 60,000 customers, representing virtually all types of electronic equipment. Analog Devices is headquartered in Norwood, Massachusetts, with design and manufacturing facilities throughout the world. Analog Devices is included in the S&amp;P 500 Index.</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2019-12-09T05:42:07Z</dcterms:created>
  <dcterms:modified xsi:type="dcterms:W3CDTF">2019-12-09T05:42:07Z</dcterms:modified>
</cp:coreProperties>
</file>