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Cotter Martin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Vertical Business Units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64,637.846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of the Company earned in connection with Performance-Based Restricted Stock Units granted on April 3, 2023. The shares were earned based on the achievement of certain pre-established performance parameters relating to the Company's financial performance over a one-year performance period, two-year cumulative performance period and three-year cumulative performance period at 25.3% of target. The shares will vest on March 15, 2026, subject to the Reporting Person's continued employment with the Company.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5760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2025-12-10T15:17:32Z</dcterms:created>
  <dcterms:modified xsi:type="dcterms:W3CDTF">2025-12-10T15:17:32Z</dcterms:modified>
</cp:coreProperties>
</file>