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ectPr>
          <w:pgSz w:w="11900" w:h="16838" w:orient="portrait"/>
          <w:cols w:equalWidth="0" w:num="1">
            <w:col w:w="11260"/>
          </w:cols>
          <w:pgMar w:left="240" w:top="118" w:right="399" w:bottom="1440" w:gutter="0" w:footer="0" w:header="0"/>
        </w:sectPr>
      </w:pPr>
    </w:p>
    <w:p>
      <w:pPr>
        <w:spacing w:after="0" w:line="186" w:lineRule="exact"/>
        <w:rPr>
          <w:sz w:val="20"/>
          <w:szCs w:val="20"/>
          <w:color w:val="auto"/>
        </w:rPr>
      </w:pPr>
    </w:p>
    <w:p>
      <w:pPr>
        <w:ind w:left="3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 (d) OF THE</w:t>
      </w:r>
    </w:p>
    <w:p>
      <w:pPr>
        <w:spacing w:after="0" w:line="43"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7" w:lineRule="exact"/>
        <w:rPr>
          <w:sz w:val="20"/>
          <w:szCs w:val="20"/>
          <w:color w:val="auto"/>
        </w:rPr>
      </w:pPr>
    </w:p>
    <w:p>
      <w:pPr>
        <w:sectPr>
          <w:pgSz w:w="11900" w:h="16838" w:orient="portrait"/>
          <w:cols w:equalWidth="0" w:num="2">
            <w:col w:w="1940" w:space="720"/>
            <w:col w:w="8600"/>
          </w:cols>
          <w:pgMar w:left="240" w:top="118" w:right="3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For the quarterly period ended April 30, 2005</w:t>
      </w:r>
    </w:p>
    <w:p>
      <w:pPr>
        <w:spacing w:after="0" w:line="1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ectPr>
          <w:pgSz w:w="11900" w:h="16838" w:orient="portrait"/>
          <w:cols w:equalWidth="0" w:num="1">
            <w:col w:w="11260"/>
          </w:cols>
          <w:pgMar w:left="240" w:top="118" w:right="39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 (d) OF THE</w:t>
      </w:r>
    </w:p>
    <w:p>
      <w:pPr>
        <w:spacing w:after="0" w:line="30"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7" w:lineRule="exact"/>
        <w:rPr>
          <w:sz w:val="20"/>
          <w:szCs w:val="20"/>
          <w:color w:val="auto"/>
        </w:rPr>
      </w:pPr>
    </w:p>
    <w:p>
      <w:pPr>
        <w:sectPr>
          <w:pgSz w:w="11900" w:h="16838" w:orient="portrait"/>
          <w:cols w:equalWidth="0" w:num="2">
            <w:col w:w="1940" w:space="720"/>
            <w:col w:w="8600"/>
          </w:cols>
          <w:pgMar w:left="240" w:top="118" w:right="399" w:bottom="1440" w:gutter="0" w:footer="0" w:header="0"/>
          <w:type w:val="continuous"/>
        </w:sectPr>
      </w:pPr>
    </w:p>
    <w:p>
      <w:pPr>
        <w:ind w:left="3040"/>
        <w:spacing w:after="0"/>
        <w:rPr>
          <w:sz w:val="20"/>
          <w:szCs w:val="20"/>
          <w:color w:val="auto"/>
        </w:rPr>
      </w:pPr>
      <w:r>
        <w:rPr>
          <w:rFonts w:ascii="Times New Roman" w:cs="Times New Roman" w:eastAsia="Times New Roman" w:hAnsi="Times New Roman"/>
          <w:sz w:val="17"/>
          <w:szCs w:val="17"/>
          <w:b w:val="1"/>
          <w:bCs w:val="1"/>
          <w:color w:val="auto"/>
        </w:rPr>
        <w:t>For the transition period from_______________ to ________________</w:t>
      </w:r>
    </w:p>
    <w:p>
      <w:pPr>
        <w:spacing w:after="0" w:line="1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No. 1-7819</w:t>
      </w: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60"/>
          </w:cols>
          <w:pgMar w:left="240" w:top="118" w:right="399" w:bottom="1440" w:gutter="0" w:footer="0" w:header="0"/>
          <w:type w:val="continuous"/>
        </w:sectPr>
      </w:pPr>
    </w:p>
    <w:p>
      <w:pPr>
        <w:spacing w:after="0" w:line="22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31"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200" w:lineRule="exact"/>
        <w:rPr>
          <w:sz w:val="20"/>
          <w:szCs w:val="20"/>
          <w:color w:val="auto"/>
        </w:rPr>
      </w:pPr>
    </w:p>
    <w:p>
      <w:pPr>
        <w:sectPr>
          <w:pgSz w:w="11900" w:h="16838" w:orient="portrait"/>
          <w:cols w:equalWidth="0" w:num="2">
            <w:col w:w="7320" w:space="720"/>
            <w:col w:w="3220"/>
          </w:cols>
          <w:pgMar w:left="240" w:top="118" w:right="399" w:bottom="1440" w:gutter="0" w:footer="0" w:header="0"/>
          <w:type w:val="continuous"/>
        </w:sectPr>
      </w:pP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One Technology Way, Norwood, MA</w:t>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02062-9106</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(Zip Code)</w:t>
      </w:r>
    </w:p>
    <w:p>
      <w:pPr>
        <w:spacing w:after="0" w:line="176" w:lineRule="exact"/>
        <w:rPr>
          <w:sz w:val="20"/>
          <w:szCs w:val="20"/>
          <w:color w:val="auto"/>
        </w:rPr>
      </w:pPr>
    </w:p>
    <w:p>
      <w:pPr>
        <w:sectPr>
          <w:pgSz w:w="11900" w:h="16838" w:orient="portrait"/>
          <w:cols w:equalWidth="0" w:num="2">
            <w:col w:w="7560" w:space="720"/>
            <w:col w:w="2980"/>
          </w:cols>
          <w:pgMar w:left="240" w:top="118" w:right="3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(781) 329-4700</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124460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type w:val="continuous"/>
        </w:sectPr>
      </w:pPr>
    </w:p>
    <w:p>
      <w:pPr>
        <w:spacing w:after="0" w:line="367" w:lineRule="exact"/>
        <w:rPr>
          <w:sz w:val="20"/>
          <w:szCs w:val="20"/>
          <w:color w:val="auto"/>
        </w:rPr>
      </w:pPr>
    </w:p>
    <w:p>
      <w:pPr>
        <w:ind w:firstLine="22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23" w:lineRule="exact"/>
        <w:rPr>
          <w:sz w:val="20"/>
          <w:szCs w:val="20"/>
          <w:color w:val="auto"/>
        </w:rPr>
      </w:pPr>
    </w:p>
    <w:p>
      <w:pPr>
        <w:ind w:left="220" w:right="1620" w:firstLine="1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 As of April 30, 2005 there were 370,002,637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type w:val="continuous"/>
        </w:sectPr>
      </w:pPr>
    </w:p>
    <w:bookmarkStart w:id="2" w:name="page3"/>
    <w:bookmarkEnd w:id="2"/>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jc w:val="right"/>
        <w:ind w:right="5959"/>
        <w:spacing w:after="0"/>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1"/>
            <w:szCs w:val="21"/>
            <w:u w:val="single" w:color="auto"/>
            <w:color w:val="0000EE"/>
          </w:rPr>
          <w:t>PART I — FINANCIAL INFORMATION</w:t>
        </w:r>
      </w:hyperlink>
    </w:p>
    <w:p>
      <w:pPr>
        <w:spacing w:after="0" w:line="16" w:lineRule="exact"/>
        <w:rPr>
          <w:sz w:val="20"/>
          <w:szCs w:val="20"/>
          <w:color w:val="auto"/>
        </w:rPr>
      </w:pPr>
    </w:p>
    <w:p>
      <w:pPr>
        <w:jc w:val="right"/>
        <w:ind w:right="5939"/>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1. FINANCIAL STATEMENTS</w:t>
        </w:r>
      </w:hyperlink>
    </w:p>
    <w:p>
      <w:pPr>
        <w:ind w:left="320" w:right="779"/>
        <w:spacing w:after="0" w:line="230" w:lineRule="auto"/>
        <w:rPr>
          <w:rFonts w:ascii="Times New Roman" w:cs="Times New Roman" w:eastAsia="Times New Roman" w:hAnsi="Times New Roman"/>
          <w:sz w:val="22"/>
          <w:szCs w:val="22"/>
          <w:u w:val="single" w:color="auto"/>
          <w:color w:val="0000EE"/>
        </w:rPr>
      </w:pPr>
      <w:hyperlink w:anchor="page19">
        <w:r>
          <w:rPr>
            <w:rFonts w:ascii="Times New Roman" w:cs="Times New Roman" w:eastAsia="Times New Roman" w:hAnsi="Times New Roman"/>
            <w:sz w:val="22"/>
            <w:szCs w:val="22"/>
            <w:u w:val="single" w:color="auto"/>
            <w:color w:val="0000EE"/>
          </w:rPr>
          <w:t>ITEM 2. Management’s Discussion and Analysis of Financial Condition and Results of Operations</w:t>
        </w:r>
      </w:hyperlink>
      <w:r>
        <w:rPr>
          <w:rFonts w:ascii="Times New Roman" w:cs="Times New Roman" w:eastAsia="Times New Roman" w:hAnsi="Times New Roman"/>
          <w:sz w:val="22"/>
          <w:szCs w:val="22"/>
          <w:u w:val="single" w:color="auto"/>
          <w:color w:val="0000EE"/>
        </w:rPr>
        <w:t xml:space="preserve"> </w:t>
      </w:r>
      <w:hyperlink w:anchor="page29">
        <w:r>
          <w:rPr>
            <w:rFonts w:ascii="Times New Roman" w:cs="Times New Roman" w:eastAsia="Times New Roman" w:hAnsi="Times New Roman"/>
            <w:sz w:val="22"/>
            <w:szCs w:val="22"/>
            <w:u w:val="single" w:color="auto"/>
            <w:color w:val="0000EE"/>
          </w:rPr>
          <w:t>ITEM 3. Quantitative and Qualitative Disclosures About Market Risk</w:t>
        </w:r>
      </w:hyperlink>
      <w:r>
        <w:rPr>
          <w:rFonts w:ascii="Times New Roman" w:cs="Times New Roman" w:eastAsia="Times New Roman" w:hAnsi="Times New Roman"/>
          <w:sz w:val="22"/>
          <w:szCs w:val="22"/>
          <w:u w:val="single" w:color="auto"/>
          <w:color w:val="0000EE"/>
        </w:rPr>
        <w:t xml:space="preserve"> </w:t>
      </w:r>
      <w:hyperlink w:anchor="page29">
        <w:r>
          <w:rPr>
            <w:rFonts w:ascii="Times New Roman" w:cs="Times New Roman" w:eastAsia="Times New Roman" w:hAnsi="Times New Roman"/>
            <w:sz w:val="22"/>
            <w:szCs w:val="22"/>
            <w:u w:val="single" w:color="auto"/>
            <w:color w:val="0000EE"/>
          </w:rPr>
          <w:t>ITEM 4. Controls and Procedures</w:t>
        </w:r>
      </w:hyperlink>
    </w:p>
    <w:p>
      <w:pPr>
        <w:spacing w:after="0" w:line="232" w:lineRule="auto"/>
        <w:rPr>
          <w:rFonts w:ascii="Times New Roman" w:cs="Times New Roman" w:eastAsia="Times New Roman" w:hAnsi="Times New Roman"/>
          <w:sz w:val="22"/>
          <w:szCs w:val="22"/>
          <w:u w:val="single" w:color="auto"/>
          <w:color w:val="0000EE"/>
        </w:rPr>
      </w:pPr>
      <w:hyperlink w:anchor="page30">
        <w:r>
          <w:rPr>
            <w:rFonts w:ascii="Times New Roman" w:cs="Times New Roman" w:eastAsia="Times New Roman" w:hAnsi="Times New Roman"/>
            <w:sz w:val="22"/>
            <w:szCs w:val="22"/>
            <w:u w:val="single" w:color="auto"/>
            <w:color w:val="0000EE"/>
          </w:rPr>
          <w:t>PART II — OTHER INFORMATION</w:t>
        </w:r>
      </w:hyperlink>
    </w:p>
    <w:p>
      <w:pPr>
        <w:spacing w:after="0" w:line="1" w:lineRule="exact"/>
        <w:rPr>
          <w:rFonts w:ascii="Times New Roman" w:cs="Times New Roman" w:eastAsia="Times New Roman" w:hAnsi="Times New Roman"/>
          <w:sz w:val="22"/>
          <w:szCs w:val="22"/>
          <w:u w:val="single" w:color="auto"/>
          <w:color w:val="0000EE"/>
        </w:rPr>
      </w:pPr>
    </w:p>
    <w:p>
      <w:pPr>
        <w:ind w:left="320" w:right="3299"/>
        <w:spacing w:after="0" w:line="230" w:lineRule="auto"/>
        <w:rPr>
          <w:rFonts w:ascii="Times New Roman" w:cs="Times New Roman" w:eastAsia="Times New Roman" w:hAnsi="Times New Roman"/>
          <w:sz w:val="22"/>
          <w:szCs w:val="22"/>
          <w:u w:val="single" w:color="auto"/>
          <w:color w:val="0000EE"/>
        </w:rPr>
      </w:pPr>
      <w:hyperlink w:anchor="page30">
        <w:r>
          <w:rPr>
            <w:rFonts w:ascii="Times New Roman" w:cs="Times New Roman" w:eastAsia="Times New Roman" w:hAnsi="Times New Roman"/>
            <w:sz w:val="22"/>
            <w:szCs w:val="22"/>
            <w:u w:val="single" w:color="auto"/>
            <w:color w:val="0000EE"/>
          </w:rPr>
          <w:t>ITEM 2. Unregistered Sales of Equity Securities and Use of Proceeds</w:t>
        </w:r>
      </w:hyperlink>
      <w:r>
        <w:rPr>
          <w:rFonts w:ascii="Times New Roman" w:cs="Times New Roman" w:eastAsia="Times New Roman" w:hAnsi="Times New Roman"/>
          <w:sz w:val="22"/>
          <w:szCs w:val="22"/>
          <w:u w:val="single" w:color="auto"/>
          <w:color w:val="0000EE"/>
        </w:rPr>
        <w:t xml:space="preserve"> </w:t>
      </w:r>
      <w:hyperlink w:anchor="page30">
        <w:r>
          <w:rPr>
            <w:rFonts w:ascii="Times New Roman" w:cs="Times New Roman" w:eastAsia="Times New Roman" w:hAnsi="Times New Roman"/>
            <w:sz w:val="22"/>
            <w:szCs w:val="22"/>
            <w:u w:val="single" w:color="auto"/>
            <w:color w:val="0000EE"/>
          </w:rPr>
          <w:t>ITEM 4. Submission of Matters to a Vote of Security Holders</w:t>
        </w:r>
      </w:hyperlink>
      <w:r>
        <w:rPr>
          <w:rFonts w:ascii="Times New Roman" w:cs="Times New Roman" w:eastAsia="Times New Roman" w:hAnsi="Times New Roman"/>
          <w:sz w:val="22"/>
          <w:szCs w:val="22"/>
          <w:u w:val="single" w:color="auto"/>
          <w:color w:val="0000EE"/>
        </w:rPr>
        <w:t xml:space="preserve"> </w:t>
      </w:r>
      <w:hyperlink w:anchor="page31">
        <w:r>
          <w:rPr>
            <w:rFonts w:ascii="Times New Roman" w:cs="Times New Roman" w:eastAsia="Times New Roman" w:hAnsi="Times New Roman"/>
            <w:sz w:val="22"/>
            <w:szCs w:val="22"/>
            <w:u w:val="single" w:color="auto"/>
            <w:color w:val="0000EE"/>
          </w:rPr>
          <w:t>ITEM 6. Exhibits</w:t>
        </w:r>
      </w:hyperlink>
    </w:p>
    <w:p>
      <w:pPr>
        <w:spacing w:after="0" w:line="232" w:lineRule="auto"/>
        <w:rPr>
          <w:rFonts w:ascii="Times New Roman" w:cs="Times New Roman" w:eastAsia="Times New Roman" w:hAnsi="Times New Roman"/>
          <w:sz w:val="22"/>
          <w:szCs w:val="22"/>
          <w:u w:val="single" w:color="auto"/>
          <w:color w:val="0000EE"/>
        </w:rPr>
      </w:pPr>
      <w:hyperlink w:anchor="page32">
        <w:r>
          <w:rPr>
            <w:rFonts w:ascii="Times New Roman" w:cs="Times New Roman" w:eastAsia="Times New Roman" w:hAnsi="Times New Roman"/>
            <w:sz w:val="22"/>
            <w:szCs w:val="22"/>
            <w:u w:val="single" w:color="auto"/>
            <w:color w:val="0000EE"/>
          </w:rPr>
          <w:t>SIGNATURES</w:t>
        </w:r>
      </w:hyperlink>
    </w:p>
    <w:p>
      <w:pPr>
        <w:spacing w:after="0" w:line="231" w:lineRule="auto"/>
        <w:rPr>
          <w:rFonts w:ascii="Times New Roman" w:cs="Times New Roman" w:eastAsia="Times New Roman" w:hAnsi="Times New Roman"/>
          <w:sz w:val="22"/>
          <w:szCs w:val="22"/>
          <w:u w:val="single" w:color="auto"/>
          <w:color w:val="0000EE"/>
        </w:rPr>
      </w:pPr>
      <w:hyperlink w:anchor="page33">
        <w:r>
          <w:rPr>
            <w:rFonts w:ascii="Times New Roman" w:cs="Times New Roman" w:eastAsia="Times New Roman" w:hAnsi="Times New Roman"/>
            <w:sz w:val="22"/>
            <w:szCs w:val="22"/>
            <w:u w:val="single" w:color="auto"/>
            <w:color w:val="0000EE"/>
          </w:rPr>
          <w:t>Exhibit Index</w:t>
        </w:r>
      </w:hyperlink>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Ex-31.1 Section 302 Certification of C.E.O.</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Ex-31.2 Section 302 Certification of C.F.O.</w:t>
      </w:r>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Ex-32.1 Section 906 Certification of C.E.O.</w:t>
      </w:r>
    </w:p>
    <w:p>
      <w:pPr>
        <w:spacing w:after="0" w:line="1" w:lineRule="exact"/>
        <w:rPr>
          <w:rFonts w:ascii="Times New Roman" w:cs="Times New Roman" w:eastAsia="Times New Roman" w:hAnsi="Times New Roman"/>
          <w:sz w:val="22"/>
          <w:szCs w:val="22"/>
          <w:u w:val="single" w:color="auto"/>
          <w:color w:val="0000EE"/>
        </w:rPr>
      </w:pPr>
    </w:p>
    <w:p>
      <w:pPr>
        <w:spacing w:after="0"/>
        <w:rPr>
          <w:sz w:val="20"/>
          <w:szCs w:val="20"/>
          <w:color w:val="auto"/>
        </w:rPr>
      </w:pPr>
      <w:r>
        <w:rPr>
          <w:rFonts w:ascii="Times New Roman" w:cs="Times New Roman" w:eastAsia="Times New Roman" w:hAnsi="Times New Roman"/>
          <w:sz w:val="22"/>
          <w:szCs w:val="22"/>
          <w:u w:val="single" w:color="auto"/>
          <w:color w:val="0000EE"/>
        </w:rPr>
        <w:t>Ex-32.2 Section 906 Certification of C.F.O.</w:t>
      </w:r>
    </w:p>
    <w:p>
      <w:pPr>
        <w:spacing w:after="0" w:line="20" w:lineRule="exact"/>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except per share amounts)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April 30, 2005</w:t>
            </w:r>
          </w:p>
        </w:tc>
        <w:tc>
          <w:tcPr>
            <w:tcW w:w="940" w:type="dxa"/>
            <w:vAlign w:val="bottom"/>
            <w:tcBorders>
              <w:top w:val="single" w:sz="8" w:color="auto"/>
            </w:tcBorders>
            <w:gridSpan w:val="3"/>
          </w:tcPr>
          <w:p>
            <w:pPr>
              <w:ind w:left="200"/>
              <w:spacing w:after="0" w:line="142" w:lineRule="exact"/>
              <w:rPr>
                <w:sz w:val="20"/>
                <w:szCs w:val="20"/>
                <w:color w:val="auto"/>
              </w:rPr>
            </w:pPr>
            <w:r>
              <w:rPr>
                <w:rFonts w:ascii="Times New Roman" w:cs="Times New Roman" w:eastAsia="Times New Roman" w:hAnsi="Times New Roman"/>
                <w:sz w:val="14"/>
                <w:szCs w:val="14"/>
                <w:color w:val="auto"/>
              </w:rPr>
              <w:t>May 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780" w:type="dxa"/>
            <w:vAlign w:val="bottom"/>
            <w:gridSpan w:val="2"/>
            <w:shd w:val="clear" w:color="auto" w:fill="CCEEFF"/>
          </w:tcPr>
          <w:p>
            <w:pPr>
              <w:ind w:left="4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603,726</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678,530</w:t>
            </w:r>
          </w:p>
        </w:tc>
        <w:tc>
          <w:tcPr>
            <w:tcW w:w="0" w:type="dxa"/>
            <w:vAlign w:val="bottom"/>
          </w:tcPr>
          <w:p>
            <w:pPr>
              <w:spacing w:after="0"/>
              <w:rPr>
                <w:sz w:val="1"/>
                <w:szCs w:val="1"/>
                <w:color w:val="auto"/>
              </w:rPr>
            </w:pPr>
          </w:p>
        </w:tc>
      </w:tr>
      <w:tr>
        <w:trPr>
          <w:trHeight w:val="43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257,327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277,008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346,399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401,522</w:t>
            </w:r>
          </w:p>
        </w:tc>
        <w:tc>
          <w:tcPr>
            <w:tcW w:w="0" w:type="dxa"/>
            <w:vAlign w:val="bottom"/>
          </w:tcPr>
          <w:p>
            <w:pPr>
              <w:spacing w:after="0"/>
              <w:rPr>
                <w:sz w:val="1"/>
                <w:szCs w:val="1"/>
                <w:color w:val="auto"/>
              </w:rPr>
            </w:pPr>
          </w:p>
        </w:tc>
      </w:tr>
      <w:tr>
        <w:trPr>
          <w:trHeight w:val="43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126,642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4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212,455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213,760</w:t>
            </w:r>
          </w:p>
        </w:tc>
        <w:tc>
          <w:tcPr>
            <w:tcW w:w="0" w:type="dxa"/>
            <w:vAlign w:val="bottom"/>
          </w:tcPr>
          <w:p>
            <w:pPr>
              <w:spacing w:after="0"/>
              <w:rPr>
                <w:sz w:val="1"/>
                <w:szCs w:val="1"/>
                <w:color w:val="auto"/>
              </w:rPr>
            </w:pPr>
          </w:p>
        </w:tc>
      </w:tr>
      <w:tr>
        <w:trPr>
          <w:trHeight w:val="43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133,944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(7,232)</w:t>
            </w:r>
          </w:p>
        </w:tc>
        <w:tc>
          <w:tcPr>
            <w:tcW w:w="0" w:type="dxa"/>
            <w:vAlign w:val="bottom"/>
          </w:tcPr>
          <w:p>
            <w:pPr>
              <w:spacing w:after="0"/>
              <w:rPr>
                <w:sz w:val="1"/>
                <w:szCs w:val="1"/>
                <w:color w:val="auto"/>
              </w:rPr>
            </w:pPr>
          </w:p>
        </w:tc>
      </w:tr>
      <w:tr>
        <w:trPr>
          <w:trHeight w:val="43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780" w:type="dxa"/>
            <w:vAlign w:val="bottom"/>
            <w:gridSpan w:val="2"/>
          </w:tcPr>
          <w:p>
            <w:pPr>
              <w:ind w:left="4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117,599</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4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382,337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4780" w:type="dxa"/>
            <w:vAlign w:val="bottom"/>
            <w:gridSpan w:val="2"/>
            <w:shd w:val="clear" w:color="auto" w:fill="CCEEFF"/>
          </w:tcPr>
          <w:p>
            <w:pPr>
              <w:ind w:left="4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4780" w:type="dxa"/>
            <w:vAlign w:val="bottom"/>
            <w:gridSpan w:val="2"/>
          </w:tcPr>
          <w:p>
            <w:pPr>
              <w:ind w:left="4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4780" w:type="dxa"/>
            <w:vAlign w:val="bottom"/>
            <w:gridSpan w:val="2"/>
            <w:shd w:val="clear" w:color="auto" w:fill="CCEEFF"/>
          </w:tcPr>
          <w:p>
            <w:pPr>
              <w:ind w:left="4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w:t>
            </w: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00" w:type="dxa"/>
            <w:vAlign w:val="bottom"/>
            <w:gridSpan w:val="2"/>
            <w:vMerge w:val="continue"/>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except per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April 30, 2005</w:t>
            </w:r>
          </w:p>
        </w:tc>
        <w:tc>
          <w:tcPr>
            <w:tcW w:w="4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May 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580" w:type="dxa"/>
            <w:vAlign w:val="bottom"/>
            <w:gridSpan w:val="2"/>
            <w:shd w:val="clear" w:color="auto" w:fill="CCEEFF"/>
          </w:tcPr>
          <w:p>
            <w:pPr>
              <w:ind w:left="4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1,184,262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1,283,883</w:t>
            </w:r>
          </w:p>
        </w:tc>
        <w:tc>
          <w:tcPr>
            <w:tcW w:w="0" w:type="dxa"/>
            <w:vAlign w:val="bottom"/>
          </w:tcPr>
          <w:p>
            <w:pPr>
              <w:spacing w:after="0"/>
              <w:rPr>
                <w:sz w:val="1"/>
                <w:szCs w:val="1"/>
                <w:color w:val="auto"/>
              </w:rPr>
            </w:pPr>
          </w:p>
        </w:tc>
      </w:tr>
      <w:tr>
        <w:trPr>
          <w:trHeight w:val="43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502,335</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536,896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681,927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746,987</w:t>
            </w:r>
          </w:p>
        </w:tc>
        <w:tc>
          <w:tcPr>
            <w:tcW w:w="0" w:type="dxa"/>
            <w:vAlign w:val="bottom"/>
          </w:tcPr>
          <w:p>
            <w:pPr>
              <w:spacing w:after="0"/>
              <w:rPr>
                <w:sz w:val="1"/>
                <w:szCs w:val="1"/>
                <w:color w:val="auto"/>
              </w:rPr>
            </w:pPr>
          </w:p>
        </w:tc>
      </w:tr>
      <w:tr>
        <w:trPr>
          <w:trHeight w:val="43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254,176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169,154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423,330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413,628</w:t>
            </w:r>
          </w:p>
        </w:tc>
        <w:tc>
          <w:tcPr>
            <w:tcW w:w="0" w:type="dxa"/>
            <w:vAlign w:val="bottom"/>
          </w:tcPr>
          <w:p>
            <w:pPr>
              <w:spacing w:after="0"/>
              <w:rPr>
                <w:sz w:val="1"/>
                <w:szCs w:val="1"/>
                <w:color w:val="auto"/>
              </w:rPr>
            </w:pPr>
          </w:p>
        </w:tc>
      </w:tr>
      <w:tr>
        <w:trPr>
          <w:trHeight w:val="43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258,597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(31,247)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(30,751)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(11,429)</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289,348</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64,306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75,366</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225,042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373,117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373,458</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385,222</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458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4580" w:type="dxa"/>
            <w:vAlign w:val="bottom"/>
            <w:gridSpan w:val="2"/>
            <w:shd w:val="clear" w:color="auto" w:fill="CCEEFF"/>
          </w:tcPr>
          <w:p>
            <w:pPr>
              <w:ind w:left="4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w:t>
            </w:r>
          </w:p>
        </w:tc>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00" w:type="dxa"/>
            <w:vAlign w:val="bottom"/>
            <w:gridSpan w:val="2"/>
            <w:vMerge w:val="continue"/>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460" w:type="dxa"/>
            <w:vAlign w:val="bottom"/>
          </w:tcPr>
          <w:p>
            <w:pPr>
              <w:jc w:val="right"/>
              <w:ind w:right="33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April 30, 2005</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October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8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314,368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2,302,891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320,366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Raw materials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13,792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Work in process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237,844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Finished goods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96,810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348,446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107,000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53,611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7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3,446,682</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Land and buildings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357,435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Machinery and equipment</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1,289,827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 equipment</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85,122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Leasehold improvements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108,747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1,841,131</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1,204,882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7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636,249</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300,796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3,010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163,373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4,690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30,470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assets</w:t>
            </w:r>
          </w:p>
        </w:tc>
        <w:tc>
          <w:tcPr>
            <w:tcW w:w="2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502,339</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4,585,270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except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April 30, 2005</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October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105,739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on shipments to distributors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128,957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172,425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129,246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536,367</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303,364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21,671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333,035</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$1.00 par value, 471,934 shares authorized, none outstanding</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$0.16 2/3 par value, 1,200,000,000 shares authorized, 370,002,637 shares issued and outstanding</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(375,840,444 on October 30, 2004)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61,668</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507,111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3,153,837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(6,748)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3,715,868</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4,585,270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color w:val="auto"/>
              </w:rPr>
              <w:t>April 30, 2005</w:t>
            </w:r>
          </w:p>
        </w:tc>
        <w:tc>
          <w:tcPr>
            <w:tcW w:w="9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May 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225,042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77,326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on sale of investment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Deferred income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non-cash expense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(22,062)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adjustments</w:t>
            </w: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67,033</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428,146</w:t>
            </w:r>
          </w:p>
        </w:tc>
        <w:tc>
          <w:tcPr>
            <w:tcW w:w="0" w:type="dxa"/>
            <w:vAlign w:val="bottom"/>
          </w:tcPr>
          <w:p>
            <w:pPr>
              <w:spacing w:after="0"/>
              <w:rPr>
                <w:sz w:val="1"/>
                <w:szCs w:val="1"/>
                <w:color w:val="auto"/>
              </w:rPr>
            </w:pPr>
          </w:p>
        </w:tc>
      </w:tr>
      <w:tr>
        <w:trPr>
          <w:trHeight w:val="4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short-term available-for-sale investments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(1,740,342)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(2,256,776)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short-term available-for-sale investments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property, plant and equipment, net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(45,516)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other assets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(195,571)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(284,697)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proceeds from employee stock plans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28,429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payments to shareholders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(44,836)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(301,104)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40,014</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(204,572)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518,940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APRIL 30, 2005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 and percentages)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30, 2004 and related notes. The results of operations for the interim periods shown in this report are not necessarily indicative of the results that may be expected for the fiscal year ending October 29, 2005 or any future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Fiscal 2005 and fiscal 2004 are 52-week fiscal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Stock-Based Compensation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As permitted by Statement of Financial Accounting Standards (SFAS) 148 and SFAS 123, the Company applies the accounting provisions of Accounting Principle Board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and related interpretations, with regard to the measurement of compensation cost for options granted under the Company’s equity compensation plans, consisting of the 2001 Broad-Based Stock Option Plan, the 1998 Stock Option Plan, the Restated 1994 Director Option Plan, the Restated 1988 Stock Option Plan, the 1992 Employee Stock Purchase Plan and the 1998 International Employee Stock Purchase Plan.</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Had expense been recognized using the fair value method described in SFAS 123, using the Black-Scholes option-pricing model, the Company would have reported the following results of operations:</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w w:val="99"/>
              </w:rPr>
              <w:t>April 30, 2005</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May 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117,599</w:t>
            </w: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$ 152,583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employee compensation expense included in reported net income, net of related tax effects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total stock-based compensation expense determined under the fair value based method for all awards, net of related</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effects</w:t>
            </w: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(44,456)</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(53,927)</w:t>
            </w:r>
          </w:p>
        </w:tc>
        <w:tc>
          <w:tcPr>
            <w:tcW w:w="0" w:type="dxa"/>
            <w:vAlign w:val="bottom"/>
          </w:tcPr>
          <w:p>
            <w:pPr>
              <w:spacing w:after="0"/>
              <w:rPr>
                <w:sz w:val="1"/>
                <w:szCs w:val="1"/>
                <w:color w:val="auto"/>
              </w:rPr>
            </w:pPr>
          </w:p>
        </w:tc>
      </w:tr>
      <w:tr>
        <w:trPr>
          <w:trHeight w:val="20"/>
        </w:trPr>
        <w:tc>
          <w:tcPr>
            <w:tcW w:w="9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73,754</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 as reported</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0.32</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 pro forma</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 as reported</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0.31</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 pro forma</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0.19</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April 30, 2005</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May 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225,042</w:t>
            </w:r>
          </w:p>
        </w:tc>
        <w:tc>
          <w:tcPr>
            <w:tcW w:w="28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employee compensation expense included in reported net income, net of related tax effects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total stock-based compensation expense determined under the fair value based method for all awards, net of related</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effects</w:t>
            </w: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(86,641)</w:t>
            </w:r>
          </w:p>
        </w:tc>
        <w:tc>
          <w:tcPr>
            <w:tcW w:w="10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(102,810)</w:t>
            </w:r>
          </w:p>
        </w:tc>
        <w:tc>
          <w:tcPr>
            <w:tcW w:w="0" w:type="dxa"/>
            <w:vAlign w:val="bottom"/>
          </w:tcPr>
          <w:p>
            <w:pPr>
              <w:spacing w:after="0"/>
              <w:rPr>
                <w:sz w:val="1"/>
                <w:szCs w:val="1"/>
                <w:color w:val="auto"/>
              </w:rPr>
            </w:pPr>
          </w:p>
        </w:tc>
      </w:tr>
      <w:tr>
        <w:trPr>
          <w:trHeight w:val="20"/>
        </w:trPr>
        <w:tc>
          <w:tcPr>
            <w:tcW w:w="910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140,405</w:t>
            </w:r>
          </w:p>
        </w:tc>
        <w:tc>
          <w:tcPr>
            <w:tcW w:w="280" w:type="dxa"/>
            <w:vAlign w:val="bottom"/>
          </w:tcPr>
          <w:p>
            <w:pPr>
              <w:spacing w:after="0"/>
              <w:rPr>
                <w:sz w:val="24"/>
                <w:szCs w:val="24"/>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$ 169,398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 as reported</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 pro forma</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 as reported</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80" w:type="dxa"/>
            <w:vAlign w:val="bottom"/>
          </w:tcPr>
          <w:p>
            <w:pPr>
              <w:spacing w:after="0"/>
              <w:rPr>
                <w:sz w:val="24"/>
                <w:szCs w:val="24"/>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 pro forma</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Comprehensive Income</w:t>
      </w:r>
    </w:p>
    <w:p>
      <w:pPr>
        <w:spacing w:after="0" w:line="20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color w:val="auto"/>
              </w:rPr>
              <w:t>April 30, 2005</w:t>
            </w:r>
          </w:p>
        </w:tc>
        <w:tc>
          <w:tcPr>
            <w:tcW w:w="9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May 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117,599</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$ 152,583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Unrealized holding losses (net of taxes of $1,389 and $3,294, respectively) on securities classified as Short-term</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(2,579)</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unrealized gains (losses) on securities classified as Other Investments: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0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Unrealized holding (losses) gains (net of taxes of $136 and $438, respectively) on securities classified as Other</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(252)</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Less: reclassification adjustment for gain included in net income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unrealized (losses) gains on securities classified as Other Investments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(252)</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unrealized losses on derivative instruments designated as cash flow hedges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(2,853)</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(5,880)</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$ 144,578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color w:val="auto"/>
              </w:rPr>
              <w:t>April 30, 2005</w:t>
            </w:r>
          </w:p>
        </w:tc>
        <w:tc>
          <w:tcPr>
            <w:tcW w:w="9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May 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225,042</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$ 269,422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tcPr>
          <w:p>
            <w:pPr>
              <w:spacing w:after="0"/>
              <w:rPr>
                <w:sz w:val="24"/>
                <w:szCs w:val="24"/>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Unrealized holding losses (net of taxes of $5,130 and $3,294, respectively) on securities classified as Short-term</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(9,527)</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unrealized gains (losses) on securities classified as Other Investments: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0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Unrealized holding (losses) gains (net of taxes of $295 and $1,195, respectively) on securities classified as Other</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(549)</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Less: reclassification adjustment for loss included in net income</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unrealized holding (losses) gains on securities classified as Other Investments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(549)</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unrealized losses on derivative instruments designated as cash flow hedges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(1,084)</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(10,497)</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214,545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$ 266,552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jc w:val="right"/>
              <w:ind w:right="307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9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income at April 30, 2005 and October 30, 2004 consisted of the following:</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April 30, 2005</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October 30, 2004</w:t>
            </w:r>
          </w:p>
        </w:tc>
      </w:tr>
      <w:tr>
        <w:trPr>
          <w:trHeight w:val="20"/>
        </w:trPr>
        <w:tc>
          <w:tcPr>
            <w:tcW w:w="6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gains on available-for-sale securities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(9,987)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derivative instruments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1,011</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2,095</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pension liability adjustment</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(3,606)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(3,606)</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5,834</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5,171</w:t>
            </w:r>
          </w:p>
        </w:tc>
      </w:tr>
      <w:tr>
        <w:trPr>
          <w:trHeight w:val="27"/>
        </w:trPr>
        <w:tc>
          <w:tcPr>
            <w:tcW w:w="65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accumulated other comprehensive (loss) income</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(6,748)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3,749</w:t>
            </w:r>
          </w:p>
        </w:tc>
      </w:tr>
      <w:tr>
        <w:trPr>
          <w:trHeight w:val="20"/>
        </w:trPr>
        <w:tc>
          <w:tcPr>
            <w:tcW w:w="6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Short-term investments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short-term investments are adjusted to fair market value at the end of each quarter. Unrealized gains and losses, net of tax, on these securities are included in accumulated other comprehensive (loss) income, which is a separate component of shareholders’ equity.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using only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In calculating diluted earnings per share, the dilutive effect of stock options is computed using the average market price for the respective period. Potential shares related to certain of the Company’s outstanding stock options were excluded because they were anti-dilutive. Those potential shares related to the Company’s outstanding stock options could be dilutive in the future. The following table sets forth the computation of basic and diluted earnings per share:</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April 30, 2005</w:t>
            </w:r>
          </w:p>
        </w:tc>
        <w:tc>
          <w:tcPr>
            <w:tcW w:w="960" w:type="dxa"/>
            <w:vAlign w:val="bottom"/>
            <w:tcBorders>
              <w:top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color w:val="auto"/>
              </w:rPr>
              <w:t>May 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44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117,599</w:t>
            </w: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$ 152,583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shares outstanding</w:t>
            </w:r>
          </w:p>
        </w:tc>
        <w:tc>
          <w:tcPr>
            <w:tcW w:w="4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per share</w:t>
            </w:r>
          </w:p>
        </w:tc>
        <w:tc>
          <w:tcPr>
            <w:tcW w:w="444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44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117,599</w:t>
            </w: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$ 152,583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shares outstanding</w:t>
            </w: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370,674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4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common and common equivalent shares</w:t>
            </w:r>
          </w:p>
        </w:tc>
        <w:tc>
          <w:tcPr>
            <w:tcW w:w="4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per share</w:t>
            </w:r>
          </w:p>
        </w:tc>
        <w:tc>
          <w:tcPr>
            <w:tcW w:w="444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common stock equivalents related to:</w:t>
            </w: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April 30, 2005</w:t>
            </w:r>
          </w:p>
        </w:tc>
        <w:tc>
          <w:tcPr>
            <w:tcW w:w="960" w:type="dxa"/>
            <w:vAlign w:val="bottom"/>
            <w:tcBorders>
              <w:top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color w:val="auto"/>
              </w:rPr>
              <w:t>May 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44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225,042</w:t>
            </w: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$ 269,422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shares outstanding</w:t>
            </w:r>
          </w:p>
        </w:tc>
        <w:tc>
          <w:tcPr>
            <w:tcW w:w="4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per share</w:t>
            </w:r>
          </w:p>
        </w:tc>
        <w:tc>
          <w:tcPr>
            <w:tcW w:w="444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44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225,042</w:t>
            </w: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$ 269,422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shares outstanding</w:t>
            </w: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373,117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4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common and common equivalent shares</w:t>
            </w:r>
          </w:p>
        </w:tc>
        <w:tc>
          <w:tcPr>
            <w:tcW w:w="4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per share</w:t>
            </w:r>
          </w:p>
        </w:tc>
        <w:tc>
          <w:tcPr>
            <w:tcW w:w="444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common stock equivalents related to:</w:t>
            </w: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2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Segment Information</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Statement of Financial Accounting Standards No. 131, </w:t>
      </w:r>
      <w:r>
        <w:rPr>
          <w:rFonts w:ascii="Times New Roman" w:cs="Times New Roman" w:eastAsia="Times New Roman" w:hAnsi="Times New Roman"/>
          <w:sz w:val="18"/>
          <w:szCs w:val="18"/>
          <w:i w:val="1"/>
          <w:iCs w:val="1"/>
          <w:color w:val="auto"/>
        </w:rPr>
        <w:t>Disclosures about Segments of an Enterprise and Related Information</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New Accounting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Retirements</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March 2005, the Financial Accounting Standards Board (FASB) issued FASB Interpretation No. 47 (FIN 47), </w:t>
      </w:r>
      <w:r>
        <w:rPr>
          <w:rFonts w:ascii="Times New Roman" w:cs="Times New Roman" w:eastAsia="Times New Roman" w:hAnsi="Times New Roman"/>
          <w:sz w:val="18"/>
          <w:szCs w:val="18"/>
          <w:i w:val="1"/>
          <w:iCs w:val="1"/>
          <w:color w:val="auto"/>
        </w:rPr>
        <w:t>Accounting for Conditional Asset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 an interpretation of FASB Statement No. 143. </w:t>
      </w:r>
      <w:r>
        <w:rPr>
          <w:rFonts w:ascii="Times New Roman" w:cs="Times New Roman" w:eastAsia="Times New Roman" w:hAnsi="Times New Roman"/>
          <w:sz w:val="18"/>
          <w:szCs w:val="18"/>
          <w:color w:val="auto"/>
        </w:rPr>
        <w:t>FIN 47 clarifies that the term conditional asset retirement obligation as used in SFAS No. 143,</w:t>
      </w:r>
      <w:r>
        <w:rPr>
          <w:rFonts w:ascii="Times New Roman" w:cs="Times New Roman" w:eastAsia="Times New Roman" w:hAnsi="Times New Roman"/>
          <w:sz w:val="18"/>
          <w:szCs w:val="18"/>
          <w:i w:val="1"/>
          <w:iCs w:val="1"/>
          <w:color w:val="auto"/>
        </w:rPr>
        <w:t xml:space="preserve"> Accounting for Asset Retirement Obligations, </w:t>
      </w:r>
      <w:r>
        <w:rPr>
          <w:rFonts w:ascii="Times New Roman" w:cs="Times New Roman" w:eastAsia="Times New Roman" w:hAnsi="Times New Roman"/>
          <w:sz w:val="18"/>
          <w:szCs w:val="18"/>
          <w:color w:val="auto"/>
        </w:rPr>
        <w:t>refers to a legal obligation to perform an asset retirement activity in which the timing and (or)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are conditional on a future 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The Company is currently analyzing FIN 47 and believes the adoption of FIN 47 will not have a material impact on the Company’s financial condition, results of operations or liquidity.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Nonmonetary Assets</w:t>
      </w:r>
    </w:p>
    <w:p>
      <w:pPr>
        <w:spacing w:after="0" w:line="18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In December 2004, the FASB issued SFAS No. 153, </w:t>
      </w:r>
      <w:r>
        <w:rPr>
          <w:rFonts w:ascii="Times New Roman" w:cs="Times New Roman" w:eastAsia="Times New Roman" w:hAnsi="Times New Roman"/>
          <w:sz w:val="18"/>
          <w:szCs w:val="18"/>
          <w:i w:val="1"/>
          <w:iCs w:val="1"/>
          <w:color w:val="auto"/>
        </w:rPr>
        <w:t>Exchanges of Nonmonetary Assets – an amendment of APB Opinion No. 29</w:t>
      </w:r>
      <w:r>
        <w:rPr>
          <w:rFonts w:ascii="Times New Roman" w:cs="Times New Roman" w:eastAsia="Times New Roman" w:hAnsi="Times New Roman"/>
          <w:sz w:val="18"/>
          <w:szCs w:val="18"/>
          <w:color w:val="auto"/>
        </w:rPr>
        <w:t xml:space="preserve"> (SFAS 153). SFAS 153 is based on the principle that exchanges of nonmonetary assets should be measured based on the fair value of the assets exchanged. SFAS 153 eliminates the exception for nonmonetary exchanges of similar productive assets and replaces it with a general exception for exchanges of nonmonetary assets that do not have commercial substance. SFAS 153 is effective for nonmonetary asset exchanges in fiscal periods beginning after June 15, 2005. The Company is currently evaluating the provisions of SFAS 153 and does not believe that its adoption will have a material impact on the Company’s financial condition, results of operations or liquidity.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Costs</w:t>
      </w:r>
    </w:p>
    <w:p>
      <w:pPr>
        <w:spacing w:after="0" w:line="18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2004, the FASB issued SFAS No. 151, </w:t>
      </w:r>
      <w:r>
        <w:rPr>
          <w:rFonts w:ascii="Times New Roman" w:cs="Times New Roman" w:eastAsia="Times New Roman" w:hAnsi="Times New Roman"/>
          <w:sz w:val="18"/>
          <w:szCs w:val="18"/>
          <w:i w:val="1"/>
          <w:iCs w:val="1"/>
          <w:color w:val="auto"/>
        </w:rPr>
        <w:t>Inventory Costs, an amendment of Accounting Research Bulletin (ARB) No. 43, Chapter 4</w:t>
      </w:r>
      <w:r>
        <w:rPr>
          <w:rFonts w:ascii="Times New Roman" w:cs="Times New Roman" w:eastAsia="Times New Roman" w:hAnsi="Times New Roman"/>
          <w:sz w:val="18"/>
          <w:szCs w:val="18"/>
          <w:color w:val="auto"/>
        </w:rPr>
        <w:t xml:space="preserve"> (SFAS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The Company is currently evaluating the provisions of SFAS 151 and does not believe that its adoption will have a material impact on the Company’s financial condition, results of operations or liquidity.</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9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On December 16, 2004, the FASB issued SFAS 123 (revised 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which is a revision of SFAS No. 123, </w:t>
      </w:r>
      <w:r>
        <w:rPr>
          <w:rFonts w:ascii="Times New Roman" w:cs="Times New Roman" w:eastAsia="Times New Roman" w:hAnsi="Times New Roman"/>
          <w:sz w:val="18"/>
          <w:szCs w:val="18"/>
          <w:i w:val="1"/>
          <w:iCs w:val="1"/>
          <w:color w:val="auto"/>
        </w:rPr>
        <w:t>Accounting for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(SFAS 123(R)). SFAS 123(R) supersedes APB Opinion No. 25,</w:t>
      </w:r>
      <w:r>
        <w:rPr>
          <w:rFonts w:ascii="Times New Roman" w:cs="Times New Roman" w:eastAsia="Times New Roman" w:hAnsi="Times New Roman"/>
          <w:sz w:val="18"/>
          <w:szCs w:val="18"/>
          <w:i w:val="1"/>
          <w:iCs w:val="1"/>
          <w:color w:val="auto"/>
        </w:rPr>
        <w:t xml:space="preserve"> Accounting for Stock Issued to Employees</w:t>
      </w:r>
      <w:r>
        <w:rPr>
          <w:rFonts w:ascii="Times New Roman" w:cs="Times New Roman" w:eastAsia="Times New Roman" w:hAnsi="Times New Roman"/>
          <w:sz w:val="18"/>
          <w:szCs w:val="18"/>
          <w:color w:val="auto"/>
        </w:rPr>
        <w:t>, and amends SFAS No. 95,</w:t>
      </w:r>
      <w:r>
        <w:rPr>
          <w:rFonts w:ascii="Times New Roman" w:cs="Times New Roman" w:eastAsia="Times New Roman" w:hAnsi="Times New Roman"/>
          <w:sz w:val="18"/>
          <w:szCs w:val="18"/>
          <w:i w:val="1"/>
          <w:iCs w:val="1"/>
          <w:color w:val="auto"/>
        </w:rPr>
        <w:t xml:space="preserve"> Statement of Cash Flows</w:t>
      </w:r>
      <w:r>
        <w:rPr>
          <w:rFonts w:ascii="Times New Roman" w:cs="Times New Roman" w:eastAsia="Times New Roman" w:hAnsi="Times New Roman"/>
          <w:sz w:val="18"/>
          <w:szCs w:val="18"/>
          <w:color w:val="auto"/>
        </w:rPr>
        <w:t>. Generally, the approach in SFAS 123(R) is similar to the approach described in SFAS 123. However, SFAS 123(R) requires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payments to employees, including grants of employee stock options, to be recognized in the income statement based on their fair values at the date of grant. Pro forma disclosure is no longer an alternative.</w:t>
      </w:r>
    </w:p>
    <w:p>
      <w:pPr>
        <w:spacing w:after="0" w:line="14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SFAS 123(R) permits public companies to adopt its requirements using one of two methods. A “modified prospective” method in which compensation cost is recognized beginning with the effective date (a) based on the requirements of SFAS 123(R) for all share-based payments granted after the effective date and</w:t>
      </w:r>
    </w:p>
    <w:p>
      <w:pPr>
        <w:spacing w:after="0" w:line="1" w:lineRule="exact"/>
        <w:rPr>
          <w:sz w:val="20"/>
          <w:szCs w:val="20"/>
          <w:color w:val="auto"/>
        </w:rPr>
      </w:pPr>
    </w:p>
    <w:p>
      <w:pPr>
        <w:ind w:firstLine="8"/>
        <w:spacing w:after="0" w:line="254"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requirements of SFAS 123 for all awards granted to employees prior to the effective date of SFAS 123(R) that remain unvested on the effective date. A “modified retrospective” method includes the requirements of the modified prospective method described above, but also permits entities to restate their historical financial statements based on the amounts previously recognized under SFAS 123 for purposes of pro forma disclosures either (a) all prior periods presented or (b) prior interim periods of the year of adoption. The Company has yet to determine which method to use in adopting SFAS 123(R).</w:t>
      </w:r>
    </w:p>
    <w:p>
      <w:pPr>
        <w:spacing w:after="0" w:line="1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permitted by SFAS 123, the Company currently accounts for share-based payments to employees using APB Opinion No. 25’s intrinsic value method and, as such, generally recognizes no compensation cost for employee stock options. Accordingly, the adoption of SFAS 123(R)’s fair value method will have a significant impact on the Company’s results of operations, although it will have no impact on the Company’s overall financial position. The Company is evaluating SFAS 123(R) and has not yet determined the amount of stock option expense that will be incurred in future periods.</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April 14, 2005, the Securities and Exchange Commission announced the adoption of a new rule that amends the compliance dates for SFAS 123(R). The new rule allows companies to implement SFAS 123(R) at the beginning of their next fiscal year, instead of the next reporting period, that begins after June 15, 2005. The company expects to adopt SFAS 123(R) beginning in fiscal year 2006 on October 30, 2005.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Intangible Assets</w:t>
      </w:r>
    </w:p>
    <w:p>
      <w:pPr>
        <w:spacing w:after="0" w:line="18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SFAS No. 142,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the Company annually evaluates goodwill for impairment, or earlier if indicators of potential impairment exist and suggest that the carrying value of goodwill may not be recoverable. Because the Company has one reporting segment under SFAS No. 142, the Company utilizes the entity-wide approach for assessing goodwill for impairment and compares its market value to its net book value to determine if an impairment exists. No impairment of goodwill resulted from the Company’s most recent evaluation of goodwill for impairment in the fourth quarter of fiscal 2004.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which continue to be amortized, consisted of the following: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color w:val="auto"/>
              </w:rPr>
              <w:t>April 30, 2005</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4"/>
                <w:szCs w:val="14"/>
                <w:color w:val="auto"/>
              </w:rPr>
              <w:t>October 30, 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540"/>
              <w:spacing w:after="0" w:line="119" w:lineRule="exact"/>
              <w:rPr>
                <w:sz w:val="20"/>
                <w:szCs w:val="20"/>
                <w:color w:val="auto"/>
              </w:rPr>
            </w:pPr>
            <w:r>
              <w:rPr>
                <w:rFonts w:ascii="Times New Roman" w:cs="Times New Roman" w:eastAsia="Times New Roman" w:hAnsi="Times New Roman"/>
                <w:sz w:val="13"/>
                <w:szCs w:val="13"/>
                <w:color w:val="auto"/>
              </w:rPr>
              <w:t>Gross</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40"/>
              <w:spacing w:after="0" w:line="119" w:lineRule="exact"/>
              <w:rPr>
                <w:sz w:val="20"/>
                <w:szCs w:val="20"/>
                <w:color w:val="auto"/>
              </w:rPr>
            </w:pPr>
            <w:r>
              <w:rPr>
                <w:rFonts w:ascii="Times New Roman" w:cs="Times New Roman" w:eastAsia="Times New Roman" w:hAnsi="Times New Roman"/>
                <w:sz w:val="13"/>
                <w:szCs w:val="13"/>
                <w:color w:val="auto"/>
              </w:rPr>
              <w:t>Gross</w:t>
            </w:r>
          </w:p>
        </w:tc>
        <w:tc>
          <w:tcPr>
            <w:tcW w:w="108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112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9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0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460" w:type="dxa"/>
            <w:vAlign w:val="bottom"/>
            <w:gridSpan w:val="2"/>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Amount</w:t>
            </w:r>
          </w:p>
        </w:tc>
        <w:tc>
          <w:tcPr>
            <w:tcW w:w="108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Technology-based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12,584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16,923</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1,167</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6,145</w:t>
            </w:r>
          </w:p>
        </w:tc>
        <w:tc>
          <w:tcPr>
            <w:tcW w:w="0" w:type="dxa"/>
            <w:vAlign w:val="bottom"/>
          </w:tcPr>
          <w:p>
            <w:pPr>
              <w:spacing w:after="0"/>
              <w:rPr>
                <w:sz w:val="1"/>
                <w:szCs w:val="1"/>
                <w:color w:val="auto"/>
              </w:rPr>
            </w:pPr>
          </w:p>
        </w:tc>
      </w:tr>
      <w:tr>
        <w:trPr>
          <w:trHeight w:val="223"/>
        </w:trPr>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19,547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on a straight-line basis over their estimated useful lives, which range from five to ten years. Amortization expense related to intangibles was $0.7 million for each of the three month periods ended April 30, 2005 and May 1, 2004 and $1.4 million for each of the six month periods ended April 30, 2005 and May 1, 2004, respectively.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annual amortization expense for these intangible assets to be: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w:t>
            </w:r>
          </w:p>
        </w:tc>
        <w:tc>
          <w:tcPr>
            <w:tcW w:w="1200" w:type="dxa"/>
            <w:vAlign w:val="bottom"/>
            <w:gridSpan w:val="3"/>
          </w:tcPr>
          <w:p>
            <w:pPr>
              <w:jc w:val="center"/>
              <w:ind w:left="153"/>
              <w:spacing w:after="0"/>
              <w:rPr>
                <w:sz w:val="20"/>
                <w:szCs w:val="20"/>
                <w:color w:val="auto"/>
              </w:rPr>
            </w:pPr>
            <w:r>
              <w:rPr>
                <w:rFonts w:ascii="Times New Roman" w:cs="Times New Roman" w:eastAsia="Times New Roman" w:hAnsi="Times New Roman"/>
                <w:sz w:val="14"/>
                <w:szCs w:val="14"/>
                <w:color w:val="auto"/>
              </w:rPr>
              <w:t>Amortization</w:t>
            </w:r>
          </w:p>
        </w:tc>
        <w:tc>
          <w:tcPr>
            <w:tcW w:w="0" w:type="dxa"/>
            <w:vAlign w:val="bottom"/>
          </w:tcPr>
          <w:p>
            <w:pPr>
              <w:spacing w:after="0"/>
              <w:rPr>
                <w:sz w:val="1"/>
                <w:szCs w:val="1"/>
                <w:color w:val="auto"/>
              </w:rPr>
            </w:pPr>
          </w:p>
        </w:tc>
      </w:tr>
      <w:tr>
        <w:trPr>
          <w:trHeight w:val="171"/>
        </w:trPr>
        <w:tc>
          <w:tcPr>
            <w:tcW w:w="10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Years</w:t>
            </w:r>
          </w:p>
        </w:tc>
        <w:tc>
          <w:tcPr>
            <w:tcW w:w="3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Expense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Pension Plans</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 of non-U.S. plans is presented in the following table: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42"/>
        </w:trPr>
        <w:tc>
          <w:tcPr>
            <w:tcW w:w="6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April 30, 2005</w:t>
            </w:r>
          </w:p>
        </w:tc>
        <w:tc>
          <w:tcPr>
            <w:tcW w:w="940" w:type="dxa"/>
            <w:vAlign w:val="bottom"/>
            <w:tcBorders>
              <w:top w:val="single" w:sz="8" w:color="auto"/>
            </w:tcBorders>
            <w:gridSpan w:val="3"/>
          </w:tcPr>
          <w:p>
            <w:pPr>
              <w:ind w:left="200"/>
              <w:spacing w:after="0" w:line="142" w:lineRule="exact"/>
              <w:rPr>
                <w:sz w:val="20"/>
                <w:szCs w:val="20"/>
                <w:color w:val="auto"/>
              </w:rPr>
            </w:pPr>
            <w:r>
              <w:rPr>
                <w:rFonts w:ascii="Times New Roman" w:cs="Times New Roman" w:eastAsia="Times New Roman" w:hAnsi="Times New Roman"/>
                <w:sz w:val="14"/>
                <w:szCs w:val="14"/>
                <w:color w:val="auto"/>
              </w:rPr>
              <w:t>May 1, 2004</w:t>
            </w:r>
          </w:p>
        </w:tc>
        <w:tc>
          <w:tcPr>
            <w:tcW w:w="100" w:type="dxa"/>
            <w:vAlign w:val="bottom"/>
          </w:tcPr>
          <w:p>
            <w:pPr>
              <w:spacing w:after="0"/>
              <w:rPr>
                <w:sz w:val="12"/>
                <w:szCs w:val="12"/>
                <w:color w:val="auto"/>
              </w:rPr>
            </w:pPr>
          </w:p>
        </w:tc>
      </w:tr>
      <w:tr>
        <w:trPr>
          <w:trHeight w:val="20"/>
        </w:trPr>
        <w:tc>
          <w:tcPr>
            <w:tcW w:w="6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140" w:type="dxa"/>
            <w:vAlign w:val="bottom"/>
            <w:gridSpan w:val="2"/>
            <w:shd w:val="clear" w:color="auto" w:fill="CCEEFF"/>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2,125</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(1,625)</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transitional obligation or (asset)</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Recognized actuarial loss</w:t>
            </w:r>
          </w:p>
        </w:tc>
        <w:tc>
          <w:tcPr>
            <w:tcW w:w="2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140" w:type="dxa"/>
            <w:vAlign w:val="bottom"/>
            <w:gridSpan w:val="2"/>
            <w:shd w:val="clear" w:color="auto" w:fill="CCEEFF"/>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2,154</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w:t>
            </w:r>
          </w:p>
        </w:tc>
      </w:tr>
      <w:tr>
        <w:trPr>
          <w:trHeight w:val="20"/>
        </w:trPr>
        <w:tc>
          <w:tcPr>
            <w:tcW w:w="6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4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left="152"/>
              <w:spacing w:after="0"/>
              <w:rPr>
                <w:sz w:val="20"/>
                <w:szCs w:val="20"/>
                <w:color w:val="auto"/>
              </w:rPr>
            </w:pPr>
            <w:r>
              <w:rPr>
                <w:rFonts w:ascii="Times New Roman" w:cs="Times New Roman" w:eastAsia="Times New Roman" w:hAnsi="Times New Roman"/>
                <w:sz w:val="14"/>
                <w:szCs w:val="14"/>
                <w:color w:val="auto"/>
              </w:rPr>
              <w:t>Six Months Ended</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April 30, 2005</w:t>
            </w:r>
          </w:p>
        </w:tc>
        <w:tc>
          <w:tcPr>
            <w:tcW w:w="94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color w:val="auto"/>
              </w:rPr>
              <w:t>May 1, 2004</w:t>
            </w:r>
          </w:p>
        </w:tc>
        <w:tc>
          <w:tcPr>
            <w:tcW w:w="100" w:type="dxa"/>
            <w:vAlign w:val="bottom"/>
          </w:tcPr>
          <w:p>
            <w:pPr>
              <w:spacing w:after="0"/>
              <w:rPr>
                <w:sz w:val="12"/>
                <w:szCs w:val="12"/>
                <w:color w:val="auto"/>
              </w:rPr>
            </w:pPr>
          </w:p>
        </w:tc>
      </w:tr>
      <w:tr>
        <w:trPr>
          <w:trHeight w:val="20"/>
        </w:trPr>
        <w:tc>
          <w:tcPr>
            <w:tcW w:w="6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140" w:type="dxa"/>
            <w:vAlign w:val="bottom"/>
            <w:gridSpan w:val="2"/>
            <w:shd w:val="clear" w:color="auto" w:fill="CCEEFF"/>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4,260</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3,544</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2,836</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(3,250)</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transitional obligation or (asset)</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Recognized actuarial loss</w:t>
            </w:r>
          </w:p>
        </w:tc>
        <w:tc>
          <w:tcPr>
            <w:tcW w:w="2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140" w:type="dxa"/>
            <w:vAlign w:val="bottom"/>
            <w:gridSpan w:val="2"/>
            <w:shd w:val="clear" w:color="auto" w:fill="CCEEFF"/>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4,317</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3,376</w:t>
            </w:r>
          </w:p>
        </w:tc>
      </w:tr>
      <w:tr>
        <w:trPr>
          <w:trHeight w:val="20"/>
        </w:trPr>
        <w:tc>
          <w:tcPr>
            <w:tcW w:w="6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Contributions of $2.0 million and $3.6 have been made during the three and six months ended April 30, 2005, respectively. The Company presently anticipates contributing an additional $4.1 million to fund its defined benefit pension plans in fiscal year 2005 for a total of $7.7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Product Warranties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were not material during the three and six month periods ended April 30, 2005 and May 1, 2004.</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6, 2003, Enron Corporation commenced a proceeding in the United States Bankruptcy Court for the Southern District of New York. On December 1, 2003, Enron filed an amended complaint to add the Company as a defendant in such proceeding. The amended complaint alleges that transfers made by Enron in satisfaction of obligations it had under commercial paper are recoverable as preferential transfers and fraudulent transfers and are subject to avoidance under the United States Bankruptcy Code. It is alleged that payments made in premature satisfaction of obligations under commercial paper totaling approximately $20 million are recoverable from J.P. Morgan Securities, Inc., Fleet Capital Markets, Fleet National Bank and/or the Company. The Company sold $20 million of Enron commercial paper to Fleet and did not enter into any direct transactions with Enron. The Company filed a motion to dismiss the adversary proceeding. The motion to dismiss was argued at a hearing on September 21, 2004. The court took the matter under advisement and the Company is awaiting a decision. The Company intends to vigorously defend against these claims. Although the Company believes it has meritorious defenses to the asserted claims, it is unable at this time to predict the outcome of this proceeding.</w:t>
      </w:r>
    </w:p>
    <w:p>
      <w:pPr>
        <w:spacing w:after="0" w:line="1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currently under routine audit by the United States Internal Revenue Service (the “IRS”) for fiscal years 2001, 2002 and 2003. The audit has not been completed and the IRS has not issued a report on its audit.</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SEC is conducting an investigation into the Company’s granting of stock options from 1999 to 2003 to officers and directors. The Company believes that the SEC is also investigating the granting of stock options at other companies. Each year, the Company grants stock options to a broad base of employees (including officers and directors) and in some years those grants have occurred shortly before Analog’s issuance of favorable financial results. The SEC has requested information regarding Analog’s stock option grants, and the Company is cooperating with the SEC. The Company is unable to predict the outcome of this matter.</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including those items discussed above, the Company can give no assurance that it will prevail. However, the Company does not believe that these matters will have a material adverse effect on the Company’s consolidated financial position, although an adverse outcome of any of these matters could have a material adverse effect on the Company’s consolidated results of operations or cash flows in the quarter or annual period in which one or more of these matters are resolved.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Common Stock Repurchase</w:t>
      </w:r>
    </w:p>
    <w:p>
      <w:pPr>
        <w:spacing w:after="0" w:line="202"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On August 12, 2004, the Company’s Board of Directors approved the repurchase of up to an aggregate of $500 million of common stock. On May 11, 2005, the Company’s Board of Directors amended the stock repurchase program by increasing the total amount of the Company’s common stock the Company can repurchase from $500 million to $1 billion of common stock. Under the repurchase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The company purchased</w:t>
      </w:r>
    </w:p>
    <w:p>
      <w:pPr>
        <w:spacing w:after="0" w:line="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3.4 million shares of its common stock for approximately $124 million during the second quarter of fiscal 2005 for a total of 7.9 million shares for approximately $285 million during the first six months of fiscal 2005. As of April 30, 2005, the Company had purchased 11.8 million shares of its common stock for approximately $421.8 million under this program. The repurchased shares are held as authorized but unissued shares of common stock.</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20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Certain of the Company’s directors are affiliated with companies that sell products to the Company. One of the Company’s directors, who has been a director since 1988, became a director of Taiwan Semiconductor Manufacturing Company, or TSMC, in fiscal 2002. The Company purchased approximately $52 million and $88 million of products from TSMC in each of the three month periods ended April 30, 2005 and May 1, 2004, respectively, and</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$122 million and $159 million in each of the six month periods ended April 30, 2005 and May 1, 2004, respectively. Approximately $22 million and $15 million was payable to TSMC as of April 30, 2005 and October 30, 2004, respectively. The Company anticipates that it will make significant purchases from TSMC in the remaining quarters of fiscal year 2005.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8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 xml:space="preserve">On October 22, 2004, the American Jobs Creation Act of 2004 (“AJCA”) was signed into law. The AJCA creates a temporary incentive for US multinational corporations to repatriate accumulated income abroad by providing an 85% dividends received deduction for certain dividends from controlled foreign corporations. In December 2004, the FASB issued Financial Staff Position (FSP) No. FAS 109-2, </w:t>
      </w:r>
      <w:r>
        <w:rPr>
          <w:rFonts w:ascii="Times New Roman" w:cs="Times New Roman" w:eastAsia="Times New Roman" w:hAnsi="Times New Roman"/>
          <w:sz w:val="17"/>
          <w:szCs w:val="17"/>
          <w:i w:val="1"/>
          <w:iCs w:val="1"/>
          <w:color w:val="auto"/>
        </w:rPr>
        <w:t>Accounting and Disclosure Guidance for the Foreign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Earnings Repatriation Provision within the American Jobs Creation Act of </w:t>
      </w:r>
      <w:r>
        <w:rPr>
          <w:rFonts w:ascii="Times New Roman" w:cs="Times New Roman" w:eastAsia="Times New Roman" w:hAnsi="Times New Roman"/>
          <w:sz w:val="17"/>
          <w:szCs w:val="17"/>
          <w:color w:val="auto"/>
        </w:rPr>
        <w:t>2004 (FSP 109-2). FSP 109-2 is effective immediately and provides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disclosure guidance for the repatriation provision. FSP 109-2 allows companies additional time to evaluate the effects of the law on its unremitted earnings for the purpose of applying the “indefinite reversal criteria” under APB 23, </w:t>
      </w:r>
      <w:r>
        <w:rPr>
          <w:rFonts w:ascii="Times New Roman" w:cs="Times New Roman" w:eastAsia="Times New Roman" w:hAnsi="Times New Roman"/>
          <w:sz w:val="17"/>
          <w:szCs w:val="17"/>
          <w:i w:val="1"/>
          <w:iCs w:val="1"/>
          <w:color w:val="auto"/>
        </w:rPr>
        <w:t>Accounting for Income Taxes-Special Areas,</w:t>
      </w:r>
      <w:r>
        <w:rPr>
          <w:rFonts w:ascii="Times New Roman" w:cs="Times New Roman" w:eastAsia="Times New Roman" w:hAnsi="Times New Roman"/>
          <w:sz w:val="17"/>
          <w:szCs w:val="17"/>
          <w:color w:val="auto"/>
        </w:rPr>
        <w:t xml:space="preserve"> and requires explanatory disclosures from companies that have not yet completed the evaluation. On May 9, 2005, the Treasury issued Notice 2005-38, which clarified some of the new rules. The Company is currently evaluating the effects of the repatriation provision and their impact on the consolidated financial statements. The minimum amount of dividend distribution of foreign earnings that could potentially be subject to the provisions of the AJCA would be $0 and the maximum would be $1,055 million, which is the amount reported as indefinitely reinvested earnings on the Company’s 2002 Annual Report on Form 10-K. Since the Company has not yet completed their evaluation of the AJCA, a range of income tax effects cannot be reasonably estimated at this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11, 2005, the Company’s Board of Directors declared a cash dividend of $0.10 per outstanding share of common stock. The dividend will be paid on June 15, 2005 to all shareholders of record at the close of business on May 27, 2005.</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30, 2004.</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the section entitled “Outlook,”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2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4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April 30, 2005</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1, 2004</w:t>
            </w:r>
          </w:p>
        </w:tc>
        <w:tc>
          <w:tcPr>
            <w:tcW w:w="460" w:type="dxa"/>
            <w:vAlign w:val="bottom"/>
          </w:tcPr>
          <w:p>
            <w:pPr>
              <w:spacing w:after="0"/>
              <w:rPr>
                <w:sz w:val="12"/>
                <w:szCs w:val="12"/>
                <w:color w:val="auto"/>
              </w:rPr>
            </w:pPr>
          </w:p>
        </w:tc>
        <w:tc>
          <w:tcPr>
            <w:tcW w:w="13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30, 2005</w:t>
            </w:r>
          </w:p>
        </w:tc>
        <w:tc>
          <w:tcPr>
            <w:tcW w:w="8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1, 2004</w:t>
            </w:r>
          </w:p>
        </w:tc>
        <w:tc>
          <w:tcPr>
            <w:tcW w:w="160" w:type="dxa"/>
            <w:vAlign w:val="bottom"/>
          </w:tcPr>
          <w:p>
            <w:pPr>
              <w:spacing w:after="0"/>
              <w:rPr>
                <w:sz w:val="12"/>
                <w:szCs w:val="12"/>
                <w:color w:val="auto"/>
              </w:rPr>
            </w:pPr>
          </w:p>
        </w:tc>
      </w:tr>
      <w:tr>
        <w:trPr>
          <w:trHeight w:val="20"/>
        </w:trPr>
        <w:tc>
          <w:tcPr>
            <w:tcW w:w="4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6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603,726</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678,530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9"/>
              </w:rPr>
              <w:t>1,184,262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1,283,883</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46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0.31</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0.68</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6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117,599</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152,583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225,042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269,422</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a % of Sales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sales in the second quarter of fiscal 2005 declined by $74.8 million or 11% from the amount recorded in the second quarter of fiscal 2004 and declined by $99.6 million or 8% in the six months ended April 30, 2005 from the six months ended May 1, 2004. For both the three and six month periods, the year-to-year decreases in net sales were primarily the result of decreases in orders for products used in communications applications due to continuing weakness in the wireless handset end markets and to a lesser extent, decreases in revenue from products used in computer applications and automatic test equipment. These decreases were partially offset by an increase in sales of our products used in consumer end markets.</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Approximately 81% of our net sales were from analog products and approximately 19% of our net sales were from digital signal processing, or DSP, products in the second quarter of fiscal 2005. Our analog product sales were lower by 10% and 7% in the three and six months ended April 30, 2005, respectively, as compared to the same periods of fiscal 2004. Our DSP product sales were lower by 15% and 12% for the three and six month periods ended April 30, 2005, respectively, from the comparable periods of fiscal 2004.</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percentage of sales by geographic region, based upon point of sale, for the three and six month periods ended April 30, 2005 and May 1, 2004 is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20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21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6940" w:type="dxa"/>
            <w:vAlign w:val="bottom"/>
            <w:vMerge w:val="continue"/>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April 30, 2005</w:t>
            </w: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May 1, 2004</w:t>
            </w:r>
          </w:p>
        </w:tc>
        <w:tc>
          <w:tcPr>
            <w:tcW w:w="3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April 30, 2005</w:t>
            </w: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1, 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24%</w:t>
            </w:r>
          </w:p>
        </w:tc>
        <w:tc>
          <w:tcPr>
            <w:tcW w:w="12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25%</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20%</w:t>
            </w:r>
          </w:p>
        </w:tc>
        <w:tc>
          <w:tcPr>
            <w:tcW w:w="12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24%</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20%</w:t>
            </w:r>
          </w:p>
        </w:tc>
        <w:tc>
          <w:tcPr>
            <w:tcW w:w="12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18%</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16%</w:t>
            </w:r>
          </w:p>
        </w:tc>
        <w:tc>
          <w:tcPr>
            <w:tcW w:w="12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12%</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Asia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20%</w:t>
            </w:r>
          </w:p>
        </w:tc>
        <w:tc>
          <w:tcPr>
            <w:tcW w:w="12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21%</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decrease in net sales in dollars in the second quarter of fiscal 2005 compared to the second quarter of fiscal 2004 was primarily related to a decline in sales in China, Japan and North America, partially offset by an increase in sales in Europe. The decrease in net sales in dollars for the six months ended April 30, 2005 as compared to the same period of fiscal 2004 was primarily related to a decrease in sales in China, Japan and Rest of Asia, partially offset by an increase in sales in Europe.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0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Gross margin declined in the second quarter of fiscal 2005 to 57.4% of net sales, down 180 basis points from the second quarter of fiscal 2004, when gross margin was 59.2% of net sales. For the first six months of fiscal 2005, gross margin declined to 57.6% of net sales from 58.2% of net sales for the first six months of fiscal 2004. For both the three and six month periods, the decline in gross margin was primarily the result of a decrease in factory utilization in fiscal 2005 as compared to fiscal 2004.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5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R&amp;D Expenses</w:t>
            </w:r>
          </w:p>
        </w:tc>
        <w:tc>
          <w:tcPr>
            <w:tcW w:w="118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April 30, 2005</w:t>
            </w:r>
          </w:p>
        </w:tc>
        <w:tc>
          <w:tcPr>
            <w:tcW w:w="9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1, 2004</w:t>
            </w:r>
          </w:p>
        </w:tc>
        <w:tc>
          <w:tcPr>
            <w:tcW w:w="480" w:type="dxa"/>
            <w:vAlign w:val="bottom"/>
          </w:tcPr>
          <w:p>
            <w:pPr>
              <w:spacing w:after="0"/>
              <w:rPr>
                <w:sz w:val="12"/>
                <w:szCs w:val="12"/>
                <w:color w:val="auto"/>
              </w:rPr>
            </w:pPr>
          </w:p>
        </w:tc>
        <w:tc>
          <w:tcPr>
            <w:tcW w:w="13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30, 2005</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1, 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126,642</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$ 128,478</w:t>
            </w:r>
          </w:p>
        </w:tc>
        <w:tc>
          <w:tcPr>
            <w:tcW w:w="480" w:type="dxa"/>
            <w:vAlign w:val="bottom"/>
          </w:tcPr>
          <w:p>
            <w:pPr>
              <w:spacing w:after="0"/>
              <w:rPr>
                <w:sz w:val="16"/>
                <w:szCs w:val="16"/>
                <w:color w:val="auto"/>
              </w:rPr>
            </w:pPr>
          </w:p>
        </w:tc>
        <w:tc>
          <w:tcPr>
            <w:tcW w:w="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254,176</w:t>
            </w:r>
          </w:p>
        </w:tc>
        <w:tc>
          <w:tcPr>
            <w:tcW w:w="500" w:type="dxa"/>
            <w:vAlign w:val="bottom"/>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$ 249,108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R&amp;D Expenses as a % of Net Sales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18.9%</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or R&amp;D, expenses decreased $1.8 million or 1% in the second quarter of fiscal 2005 as compared to the second quarter of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 The decrease in R&amp;D expenses in dollars in the second quarter of fiscal 2005 compared to the second quarter of fiscal 2004 was primarily the result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decrease in employee bonus and intellectual property related expenses that were partially offset by increased salary expenses. R&amp;D expenses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million or 2% in the first six months of fiscal 2005 from the amount recorded in the comparable period of fiscal 2004. The increase in R&amp;D expenses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six month period ended April 30, 2005 as compared to the same period in fiscal year 2004 was due to an increase in salary expenses that was partially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a decrease in employee bonus expenses. R&amp;D expense as a percentage of net sales will fluctuate from quarter to quarter depending on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the success of new product development efforts, which we view as critical to our future growth. At any point in time we have hundreds of R&amp;D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projects underway, and we believe that none of these projects is material on an individual basis. We expect to continue the development of innovative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technologies and processes for new products, and we believe that a continued commitment to R&amp;D is essential in order to maintain product leadership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existing products and to provide innovative new product offerings. Therefore, we expect to continue to make significant R&amp;D investments in the future.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5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SMG&amp;A Expenses</w:t>
            </w:r>
          </w:p>
        </w:tc>
        <w:tc>
          <w:tcPr>
            <w:tcW w:w="118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April 30, 2005</w:t>
            </w:r>
          </w:p>
        </w:tc>
        <w:tc>
          <w:tcPr>
            <w:tcW w:w="9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1, 2004</w:t>
            </w:r>
          </w:p>
        </w:tc>
        <w:tc>
          <w:tcPr>
            <w:tcW w:w="480" w:type="dxa"/>
            <w:vAlign w:val="bottom"/>
          </w:tcPr>
          <w:p>
            <w:pPr>
              <w:spacing w:after="0"/>
              <w:rPr>
                <w:sz w:val="12"/>
                <w:szCs w:val="12"/>
                <w:color w:val="auto"/>
              </w:rPr>
            </w:pPr>
          </w:p>
        </w:tc>
        <w:tc>
          <w:tcPr>
            <w:tcW w:w="13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30, 2005</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1, 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85,813</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85,282</w:t>
            </w:r>
          </w:p>
        </w:tc>
        <w:tc>
          <w:tcPr>
            <w:tcW w:w="480" w:type="dxa"/>
            <w:vAlign w:val="bottom"/>
          </w:tcPr>
          <w:p>
            <w:pPr>
              <w:spacing w:after="0"/>
              <w:rPr>
                <w:sz w:val="16"/>
                <w:szCs w:val="16"/>
                <w:color w:val="auto"/>
              </w:rPr>
            </w:pPr>
          </w:p>
        </w:tc>
        <w:tc>
          <w:tcPr>
            <w:tcW w:w="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169,154</w:t>
            </w:r>
          </w:p>
        </w:tc>
        <w:tc>
          <w:tcPr>
            <w:tcW w:w="500" w:type="dxa"/>
            <w:vAlign w:val="bottom"/>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$ 164,520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SMG&amp;A Expenses as a % of Net Sales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12.6%</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Selling, marketing, general and administrative, or SMG&amp;A, expenses increased $0.5 million or 1% in the second quarter of fiscal 2005 as compared to the second quarter of fiscal 2004. SMG&amp;A expenses increased $4.6 million or 3% in the first six months of fiscal 2005 as compared to the first six months of fiscal 2004. The slight increase in SMG&amp;A expenses in dollars in the three and six month periods ended April 30, 2005 compared to the same periods in the prior year was primarily the result of increased salary expenses partially offset by a decrease in employee bonus expenses. These factors, combined with the decrease in sales, were the reason for the increase in SMG&amp;A as a percentage of sales in the three and six month periods ended April 30, 2005 as compared to the same periods in the prior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Income and Expense</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income was $16.7 million and $31.2 million in the three and six months ended April 30, 2005 compared to $7.3 million and $13.7 million in the same periods in the prior year. The increase in interest income was primarily attributable to higher interest rates in the first and second quarters of fiscal 2005 as compared to the first and second quarters of fiscal 2004.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effective tax rate reflects the applicable tax rate in effect in the various tax jurisdictions around the world where our income is earned. Our effective income tax rate was 22.2% for the six months ended April 30, 2005 and 21.9% for the six months ended May 1, 2004.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0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4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30, 2005</w:t>
            </w:r>
          </w:p>
        </w:tc>
        <w:tc>
          <w:tcPr>
            <w:tcW w:w="92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1, 2004</w:t>
            </w:r>
          </w:p>
        </w:tc>
        <w:tc>
          <w:tcPr>
            <w:tcW w:w="480" w:type="dxa"/>
            <w:vAlign w:val="bottom"/>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30, 2005</w:t>
            </w:r>
          </w:p>
        </w:tc>
        <w:tc>
          <w:tcPr>
            <w:tcW w:w="7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1, 2004</w:t>
            </w:r>
          </w:p>
        </w:tc>
        <w:tc>
          <w:tcPr>
            <w:tcW w:w="160" w:type="dxa"/>
            <w:vAlign w:val="bottom"/>
          </w:tcPr>
          <w:p>
            <w:pPr>
              <w:spacing w:after="0"/>
              <w:rPr>
                <w:sz w:val="12"/>
                <w:szCs w:val="12"/>
                <w:color w:val="auto"/>
              </w:rPr>
            </w:pPr>
          </w:p>
        </w:tc>
      </w:tr>
      <w:tr>
        <w:trPr>
          <w:trHeight w:val="20"/>
        </w:trPr>
        <w:tc>
          <w:tcPr>
            <w:tcW w:w="4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117,599</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152,583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225,042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269,422</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as a % of Net Sales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3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0.39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0.68</w:t>
            </w:r>
          </w:p>
        </w:tc>
      </w:tr>
    </w:tbl>
    <w:p>
      <w:pPr>
        <w:spacing w:after="0" w:line="15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income in the second quarter of 2005 was lower than the second quarter of fiscal 2004 by approximately $35 million primarily as the result of the 11% decline in sales between these periods. For the six month period ended April 30, 2005, net income was lower than the same period in the prior year by approximately $44.4 million primarily as the result of the 8% decline in sales between these periods.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currently planning for revenue in the third quarter of fiscal 2005 to be flat to up 3% from the level recorded in the second quarter of fiscal 2005. At these revenue levels, and depending on product mix, we expect gross margin percentage to improve toward 58% and for inventory to be approximately flat to the level at the second quarter of fiscal 2005. We are planning for operating expenses in the third quarter of fiscal 2005 to be approximately flat to the second quarter of fiscal 2005. Based on these assumptions, we expect diluted EPS to be in the range of $0.31 to $0.33 for the third quarter of fiscal 2005.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20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One of our directors, who has been a director since 1988, became a director of Taiwan Semiconductor Manufacturing Company, or TSMC, in fiscal 2002. We purchased approximately $52 million and $88 million of products from TSMC in each of the three month periods ended April 30, 2005 and May 1, 2004, respectively, and $122 million and $159 million in each of the six month periods ended April 30, 2005 and May 1, 2004, respectively. Approximately</w:t>
      </w:r>
    </w:p>
    <w:p>
      <w:pPr>
        <w:spacing w:after="0" w:line="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$22 million and $15 million was payable to TSMC as of April 30, 2005 and October 30, 2004. We anticipate that we will make significant purchases from TSMC in the remaining quarters of fiscal year 2005.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April 30, 2005, cash, cash equivalents and short-term investments totaled $2,617 million, a decline of $68 million from the fourth quarter of fiscal 2004.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sources of funds for the first six months of fiscal 2005 were net cash generated from operating activities of $292.1 million and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$28.4 million from our various employee stock plans. The principal uses of funds for the first six months of fiscal 2005 were the repurchase of $284.7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common stock, capital expenditures of $45.5 million and dividend payments of $44.8 million.</w:t>
      </w:r>
    </w:p>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Accounts receivable of $320.4 million at the end of the second quarter of fiscal 2005 decreased $9.1 million, or 2.8%, from $329.5 million at the end of the fourth quarter of fiscal 2004. The decrease in accounts receivable in the second quarter of fiscal 2005 from the fourth quarter of fiscal 2004 was primarily the result of the decrease in net sales. Days sales outstanding at April 30, 2005 and October 30, 2004 was 48 days.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increased by $2.5 million, or 0.7%, from $345.9 million at the end of fiscal 2004, to $348.4 million at the end of the second quarter of fiscal 2005.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cost of sales in inventory was 124 days at April 30, 2005 compared to 123 days at October 30, 2004.</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Current liabilities decreased to $536.4 million at the end of the second quarter of fiscal 2005, a decrease of $30.6 million, or 5.4%, from the $567.0 million at the end of fiscal 2004. The decrease in current liabilities was primarily the result of a $29.0 million decrease in deferred income on shipments to distributors as a result of a reduction in inventory in the distribution channel and a $21.1 million decrease in accounts payable caused principally by a decrease in manufacturing spending. These decreases were partially offset by a $14.9 million increase to income taxes payable.</w:t>
      </w:r>
    </w:p>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additions to property, plant and equipment were $45.5 million in the first six months of fiscal 2005 and were funded with a combination of cash on hand and cash generated from operations. Fiscal 2005 capital expenditures are expected to be approximately $100 million to $110 million.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May 11, 2005, our Board of Directors declared a cash dividend of $0.10 per outstanding share of our common stock. The dividend is payable on June 15, 2005 to shareholders of record on May 27, 2005 and is expected to be approximately $37 million. The payment of future dividends, if any, will be based on our future financial performance.</w:t>
      </w:r>
    </w:p>
    <w:p>
      <w:pPr>
        <w:spacing w:after="0" w:line="14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first six months of fiscal 2005, we distributed $31 million from our amended and restated deferred compensation plan (the “Deferred Compensation Plan”) as a result of participant terminations or at the direction of the participants. This amount represented compensation and/or stock option gains previously deferred by those participants pursuant to the terms of our Deferred Compensation Plan. The amounts of all of these payment obligations were previously reflected in the “More than 5 Years” column of the contractual obligations table contained in the section entitled “Management’s Discussion and Analysis of Financial Condition and Results of Operations” of the Analog Devices Annual Report on Form 10-K for the fiscal year ended October 30, 2004.</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April 30, 2005, our principal source of liquidity was $2,617 million of cash and cash equivalents and short-term investments. We believe that our existing sources of liquidity and cash expected to be generated from future operations, together with anticipated available long-term financing, will be sufficient to fund operations, capital expenditures, research and development efforts, dividend payments and purchases of stock under our stock repurchase program for at least the next twelve months and thereafter for the foreseeable future.</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March 2005, the Financial Accounting Standards Board (FASB) issued FASB Interpretation No. 47 (FIN 47), </w:t>
      </w:r>
      <w:r>
        <w:rPr>
          <w:rFonts w:ascii="Times New Roman" w:cs="Times New Roman" w:eastAsia="Times New Roman" w:hAnsi="Times New Roman"/>
          <w:sz w:val="18"/>
          <w:szCs w:val="18"/>
          <w:i w:val="1"/>
          <w:iCs w:val="1"/>
          <w:color w:val="auto"/>
        </w:rPr>
        <w:t>Accounting for Conditional Asset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 an interpretation of FASB Statement No. 143. </w:t>
      </w:r>
      <w:r>
        <w:rPr>
          <w:rFonts w:ascii="Times New Roman" w:cs="Times New Roman" w:eastAsia="Times New Roman" w:hAnsi="Times New Roman"/>
          <w:sz w:val="18"/>
          <w:szCs w:val="18"/>
          <w:color w:val="auto"/>
        </w:rPr>
        <w:t>FIN 47 clarifies that the term conditional asset retirement obligation as used in FASB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 143, </w:t>
      </w:r>
      <w:r>
        <w:rPr>
          <w:rFonts w:ascii="Times New Roman" w:cs="Times New Roman" w:eastAsia="Times New Roman" w:hAnsi="Times New Roman"/>
          <w:sz w:val="18"/>
          <w:szCs w:val="18"/>
          <w:i w:val="1"/>
          <w:iCs w:val="1"/>
          <w:color w:val="auto"/>
        </w:rPr>
        <w:t>Accounting for Asset Retirement Obligations,</w:t>
      </w:r>
      <w:r>
        <w:rPr>
          <w:rFonts w:ascii="Times New Roman" w:cs="Times New Roman" w:eastAsia="Times New Roman" w:hAnsi="Times New Roman"/>
          <w:sz w:val="18"/>
          <w:szCs w:val="18"/>
          <w:color w:val="auto"/>
        </w:rPr>
        <w:t xml:space="preserve"> refers to a legal obligation to perform an asset retirement activity in which the timing and (or) method of settlement are conditional on a future 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We are currently analyzing FIN 47 and believe the adoption of FIN 47 will not have a material impact on our financial condition, results of operations or liquidity.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Nonmonetary Assets</w:t>
      </w:r>
    </w:p>
    <w:p>
      <w:pPr>
        <w:spacing w:after="0" w:line="19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December 2004, the FASB issued Statement of Financial Accounting Standards (SFAS) No. 153, </w:t>
      </w:r>
      <w:r>
        <w:rPr>
          <w:rFonts w:ascii="Times New Roman" w:cs="Times New Roman" w:eastAsia="Times New Roman" w:hAnsi="Times New Roman"/>
          <w:sz w:val="18"/>
          <w:szCs w:val="18"/>
          <w:i w:val="1"/>
          <w:iCs w:val="1"/>
          <w:color w:val="auto"/>
        </w:rPr>
        <w:t>Exchanges of Nonmonetary Assets – an amendment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APB Opinion No. 29, </w:t>
      </w:r>
      <w:r>
        <w:rPr>
          <w:rFonts w:ascii="Times New Roman" w:cs="Times New Roman" w:eastAsia="Times New Roman" w:hAnsi="Times New Roman"/>
          <w:sz w:val="18"/>
          <w:szCs w:val="18"/>
          <w:color w:val="auto"/>
        </w:rPr>
        <w:t>(SFAS 153). SFAS 153 is based on the principle that exchanges of nonmonetary assets should be measured based on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assets exchanged. SFAS 153 eliminates the exception for nonmonetary exchanges of similar productive assets and replaces it with a general exception for exchanges of nonmonetary assets that do not have commercial substance. SFAS 153 is effective for nonmonetary asset exchanges in fiscal periods beginning after June 15, 2005. We are currently evaluating the provisions of SFAS 153 and do not believe that its adoption will have a material impact on our financial condition, results of operations or liquidity.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Costs</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2004, the FASB issued SFAS No. 151, </w:t>
      </w:r>
      <w:r>
        <w:rPr>
          <w:rFonts w:ascii="Times New Roman" w:cs="Times New Roman" w:eastAsia="Times New Roman" w:hAnsi="Times New Roman"/>
          <w:sz w:val="18"/>
          <w:szCs w:val="18"/>
          <w:i w:val="1"/>
          <w:iCs w:val="1"/>
          <w:color w:val="auto"/>
        </w:rPr>
        <w:t>Inventory Costs, an amendment of Accounting Research Bulletin (ARB) No. 43, Chapter 4</w:t>
      </w:r>
      <w:r>
        <w:rPr>
          <w:rFonts w:ascii="Times New Roman" w:cs="Times New Roman" w:eastAsia="Times New Roman" w:hAnsi="Times New Roman"/>
          <w:sz w:val="18"/>
          <w:szCs w:val="18"/>
          <w:color w:val="auto"/>
        </w:rPr>
        <w:t xml:space="preserve"> (SFAS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We are currently evaluating the provisions of SFAS 151 and do not believe that its adoption will have a material impact on our financial condition, results of operations or liquidity.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On December 16, 2004, the FASB issued SFAS 123 (revised 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which is a revision of SFAS No. 123, </w:t>
      </w:r>
      <w:r>
        <w:rPr>
          <w:rFonts w:ascii="Times New Roman" w:cs="Times New Roman" w:eastAsia="Times New Roman" w:hAnsi="Times New Roman"/>
          <w:sz w:val="18"/>
          <w:szCs w:val="18"/>
          <w:i w:val="1"/>
          <w:iCs w:val="1"/>
          <w:color w:val="auto"/>
        </w:rPr>
        <w:t>Accounting for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(SFAS 123(R)). SFAS 123(R) supersedes APB Opinion No. 25,</w:t>
      </w:r>
      <w:r>
        <w:rPr>
          <w:rFonts w:ascii="Times New Roman" w:cs="Times New Roman" w:eastAsia="Times New Roman" w:hAnsi="Times New Roman"/>
          <w:sz w:val="18"/>
          <w:szCs w:val="18"/>
          <w:i w:val="1"/>
          <w:iCs w:val="1"/>
          <w:color w:val="auto"/>
        </w:rPr>
        <w:t xml:space="preserve"> Accounting for Stock Issued to Employees</w:t>
      </w:r>
      <w:r>
        <w:rPr>
          <w:rFonts w:ascii="Times New Roman" w:cs="Times New Roman" w:eastAsia="Times New Roman" w:hAnsi="Times New Roman"/>
          <w:sz w:val="18"/>
          <w:szCs w:val="18"/>
          <w:color w:val="auto"/>
        </w:rPr>
        <w:t>, and amends SFAS No. 95,</w:t>
      </w:r>
      <w:r>
        <w:rPr>
          <w:rFonts w:ascii="Times New Roman" w:cs="Times New Roman" w:eastAsia="Times New Roman" w:hAnsi="Times New Roman"/>
          <w:sz w:val="18"/>
          <w:szCs w:val="18"/>
          <w:i w:val="1"/>
          <w:iCs w:val="1"/>
          <w:color w:val="auto"/>
        </w:rPr>
        <w:t xml:space="preserve"> Statement of Cash Flows</w:t>
      </w:r>
      <w:r>
        <w:rPr>
          <w:rFonts w:ascii="Times New Roman" w:cs="Times New Roman" w:eastAsia="Times New Roman" w:hAnsi="Times New Roman"/>
          <w:sz w:val="18"/>
          <w:szCs w:val="18"/>
          <w:color w:val="auto"/>
        </w:rPr>
        <w:t>. Generally, the approach in SFAS 123(R) is similar to the approach described in SFAS 123. However, SFAS 123(R) requires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payments to employees, including grants of employee stock options, to be recognized in the income statement based on their fair values at the date of grant. Pro forma disclosure is no longer an alternative.</w:t>
      </w:r>
    </w:p>
    <w:p>
      <w:pPr>
        <w:spacing w:after="0" w:line="14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SFAS 123(R) permits public companies to adopt its requirements using one of two methods. A “modified prospective” method in which compensation cost is recognized beginning with the effective date (a) based on the requirements of SFAS 123(R) for all share-based payments granted after the effective date and</w:t>
      </w:r>
    </w:p>
    <w:p>
      <w:pPr>
        <w:spacing w:after="0" w:line="1" w:lineRule="exact"/>
        <w:rPr>
          <w:sz w:val="20"/>
          <w:szCs w:val="20"/>
          <w:color w:val="auto"/>
        </w:rPr>
      </w:pPr>
    </w:p>
    <w:p>
      <w:pPr>
        <w:ind w:right="80" w:firstLine="8"/>
        <w:spacing w:after="0" w:line="254"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requirements of SFAS 123 for all awards granted to employees prior to the effective date of SFAS 123(R) that remain unvested on the effective date. A “modified retrospective” method includes the requirements of the modified prospective method described above, but also permits entities to restate their historical financial statements based on the amounts previously recognized under SFAS 123 for purposes of pro forma disclosures either (a) all prior periods presented or (b) prior interim periods of the year of adoption. We have yet to determine which method to use in adopting SFAS 123(R).</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permitted by SFAS 123, we currently account for share-based payments to employees using APB Opinion No. 25’s intrinsic value method and, as such, generally recognize no compensation cost for employee stock options. Accordingly, the adoption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SFAS 123(R)’s fair value method will have a significant impact on our results of operations, although it will have no impact on our overall financial position.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evaluating SFAS 123(R) and have not yet determined the amount of stock option expense that will be incurred in future periods.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April 14, 2005, the Securities and Exchange Commission announced the adoption of a new rule that amends the compliance dates for FASB SFAS 123(R). The new rule allows companies to implement SFAS 123(R) at the beginning of their next fiscal year, instead of the next reporting period, that begins after June 15, 2005. We expect to adopt SFAS 123(R) beginning in fiscal year 2006 on October 30, 2005.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estimates or judgments that are difficult or subjective.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If actual demand for our products is less than our estimates, additional reserves for existing inventories may need to be recorded in future periods.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20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review property, plant, and equipment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life.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 analyses.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9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Statement of Financial Accounting Standards No. 142, or FAS 142,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we annually assess goodwill for impairment, or earlier if indicators of potential impairment exist and suggest that the carrying value of goodwill may not be recoverable. Because we have one reporting segment under FAS 142, we utilize the entity-wide approach to assess goodwill for impairment and compare our market value to our net book value to determine if an impairment exists. These assessments may result in impairment losses that could have a material adverse impact on our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Statement of Financial Accounting Standards No. 109, or FAS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which requires that deferred tax assets and liabilities be recognized using enacted tax rates for the effect of temporary differences between the book and tax bases of recorded assets and liabilities. FAS 109 also requires that deferred tax assets be reduced by a valuation allowance if it is more likely than not that some portion or all of the deferred tax asset will not be realized. We evaluate the realizability of our deferred tax assets quarterly. At April 30, 2005, we had gross deferred tax assets of $140 million primarily resulting from temporary differences between the book and tax bases of assets and liabilities. We have conducted an assessment of the likelihood of realization of those deferred tax assets and concluded that a $33 million valuation allowance is needed to reserve the amount of the deferred tax assets that may not be realized due to the expiration of state credit carryovers.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such determinations are made.</w:t>
      </w:r>
    </w:p>
    <w:p>
      <w:pPr>
        <w:spacing w:after="0" w:line="1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have provided for potential liabilities due in various jurisdictions. Judgment is required in determining our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such determinations are made.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we receive notices that our products or manufacturing processes may be infringing the patent or intellectual property rights of others. We periodically assess each matter to determine if a contingent liability should be recorded in accordance with Statement of Financial Accounting Standards No. 5, or FAS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Should a loss be probable and reasonably capable of being estimated, we record a contingent loss in accordance with 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 may need to record additional contingent losses that could materially adversely impact our results of operations. See Note 11 to our Consolidated Financial Statements contained in Item 1 of this Quarterly Report on Form 10-Q.</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operating results are difficult to predict and may materially fluctuate.</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manufacturing capacity, the risk that our backlog could decline significantly, our ability to hire, retain and motivate adequate numbers of engineers and other qualified employees to meet the demands of our customers, changes in product mix, and the effect of adverse changes in economic conditions in the United States and international markets. 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contracts are not typical for us and reductions, cancelations or delays in orders for our products could adversely affect our operating results.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cancelation of orders leading to a sharp fall-off of sales and backlog. Further, those orders may be for products that meet the customer’s unique requirements so that those canceled orders would, in addition, result in an inventory of unsaleable products, resulting in potential inventory write-offs. As a result of lengthy manufacturing cycles for certain of the products subject to these uncertainties, the amount of unsaleable product could be substantial. Reductions, cancelations or delays in orders for our products could adversely affect our operating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success depends upon our ability to develop and market new products and enter new markets.</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success significantly depends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 Also, some of our customers in these markets are less established, which could subject us to increased credit risk.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compete successfully in the semiconductor industry in the future.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Many other companies offer products that compete with our products. Some have greater financial, manufacturing, technical and marketing resources than we have. Additionally, some formerly independent competitors have been purchased by larger companies. Our competitors also include emerging companies selling specialized products to markets we serve. There can be no assurance that we will be able to compete successfully in the future against existing or new competitors, or that our operating results will not be adversely affected by increased price competition.</w:t>
      </w:r>
    </w:p>
    <w:p>
      <w:pPr>
        <w:spacing w:after="0" w:line="13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delivery schedules, manufacturing yields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satisfy increasing demand for our products, and increased production may lead to overcapacity and lower prices.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cyclical nature of the semiconductor industry has resulted in sustained and short-term periods when demand for our products has increased or decreased rapidly. During these periods of rapid increases in demand, our available capacity may not be sufficient to satisfy the available demand. We, and the semiconductor industry generally, expand production facilities and access to third-party foundries in response to these periods of increased demand. These capacity expansions by us and other semiconductor manufacturers could lead to overcapacity in our target markets, which could lead to price erosion that would adversely impact our operating results.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revenue may not increase enough to offset the expense of additional capacity.</w:t>
      </w:r>
    </w:p>
    <w:p>
      <w:pPr>
        <w:spacing w:after="0" w:line="20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and the semiconductor industry generally, expand production facilities and access to third-party foundries in response to periods of increased demand which can cause operating expenses to increase. Should customer demand fail to increase or should the semiconductor industry enter a period of reduced customer demand, our financial position and results of operations could be adversely impacted as a result of underutilization of capacity or asset impairment charges.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adequately protect our proprietary rights, which may limit our ability to compete effectively.</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rely primarily upon know-how, rather than on patents, to develop and maintain our competitive position. There can be no assurance that others will not develop or patent similar technology or reverse engineer our products or that the confidentiality agreements upon which we rely will be adequate to protect our interests. Other companies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 Moreover, the laws of foreign countries in which we design, manufacture and market our products may afford little or no effective protection of our proprietary technology.</w:t>
      </w:r>
    </w:p>
    <w:p>
      <w:pPr>
        <w:spacing w:after="0" w:line="15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patent will issue on pending applications or that any patent issued will provide substantive protection for the technology or product covered by it. We believe that patent and mask set protection is of less significance in our business than experience, innovation and management skill.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11 in the Notes to our Consolidated Financial Statements contained in Item 1 of this Quarterly Report on Form 10-Q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do not retain our key personnel, our ability to execute our business strategy will be limited.</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manufacturing capacity located in geologically unstable areas, which could affect the availability of supplies and services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and many companies in the semiconductor industry, rely on internal manufacturing capacity located in California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Any prolonged inability to utilize one of our manufacturing facilities as a result of fire, natural disaster, unavailability of electric power or otherwise, would have a material adverse effect on our results of operations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economic, political and other risks through our significant worldwide operations.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first six months of fiscal 2005, approximately 75% of our revenues were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particularly in the United States and China, as well as high energy costs could have an adverse impact on industrial and consumer spending patterns and could adversely impact demand for our products. 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These risks include air transportation disruptions, expropriation, currency controls, currency exchange rate movement, and additional costs related to tax, tariff and freight rate increases.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operating results are dependent on the performance of independent distributors and sales representatives.</w:t>
      </w:r>
    </w:p>
    <w:p>
      <w:pPr>
        <w:spacing w:after="0" w:line="20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manufacturing processes are highly complex and may be interrupted.</w:t>
      </w:r>
    </w:p>
    <w:p>
      <w:pPr>
        <w:spacing w:after="0" w:line="187"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information provided under ITEM 7A. “Qualitative and Quantitative Disclosures about Market Risk” set forth on pages 29-30 of our Annual Report on Form 10-K for the year ended October 30, 2004.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7" w:lineRule="exact"/>
        <w:rPr>
          <w:sz w:val="20"/>
          <w:szCs w:val="20"/>
          <w:color w:val="auto"/>
        </w:rPr>
      </w:pPr>
    </w:p>
    <w:p>
      <w:pPr>
        <w:ind w:firstLine="8"/>
        <w:spacing w:after="0" w:line="253"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Analog’s disclosure controls and procedures as of April 30, 2005.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April 30, 2005, our Chief Executive Officer and Chief Financial Officer concluded that, as of such date, our disclosure controls and procedures were effective at the reasonable assurance level.</w:t>
      </w:r>
    </w:p>
    <w:p>
      <w:pPr>
        <w:spacing w:after="0" w:line="165" w:lineRule="exact"/>
        <w:rPr>
          <w:rFonts w:ascii="Times New Roman" w:cs="Times New Roman" w:eastAsia="Times New Roman" w:hAnsi="Times New Roman"/>
          <w:sz w:val="18"/>
          <w:szCs w:val="18"/>
          <w:color w:val="auto"/>
        </w:rPr>
      </w:pPr>
    </w:p>
    <w:p>
      <w:pPr>
        <w:ind w:right="100" w:firstLine="8"/>
        <w:spacing w:after="0" w:line="267"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Controls. </w:t>
      </w:r>
      <w:r>
        <w:rPr>
          <w:rFonts w:ascii="Times New Roman" w:cs="Times New Roman" w:eastAsia="Times New Roman" w:hAnsi="Times New Roman"/>
          <w:sz w:val="18"/>
          <w:szCs w:val="18"/>
          <w:color w:val="auto"/>
        </w:rPr>
        <w:t>No change in our internal control over financial reporting (as defined in Rules 13a-15(f) and 15d-15(f) under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occurred during the second quarter ended April 30, 2005 that has materially affected, or is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Analog Devices during the quarter ended April 30, 2005 of equity securities that are registered by Analog Services pursuant to Section 12 of the Exchange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5020" w:type="dxa"/>
            <w:vAlign w:val="bottom"/>
            <w:tcBorders>
              <w:top w:val="single" w:sz="8" w:color="auto"/>
              <w:left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Total Number of</w:t>
            </w:r>
          </w:p>
        </w:tc>
        <w:tc>
          <w:tcPr>
            <w:tcW w:w="1480" w:type="dxa"/>
            <w:vAlign w:val="bottom"/>
            <w:tcBorders>
              <w:top w:val="single" w:sz="8" w:color="auto"/>
              <w:right w:val="single" w:sz="8" w:color="auto"/>
            </w:tcBorders>
            <w:gridSpan w:val="2"/>
          </w:tcPr>
          <w:p>
            <w:pPr>
              <w:ind w:left="100"/>
              <w:spacing w:after="0" w:line="139" w:lineRule="exact"/>
              <w:rPr>
                <w:sz w:val="20"/>
                <w:szCs w:val="20"/>
                <w:color w:val="auto"/>
              </w:rPr>
            </w:pPr>
            <w:r>
              <w:rPr>
                <w:rFonts w:ascii="Times New Roman" w:cs="Times New Roman" w:eastAsia="Times New Roman" w:hAnsi="Times New Roman"/>
                <w:sz w:val="14"/>
                <w:szCs w:val="14"/>
                <w:color w:val="auto"/>
              </w:rPr>
              <w:t>Approximate Dollar</w:t>
            </w:r>
          </w:p>
        </w:tc>
        <w:tc>
          <w:tcPr>
            <w:tcW w:w="0" w:type="dxa"/>
            <w:vAlign w:val="bottom"/>
          </w:tcPr>
          <w:p>
            <w:pPr>
              <w:spacing w:after="0"/>
              <w:rPr>
                <w:sz w:val="1"/>
                <w:szCs w:val="1"/>
                <w:color w:val="auto"/>
              </w:rPr>
            </w:pPr>
          </w:p>
        </w:tc>
      </w:tr>
      <w:tr>
        <w:trPr>
          <w:trHeight w:val="149"/>
        </w:trPr>
        <w:tc>
          <w:tcPr>
            <w:tcW w:w="502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Borders>
              <w:right w:val="single" w:sz="8" w:color="auto"/>
            </w:tcBorders>
          </w:tcPr>
          <w:p>
            <w:pPr>
              <w:jc w:val="center"/>
              <w:ind w:right="219"/>
              <w:spacing w:after="0" w:line="149" w:lineRule="exact"/>
              <w:rPr>
                <w:sz w:val="20"/>
                <w:szCs w:val="20"/>
                <w:color w:val="auto"/>
              </w:rPr>
            </w:pPr>
            <w:r>
              <w:rPr>
                <w:rFonts w:ascii="Times New Roman" w:cs="Times New Roman" w:eastAsia="Times New Roman" w:hAnsi="Times New Roman"/>
                <w:sz w:val="14"/>
                <w:szCs w:val="14"/>
                <w:color w:val="auto"/>
              </w:rPr>
              <w:t>Value of Shares</w:t>
            </w:r>
          </w:p>
        </w:tc>
        <w:tc>
          <w:tcPr>
            <w:tcW w:w="0" w:type="dxa"/>
            <w:vAlign w:val="bottom"/>
          </w:tcPr>
          <w:p>
            <w:pPr>
              <w:spacing w:after="0"/>
              <w:rPr>
                <w:sz w:val="1"/>
                <w:szCs w:val="1"/>
                <w:color w:val="auto"/>
              </w:rPr>
            </w:pPr>
          </w:p>
        </w:tc>
      </w:tr>
      <w:tr>
        <w:trPr>
          <w:trHeight w:val="149"/>
        </w:trPr>
        <w:tc>
          <w:tcPr>
            <w:tcW w:w="502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200" w:type="dxa"/>
            <w:vAlign w:val="bottom"/>
          </w:tcPr>
          <w:p>
            <w:pPr>
              <w:spacing w:after="0"/>
              <w:rPr>
                <w:sz w:val="12"/>
                <w:szCs w:val="12"/>
                <w:color w:val="auto"/>
              </w:rPr>
            </w:pPr>
          </w:p>
        </w:tc>
        <w:tc>
          <w:tcPr>
            <w:tcW w:w="1280" w:type="dxa"/>
            <w:vAlign w:val="bottom"/>
            <w:tcBorders>
              <w:right w:val="single" w:sz="8" w:color="auto"/>
            </w:tcBorders>
          </w:tcPr>
          <w:p>
            <w:pPr>
              <w:jc w:val="center"/>
              <w:ind w:right="219"/>
              <w:spacing w:after="0" w:line="149" w:lineRule="exact"/>
              <w:rPr>
                <w:sz w:val="20"/>
                <w:szCs w:val="20"/>
                <w:color w:val="auto"/>
              </w:rPr>
            </w:pPr>
            <w:r>
              <w:rPr>
                <w:rFonts w:ascii="Times New Roman" w:cs="Times New Roman" w:eastAsia="Times New Roman" w:hAnsi="Times New Roman"/>
                <w:sz w:val="14"/>
                <w:szCs w:val="14"/>
                <w:color w:val="auto"/>
              </w:rPr>
              <w:t>that May Yet Be</w:t>
            </w:r>
          </w:p>
        </w:tc>
        <w:tc>
          <w:tcPr>
            <w:tcW w:w="0" w:type="dxa"/>
            <w:vAlign w:val="bottom"/>
          </w:tcPr>
          <w:p>
            <w:pPr>
              <w:spacing w:after="0"/>
              <w:rPr>
                <w:sz w:val="1"/>
                <w:szCs w:val="1"/>
                <w:color w:val="auto"/>
              </w:rPr>
            </w:pPr>
          </w:p>
        </w:tc>
      </w:tr>
      <w:tr>
        <w:trPr>
          <w:trHeight w:val="149"/>
        </w:trPr>
        <w:tc>
          <w:tcPr>
            <w:tcW w:w="502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4"/>
                <w:szCs w:val="14"/>
                <w:color w:val="auto"/>
              </w:rPr>
              <w:t>Total Number of</w:t>
            </w:r>
          </w:p>
        </w:tc>
        <w:tc>
          <w:tcPr>
            <w:tcW w:w="8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4"/>
                <w:szCs w:val="14"/>
                <w:color w:val="auto"/>
              </w:rPr>
              <w:t>Average Price</w:t>
            </w:r>
          </w:p>
        </w:tc>
        <w:tc>
          <w:tcPr>
            <w:tcW w:w="1380" w:type="dxa"/>
            <w:vAlign w:val="bottom"/>
            <w:tcBorders>
              <w:right w:val="single" w:sz="8" w:color="auto"/>
            </w:tcBorders>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as Part of Publicly</w:t>
            </w:r>
          </w:p>
        </w:tc>
        <w:tc>
          <w:tcPr>
            <w:tcW w:w="1480" w:type="dxa"/>
            <w:vAlign w:val="bottom"/>
            <w:tcBorders>
              <w:right w:val="single" w:sz="8" w:color="auto"/>
            </w:tcBorders>
            <w:gridSpan w:val="2"/>
          </w:tcPr>
          <w:p>
            <w:pPr>
              <w:jc w:val="center"/>
              <w:ind w:right="39"/>
              <w:spacing w:after="0" w:line="149" w:lineRule="exact"/>
              <w:rPr>
                <w:sz w:val="20"/>
                <w:szCs w:val="20"/>
                <w:color w:val="auto"/>
              </w:rPr>
            </w:pPr>
            <w:r>
              <w:rPr>
                <w:rFonts w:ascii="Times New Roman" w:cs="Times New Roman" w:eastAsia="Times New Roman" w:hAnsi="Times New Roman"/>
                <w:sz w:val="14"/>
                <w:szCs w:val="14"/>
                <w:color w:val="auto"/>
              </w:rPr>
              <w:t>Purchased Under</w:t>
            </w:r>
          </w:p>
        </w:tc>
        <w:tc>
          <w:tcPr>
            <w:tcW w:w="0" w:type="dxa"/>
            <w:vAlign w:val="bottom"/>
          </w:tcPr>
          <w:p>
            <w:pPr>
              <w:spacing w:after="0"/>
              <w:rPr>
                <w:sz w:val="1"/>
                <w:szCs w:val="1"/>
                <w:color w:val="auto"/>
              </w:rPr>
            </w:pPr>
          </w:p>
        </w:tc>
      </w:tr>
      <w:tr>
        <w:trPr>
          <w:trHeight w:val="149"/>
        </w:trPr>
        <w:tc>
          <w:tcPr>
            <w:tcW w:w="5020" w:type="dxa"/>
            <w:vAlign w:val="bottom"/>
            <w:tcBorders>
              <w:left w:val="single" w:sz="8" w:color="auto"/>
              <w:right w:val="single" w:sz="8" w:color="auto"/>
            </w:tcBorders>
            <w:vMerge w:val="restart"/>
          </w:tcPr>
          <w:p>
            <w:pPr>
              <w:ind w:left="2320"/>
              <w:spacing w:after="0"/>
              <w:rPr>
                <w:sz w:val="20"/>
                <w:szCs w:val="20"/>
                <w:color w:val="auto"/>
              </w:rPr>
            </w:pPr>
            <w:r>
              <w:rPr>
                <w:rFonts w:ascii="Times New Roman" w:cs="Times New Roman" w:eastAsia="Times New Roman" w:hAnsi="Times New Roman"/>
                <w:sz w:val="14"/>
                <w:szCs w:val="14"/>
                <w:color w:val="auto"/>
              </w:rPr>
              <w:t>Period</w:t>
            </w:r>
          </w:p>
        </w:tc>
        <w:tc>
          <w:tcPr>
            <w:tcW w:w="128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Announced Plans</w:t>
            </w:r>
          </w:p>
        </w:tc>
        <w:tc>
          <w:tcPr>
            <w:tcW w:w="200" w:type="dxa"/>
            <w:vAlign w:val="bottom"/>
          </w:tcPr>
          <w:p>
            <w:pPr>
              <w:spacing w:after="0"/>
              <w:rPr>
                <w:sz w:val="12"/>
                <w:szCs w:val="12"/>
                <w:color w:val="auto"/>
              </w:rPr>
            </w:pPr>
          </w:p>
        </w:tc>
        <w:tc>
          <w:tcPr>
            <w:tcW w:w="1280" w:type="dxa"/>
            <w:vAlign w:val="bottom"/>
            <w:tcBorders>
              <w:right w:val="single" w:sz="8" w:color="auto"/>
            </w:tcBorders>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the Plans or</w:t>
            </w:r>
          </w:p>
        </w:tc>
        <w:tc>
          <w:tcPr>
            <w:tcW w:w="0" w:type="dxa"/>
            <w:vAlign w:val="bottom"/>
          </w:tcPr>
          <w:p>
            <w:pPr>
              <w:spacing w:after="0"/>
              <w:rPr>
                <w:sz w:val="1"/>
                <w:szCs w:val="1"/>
                <w:color w:val="auto"/>
              </w:rPr>
            </w:pPr>
          </w:p>
        </w:tc>
      </w:tr>
      <w:tr>
        <w:trPr>
          <w:trHeight w:val="171"/>
        </w:trPr>
        <w:tc>
          <w:tcPr>
            <w:tcW w:w="50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280" w:type="dxa"/>
            <w:vAlign w:val="bottom"/>
            <w:tcBorders>
              <w:bottom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Shares Purchased</w:t>
            </w:r>
          </w:p>
        </w:tc>
        <w:tc>
          <w:tcPr>
            <w:tcW w:w="88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Paid Per Share (a)</w:t>
            </w:r>
          </w:p>
        </w:tc>
        <w:tc>
          <w:tcPr>
            <w:tcW w:w="138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rPr>
              <w:t>or Programs (b)</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color w:val="auto"/>
              </w:rPr>
              <w:t>Programs (c)</w:t>
            </w:r>
          </w:p>
        </w:tc>
        <w:tc>
          <w:tcPr>
            <w:tcW w:w="0" w:type="dxa"/>
            <w:vAlign w:val="bottom"/>
          </w:tcPr>
          <w:p>
            <w:pPr>
              <w:spacing w:after="0"/>
              <w:rPr>
                <w:sz w:val="1"/>
                <w:szCs w:val="1"/>
                <w:color w:val="auto"/>
              </w:rPr>
            </w:pPr>
          </w:p>
        </w:tc>
      </w:tr>
      <w:tr>
        <w:trPr>
          <w:trHeight w:val="210"/>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January 30, 2005 through February 26, 2005</w:t>
            </w:r>
          </w:p>
        </w:tc>
        <w:tc>
          <w:tcPr>
            <w:tcW w:w="128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2,011,756</w:t>
            </w: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35.86</w:t>
            </w:r>
          </w:p>
        </w:tc>
        <w:tc>
          <w:tcPr>
            <w:tcW w:w="1380" w:type="dxa"/>
            <w:vAlign w:val="bottom"/>
            <w:tcBorders>
              <w:bottom w:val="single" w:sz="8" w:color="auto"/>
              <w:right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2,011,756</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129,561,767</w:t>
            </w:r>
          </w:p>
        </w:tc>
        <w:tc>
          <w:tcPr>
            <w:tcW w:w="0" w:type="dxa"/>
            <w:vAlign w:val="bottom"/>
          </w:tcPr>
          <w:p>
            <w:pPr>
              <w:spacing w:after="0"/>
              <w:rPr>
                <w:sz w:val="1"/>
                <w:szCs w:val="1"/>
                <w:color w:val="auto"/>
              </w:rPr>
            </w:pPr>
          </w:p>
        </w:tc>
      </w:tr>
      <w:tr>
        <w:trPr>
          <w:trHeight w:val="210"/>
        </w:trPr>
        <w:tc>
          <w:tcPr>
            <w:tcW w:w="50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27, 2005 through March 26, 2005</w:t>
            </w:r>
          </w:p>
        </w:tc>
        <w:tc>
          <w:tcPr>
            <w:tcW w:w="128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1,259,900</w:t>
            </w:r>
          </w:p>
        </w:tc>
        <w:tc>
          <w:tcPr>
            <w:tcW w:w="88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36.41</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rPr>
              <w:t>1,259,900</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83,685,245</w:t>
            </w:r>
          </w:p>
        </w:tc>
        <w:tc>
          <w:tcPr>
            <w:tcW w:w="0" w:type="dxa"/>
            <w:vAlign w:val="bottom"/>
          </w:tcPr>
          <w:p>
            <w:pPr>
              <w:spacing w:after="0"/>
              <w:rPr>
                <w:sz w:val="1"/>
                <w:szCs w:val="1"/>
                <w:color w:val="auto"/>
              </w:rPr>
            </w:pPr>
          </w:p>
        </w:tc>
      </w:tr>
      <w:tr>
        <w:trPr>
          <w:trHeight w:val="210"/>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27, 2005 through April 30, 2005</w:t>
            </w:r>
          </w:p>
        </w:tc>
        <w:tc>
          <w:tcPr>
            <w:tcW w:w="128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150,000</w:t>
            </w: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36.44</w:t>
            </w:r>
          </w:p>
        </w:tc>
        <w:tc>
          <w:tcPr>
            <w:tcW w:w="1380" w:type="dxa"/>
            <w:vAlign w:val="bottom"/>
            <w:tcBorders>
              <w:bottom w:val="single" w:sz="8" w:color="auto"/>
              <w:right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150,000</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78,219,813</w:t>
            </w:r>
          </w:p>
        </w:tc>
        <w:tc>
          <w:tcPr>
            <w:tcW w:w="0" w:type="dxa"/>
            <w:vAlign w:val="bottom"/>
          </w:tcPr>
          <w:p>
            <w:pPr>
              <w:spacing w:after="0"/>
              <w:rPr>
                <w:sz w:val="1"/>
                <w:szCs w:val="1"/>
                <w:color w:val="auto"/>
              </w:rPr>
            </w:pPr>
          </w:p>
        </w:tc>
      </w:tr>
      <w:tr>
        <w:trPr>
          <w:trHeight w:val="210"/>
        </w:trPr>
        <w:tc>
          <w:tcPr>
            <w:tcW w:w="5020" w:type="dxa"/>
            <w:vAlign w:val="bottom"/>
            <w:tcBorders>
              <w:left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3,421,656</w:t>
            </w:r>
          </w:p>
        </w:tc>
        <w:tc>
          <w:tcPr>
            <w:tcW w:w="88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36.09</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rPr>
              <w:t>3,421,656</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78,219,813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3"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stock repurchased under the stock repurchase program includes the commissions paid to the brokers.</w:t>
      </w:r>
    </w:p>
    <w:p>
      <w:pPr>
        <w:spacing w:after="0" w:line="184" w:lineRule="exact"/>
        <w:rPr>
          <w:rFonts w:ascii="Times New Roman" w:cs="Times New Roman" w:eastAsia="Times New Roman" w:hAnsi="Times New Roman"/>
          <w:sz w:val="18"/>
          <w:szCs w:val="18"/>
          <w:color w:val="auto"/>
        </w:rPr>
      </w:pPr>
    </w:p>
    <w:p>
      <w:pPr>
        <w:ind w:right="20"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pursuant to the stock repurchase program publicly announced on August 12, 2004 under which our Board of Directors authorized the repurchase of up to an aggregate of $500 million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39" w:lineRule="exact"/>
        <w:rPr>
          <w:rFonts w:ascii="Times New Roman" w:cs="Times New Roman" w:eastAsia="Times New Roman" w:hAnsi="Times New Roman"/>
          <w:sz w:val="18"/>
          <w:szCs w:val="18"/>
          <w:color w:val="auto"/>
        </w:rPr>
      </w:pPr>
    </w:p>
    <w:p>
      <w:pPr>
        <w:ind w:right="640" w:firstLine="8"/>
        <w:spacing w:after="0" w:line="282"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quarter end, on May 11, 2005, our Board of Directors authorized the repurchase of an additional $500 million of our common stock pursuant to the repurchase program previously approved in August 2004. This increase is not reflected in the table.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our Annual Meeting of Shareholders held on March 8, 2005, our shareholders elected Messrs. John L. Doyle and Ray Stata and Ms. Christine King to serve as Class III Directors for a term of three years by the following votes: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Nominee</w:t>
            </w:r>
          </w:p>
        </w:tc>
        <w:tc>
          <w:tcPr>
            <w:tcW w:w="442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Votes For</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Votes Withheld</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16"/>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Doyle</w:t>
            </w:r>
          </w:p>
        </w:tc>
        <w:tc>
          <w:tcPr>
            <w:tcW w:w="44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328,879,351</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4,180,309</w:t>
            </w:r>
          </w:p>
        </w:tc>
        <w:tc>
          <w:tcPr>
            <w:tcW w:w="134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Ray Stata</w:t>
            </w:r>
          </w:p>
        </w:tc>
        <w:tc>
          <w:tcPr>
            <w:tcW w:w="4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329,022,281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4,037,379</w:t>
            </w:r>
          </w:p>
        </w:tc>
        <w:tc>
          <w:tcPr>
            <w:tcW w:w="13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King</w:t>
            </w:r>
          </w:p>
        </w:tc>
        <w:tc>
          <w:tcPr>
            <w:tcW w:w="44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330,058,525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3,001,135</w:t>
            </w:r>
          </w:p>
        </w:tc>
        <w:tc>
          <w:tcPr>
            <w:tcW w:w="13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0</w:t>
            </w:r>
          </w:p>
        </w:tc>
      </w:tr>
    </w:tbl>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Each of the following directors who were not up for reelection at the Annual Meeting of Shareholders continues to serve as a director since the Annual Meeting of Shareholders: Messrs. Jerald G. Fishman, F. Grant Saviers, James A. Champy, Kenton J. Sicchitano and Lester C. Thurow.</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Shareholders also ratified the selection by the audit committee of our board of directors of Ernst &amp; Young LLP as our independent registered public accounting firm for the fiscal year ending October 29, 2005 by a vote of 326,501,034 in favor, 4,354,349 opposed and 2,204,277 abstaining.</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Shareholders did not approve the shareholder proposal to establish a policy of expensing future stock option grants by a vote of 129,162,841 in favor, 158,976,654 opposed, 5,825,879 abstaining and 34,094,286 broker non-votes.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185" w:lineRule="exact"/>
        <w:rPr>
          <w:sz w:val="20"/>
          <w:szCs w:val="20"/>
          <w:color w:val="auto"/>
        </w:rPr>
      </w:pPr>
    </w:p>
    <w:p>
      <w:pPr>
        <w:ind w:left="360"/>
        <w:spacing w:after="0" w:line="282" w:lineRule="auto"/>
        <w:rPr>
          <w:sz w:val="20"/>
          <w:szCs w:val="20"/>
          <w:color w:val="auto"/>
        </w:rPr>
      </w:pPr>
      <w:r>
        <w:rPr>
          <w:rFonts w:ascii="Times New Roman" w:cs="Times New Roman" w:eastAsia="Times New Roman" w:hAnsi="Times New Roman"/>
          <w:sz w:val="18"/>
          <w:szCs w:val="18"/>
          <w:color w:val="auto"/>
        </w:rPr>
        <w:t>The exhibits listed in the Exhibit Index immediately preceding the exhibits are filed as part of this Quarterly Report on Form 10-Q and such Exhibit Index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3 and 5 of PART II are not applicable and have been omitted.</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240" w:top="415" w:right="1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68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63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ANALOG DEVICES, INC.</w:t>
            </w: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2005</w:t>
            </w:r>
          </w:p>
        </w:tc>
        <w:tc>
          <w:tcPr>
            <w:tcW w:w="63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Jerald G. Fishman</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1"/>
        </w:trPr>
        <w:tc>
          <w:tcPr>
            <w:tcW w:w="3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Jerald G. Fishman</w:t>
            </w: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w:t>
            </w: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86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2005</w:t>
            </w:r>
          </w:p>
        </w:tc>
        <w:tc>
          <w:tcPr>
            <w:tcW w:w="636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Joseph E. McDonough</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1"/>
        </w:trPr>
        <w:tc>
          <w:tcPr>
            <w:tcW w:w="3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Joseph E. McDonough</w:t>
            </w:r>
          </w:p>
        </w:tc>
        <w:tc>
          <w:tcPr>
            <w:tcW w:w="20" w:type="dxa"/>
            <w:vAlign w:val="bottom"/>
            <w:tcBorders>
              <w:top w:val="single" w:sz="8" w:color="auto"/>
            </w:tcBorders>
          </w:tcPr>
          <w:p>
            <w:pPr>
              <w:spacing w:after="0"/>
              <w:rPr>
                <w:sz w:val="16"/>
                <w:szCs w:val="16"/>
                <w:color w:val="auto"/>
              </w:rPr>
            </w:pPr>
          </w:p>
        </w:tc>
        <w:tc>
          <w:tcPr>
            <w:tcW w:w="166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President-Finance</w:t>
            </w: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2"/>
        </w:trPr>
        <w:tc>
          <w:tcPr>
            <w:tcW w:w="3380" w:type="dxa"/>
            <w:vAlign w:val="bottom"/>
          </w:tcPr>
          <w:p>
            <w:pPr>
              <w:spacing w:after="0"/>
              <w:rPr>
                <w:sz w:val="24"/>
                <w:szCs w:val="24"/>
                <w:color w:val="auto"/>
              </w:rPr>
            </w:pPr>
          </w:p>
        </w:tc>
        <w:tc>
          <w:tcPr>
            <w:tcW w:w="6360" w:type="dxa"/>
            <w:vAlign w:val="bottom"/>
            <w:gridSpan w:val="3"/>
          </w:tcPr>
          <w:p>
            <w:pPr>
              <w:jc w:val="right"/>
              <w:ind w:right="385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6"/>
        </w:trPr>
        <w:tc>
          <w:tcPr>
            <w:tcW w:w="33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2780" w:type="dxa"/>
            <w:vAlign w:val="bottom"/>
            <w:vMerge w:val="restart"/>
          </w:tcPr>
          <w:p>
            <w:pPr>
              <w:jc w:val="center"/>
              <w:ind w:right="226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78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12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8"/>
        </w:trPr>
        <w:tc>
          <w:tcPr>
            <w:tcW w:w="2780" w:type="dxa"/>
            <w:vAlign w:val="bottom"/>
          </w:tcPr>
          <w:p>
            <w:pPr>
              <w:jc w:val="center"/>
              <w:ind w:right="226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3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0" w:hanging="663"/>
        <w:spacing w:after="0" w:line="259" w:lineRule="auto"/>
        <w:tabs>
          <w:tab w:leader="none" w:pos="7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Pursuant to Rule 13a-14(a) and 15d-14(a) of the Securities Exchange Act, as Adopted Pursuant to Section 302 of the Sarbanes-Oxley Act of 2002 (Chief Executive Officer).</w:t>
      </w:r>
    </w:p>
    <w:p>
      <w:pPr>
        <w:spacing w:after="0" w:line="182" w:lineRule="exact"/>
        <w:rPr>
          <w:sz w:val="20"/>
          <w:szCs w:val="20"/>
          <w:color w:val="auto"/>
        </w:rPr>
      </w:pPr>
    </w:p>
    <w:p>
      <w:pPr>
        <w:ind w:left="800" w:hanging="663"/>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Pursuant to Rule 13a-14(a) and 15d-14(a) of the Securities Exchange Act, as Adopted Pursuant to Section 302 of the Sarbanes-Oxley Act of 2002 (Chief Financial Officer).</w:t>
      </w:r>
    </w:p>
    <w:p>
      <w:pPr>
        <w:spacing w:after="0" w:line="162" w:lineRule="exact"/>
        <w:rPr>
          <w:sz w:val="20"/>
          <w:szCs w:val="20"/>
          <w:color w:val="auto"/>
        </w:rPr>
      </w:pPr>
    </w:p>
    <w:p>
      <w:pPr>
        <w:ind w:left="140"/>
        <w:spacing w:after="0"/>
        <w:tabs>
          <w:tab w:leader="none" w:pos="7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Pursuant to 18 U.S.C. Section 1350 (Chief Executive Officer).</w:t>
      </w:r>
    </w:p>
    <w:p>
      <w:pPr>
        <w:spacing w:after="0" w:line="225" w:lineRule="exact"/>
        <w:rPr>
          <w:sz w:val="20"/>
          <w:szCs w:val="20"/>
          <w:color w:val="auto"/>
        </w:rPr>
      </w:pPr>
    </w:p>
    <w:p>
      <w:pPr>
        <w:ind w:left="140"/>
        <w:spacing w:after="0"/>
        <w:tabs>
          <w:tab w:leader="none" w:pos="7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Certification Pursuant to 18 U.S.C. Section 1350 (Chief Financial Officer).</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240" w:top="415" w:right="319" w:bottom="1440" w:gutter="0" w:footer="0" w:header="0"/>
        </w:sectPr>
      </w:pPr>
    </w:p>
    <w:bookmarkStart w:id="33" w:name="page34"/>
    <w:bookmarkEnd w:id="33"/>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Jerald G. Fishman, certify that:</w:t>
      </w:r>
    </w:p>
    <w:p>
      <w:pPr>
        <w:spacing w:after="0" w:line="201" w:lineRule="exact"/>
        <w:rPr>
          <w:sz w:val="20"/>
          <w:szCs w:val="20"/>
          <w:color w:val="auto"/>
        </w:rPr>
      </w:pPr>
    </w:p>
    <w:p>
      <w:pPr>
        <w:ind w:left="1280" w:right="2619" w:hanging="640"/>
        <w:spacing w:after="0" w:line="34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Analog Devices, Inc.;</w:t>
      </w:r>
    </w:p>
    <w:p>
      <w:pPr>
        <w:spacing w:after="0" w:line="18" w:lineRule="exact"/>
        <w:rPr>
          <w:rFonts w:ascii="Courier New" w:cs="Courier New" w:eastAsia="Courier New" w:hAnsi="Courier New"/>
          <w:sz w:val="18"/>
          <w:szCs w:val="18"/>
          <w:color w:val="auto"/>
        </w:rPr>
      </w:pPr>
    </w:p>
    <w:p>
      <w:pPr>
        <w:ind w:left="1280" w:right="1779" w:hanging="640"/>
        <w:spacing w:after="0" w:line="26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Courier New" w:cs="Courier New" w:eastAsia="Courier New" w:hAnsi="Courier New"/>
          <w:sz w:val="18"/>
          <w:szCs w:val="18"/>
          <w:color w:val="auto"/>
        </w:rPr>
      </w:pPr>
    </w:p>
    <w:p>
      <w:pPr>
        <w:ind w:left="1280" w:right="1779" w:hanging="640"/>
        <w:spacing w:after="0" w:line="26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Courier New" w:cs="Courier New" w:eastAsia="Courier New" w:hAnsi="Courier New"/>
          <w:sz w:val="18"/>
          <w:szCs w:val="18"/>
          <w:color w:val="auto"/>
        </w:rPr>
      </w:pPr>
    </w:p>
    <w:p>
      <w:pPr>
        <w:ind w:left="1280" w:right="1879" w:hanging="640"/>
        <w:spacing w:after="0" w:line="274"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1" w:lineRule="exact"/>
        <w:rPr>
          <w:rFonts w:ascii="Courier New" w:cs="Courier New" w:eastAsia="Courier New" w:hAnsi="Courier New"/>
          <w:sz w:val="18"/>
          <w:szCs w:val="18"/>
          <w:color w:val="auto"/>
        </w:rPr>
      </w:pPr>
    </w:p>
    <w:p>
      <w:pPr>
        <w:ind w:left="2540" w:right="1779" w:hanging="636"/>
        <w:spacing w:after="0" w:line="293" w:lineRule="auto"/>
        <w:tabs>
          <w:tab w:leader="none" w:pos="254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Courier New" w:cs="Courier New" w:eastAsia="Courier New" w:hAnsi="Courier New"/>
          <w:sz w:val="16"/>
          <w:szCs w:val="16"/>
          <w:color w:val="auto"/>
        </w:rPr>
      </w:pPr>
    </w:p>
    <w:p>
      <w:pPr>
        <w:ind w:left="2540" w:hanging="636"/>
        <w:spacing w:after="0"/>
        <w:tabs>
          <w:tab w:leader="none" w:pos="2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540" w:right="1779" w:hanging="636"/>
        <w:spacing w:after="0" w:line="260" w:lineRule="auto"/>
        <w:tabs>
          <w:tab w:leader="none" w:pos="2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Courier New" w:cs="Courier New" w:eastAsia="Courier New" w:hAnsi="Courier New"/>
          <w:sz w:val="18"/>
          <w:szCs w:val="18"/>
          <w:color w:val="auto"/>
        </w:rPr>
      </w:pPr>
    </w:p>
    <w:p>
      <w:pPr>
        <w:ind w:left="2540" w:right="1779" w:hanging="636"/>
        <w:spacing w:after="0" w:line="293" w:lineRule="auto"/>
        <w:tabs>
          <w:tab w:leader="none" w:pos="254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Courier New" w:cs="Courier New" w:eastAsia="Courier New" w:hAnsi="Courier New"/>
          <w:sz w:val="16"/>
          <w:szCs w:val="16"/>
          <w:color w:val="auto"/>
        </w:rPr>
      </w:pPr>
    </w:p>
    <w:p>
      <w:pPr>
        <w:ind w:left="1280" w:right="2319" w:hanging="640"/>
        <w:spacing w:after="0" w:line="26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Courier New" w:cs="Courier New" w:eastAsia="Courier New" w:hAnsi="Courier New"/>
          <w:sz w:val="18"/>
          <w:szCs w:val="18"/>
          <w:color w:val="auto"/>
        </w:rPr>
      </w:pPr>
    </w:p>
    <w:p>
      <w:pPr>
        <w:ind w:left="2540" w:right="1779" w:hanging="636"/>
        <w:spacing w:after="0" w:line="306" w:lineRule="auto"/>
        <w:tabs>
          <w:tab w:leader="none" w:pos="254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Courier New" w:cs="Courier New" w:eastAsia="Courier New" w:hAnsi="Courier New"/>
          <w:sz w:val="16"/>
          <w:szCs w:val="16"/>
          <w:color w:val="auto"/>
        </w:rPr>
      </w:pPr>
    </w:p>
    <w:p>
      <w:pPr>
        <w:ind w:left="2540" w:right="1779" w:hanging="636"/>
        <w:spacing w:after="0" w:line="274" w:lineRule="auto"/>
        <w:tabs>
          <w:tab w:leader="none" w:pos="2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15" w:right="1440" w:bottom="937" w:gutter="0" w:footer="0" w:header="0"/>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May 17, 2005</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Jerald G. Fishman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rPr>
          <w:sz w:val="20"/>
          <w:szCs w:val="20"/>
          <w:color w:val="auto"/>
        </w:rPr>
      </w:pPr>
      <w:r>
        <w:rPr>
          <w:rFonts w:ascii="Courier New" w:cs="Courier New" w:eastAsia="Courier New" w:hAnsi="Courier New"/>
          <w:sz w:val="18"/>
          <w:szCs w:val="18"/>
          <w:color w:val="auto"/>
        </w:rPr>
        <w:t>(Principal Executive Officer)</w:t>
      </w:r>
    </w:p>
    <w:p>
      <w:pPr>
        <w:sectPr>
          <w:pgSz w:w="11900" w:h="16838" w:orient="portrait"/>
          <w:cols w:equalWidth="0" w:num="2">
            <w:col w:w="3600" w:space="720"/>
            <w:col w:w="5899"/>
          </w:cols>
          <w:pgMar w:left="240" w:top="515" w:right="1440" w:bottom="937" w:gutter="0" w:footer="0" w:header="0"/>
          <w:type w:val="continuous"/>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Joseph E. McDonough, certify that:</w:t>
      </w:r>
    </w:p>
    <w:p>
      <w:pPr>
        <w:spacing w:after="0" w:line="201" w:lineRule="exact"/>
        <w:rPr>
          <w:sz w:val="20"/>
          <w:szCs w:val="20"/>
          <w:color w:val="auto"/>
        </w:rPr>
      </w:pPr>
    </w:p>
    <w:p>
      <w:pPr>
        <w:ind w:left="1280" w:right="2619" w:hanging="640"/>
        <w:spacing w:after="0" w:line="34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Analog Devices, Inc.;</w:t>
      </w:r>
    </w:p>
    <w:p>
      <w:pPr>
        <w:spacing w:after="0" w:line="18" w:lineRule="exact"/>
        <w:rPr>
          <w:rFonts w:ascii="Courier New" w:cs="Courier New" w:eastAsia="Courier New" w:hAnsi="Courier New"/>
          <w:sz w:val="18"/>
          <w:szCs w:val="18"/>
          <w:color w:val="auto"/>
        </w:rPr>
      </w:pPr>
    </w:p>
    <w:p>
      <w:pPr>
        <w:ind w:left="1280" w:right="1779" w:hanging="640"/>
        <w:spacing w:after="0" w:line="265"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Courier New" w:cs="Courier New" w:eastAsia="Courier New" w:hAnsi="Courier New"/>
          <w:sz w:val="18"/>
          <w:szCs w:val="18"/>
          <w:color w:val="auto"/>
        </w:rPr>
      </w:pPr>
    </w:p>
    <w:p>
      <w:pPr>
        <w:ind w:left="1280" w:right="1779" w:hanging="640"/>
        <w:spacing w:after="0" w:line="265"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Courier New" w:cs="Courier New" w:eastAsia="Courier New" w:hAnsi="Courier New"/>
          <w:sz w:val="18"/>
          <w:szCs w:val="18"/>
          <w:color w:val="auto"/>
        </w:rPr>
      </w:pPr>
    </w:p>
    <w:p>
      <w:pPr>
        <w:ind w:left="1280" w:right="1879" w:hanging="640"/>
        <w:spacing w:after="0" w:line="274"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1" w:lineRule="exact"/>
        <w:rPr>
          <w:rFonts w:ascii="Courier New" w:cs="Courier New" w:eastAsia="Courier New" w:hAnsi="Courier New"/>
          <w:sz w:val="18"/>
          <w:szCs w:val="18"/>
          <w:color w:val="auto"/>
        </w:rPr>
      </w:pPr>
    </w:p>
    <w:p>
      <w:pPr>
        <w:ind w:left="2540" w:right="1779" w:hanging="636"/>
        <w:spacing w:after="0" w:line="293" w:lineRule="auto"/>
        <w:tabs>
          <w:tab w:leader="none" w:pos="25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Courier New" w:cs="Courier New" w:eastAsia="Courier New" w:hAnsi="Courier New"/>
          <w:sz w:val="16"/>
          <w:szCs w:val="16"/>
          <w:color w:val="auto"/>
        </w:rPr>
      </w:pPr>
    </w:p>
    <w:p>
      <w:pPr>
        <w:ind w:left="2540" w:hanging="636"/>
        <w:spacing w:after="0"/>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540" w:right="1779" w:hanging="636"/>
        <w:spacing w:after="0" w:line="260" w:lineRule="auto"/>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Courier New" w:cs="Courier New" w:eastAsia="Courier New" w:hAnsi="Courier New"/>
          <w:sz w:val="18"/>
          <w:szCs w:val="18"/>
          <w:color w:val="auto"/>
        </w:rPr>
      </w:pPr>
    </w:p>
    <w:p>
      <w:pPr>
        <w:ind w:left="2540" w:right="1779" w:hanging="636"/>
        <w:spacing w:after="0" w:line="293" w:lineRule="auto"/>
        <w:tabs>
          <w:tab w:leader="none" w:pos="25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Courier New" w:cs="Courier New" w:eastAsia="Courier New" w:hAnsi="Courier New"/>
          <w:sz w:val="16"/>
          <w:szCs w:val="16"/>
          <w:color w:val="auto"/>
        </w:rPr>
      </w:pPr>
    </w:p>
    <w:p>
      <w:pPr>
        <w:ind w:left="1280" w:right="2319" w:hanging="640"/>
        <w:spacing w:after="0" w:line="265"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Courier New" w:cs="Courier New" w:eastAsia="Courier New" w:hAnsi="Courier New"/>
          <w:sz w:val="18"/>
          <w:szCs w:val="18"/>
          <w:color w:val="auto"/>
        </w:rPr>
      </w:pPr>
    </w:p>
    <w:p>
      <w:pPr>
        <w:ind w:left="2540" w:right="1779" w:hanging="636"/>
        <w:spacing w:after="0" w:line="306" w:lineRule="auto"/>
        <w:tabs>
          <w:tab w:leader="none" w:pos="25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Courier New" w:cs="Courier New" w:eastAsia="Courier New" w:hAnsi="Courier New"/>
          <w:sz w:val="16"/>
          <w:szCs w:val="16"/>
          <w:color w:val="auto"/>
        </w:rPr>
      </w:pPr>
    </w:p>
    <w:p>
      <w:pPr>
        <w:ind w:left="2540" w:right="1779" w:hanging="636"/>
        <w:spacing w:after="0" w:line="274" w:lineRule="auto"/>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15" w:right="1440" w:bottom="757" w:gutter="0" w:footer="0" w:header="0"/>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May 17, 2005</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E. McDonough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Joseph E. McDonough</w:t>
      </w:r>
    </w:p>
    <w:p>
      <w:pPr>
        <w:spacing w:after="0"/>
        <w:rPr>
          <w:sz w:val="20"/>
          <w:szCs w:val="20"/>
          <w:color w:val="auto"/>
        </w:rPr>
      </w:pPr>
      <w:r>
        <w:rPr>
          <w:rFonts w:ascii="Courier New" w:cs="Courier New" w:eastAsia="Courier New" w:hAnsi="Courier New"/>
          <w:sz w:val="18"/>
          <w:szCs w:val="18"/>
          <w:color w:val="auto"/>
        </w:rPr>
        <w:t>Vice President-Finance</w:t>
      </w:r>
    </w:p>
    <w:p>
      <w:pPr>
        <w:spacing w:after="0" w:line="238" w:lineRule="auto"/>
        <w:rPr>
          <w:sz w:val="20"/>
          <w:szCs w:val="20"/>
          <w:color w:val="auto"/>
        </w:rPr>
      </w:pPr>
      <w:r>
        <w:rPr>
          <w:rFonts w:ascii="Courier New" w:cs="Courier New" w:eastAsia="Courier New" w:hAnsi="Courier New"/>
          <w:sz w:val="18"/>
          <w:szCs w:val="18"/>
          <w:color w:val="auto"/>
        </w:rPr>
        <w:t>and Chief Financial Officer</w:t>
      </w:r>
    </w:p>
    <w:p>
      <w:pPr>
        <w:spacing w:after="0"/>
        <w:rPr>
          <w:sz w:val="20"/>
          <w:szCs w:val="20"/>
          <w:color w:val="auto"/>
        </w:rPr>
      </w:pPr>
      <w:r>
        <w:rPr>
          <w:rFonts w:ascii="Courier New" w:cs="Courier New" w:eastAsia="Courier New" w:hAnsi="Courier New"/>
          <w:sz w:val="16"/>
          <w:szCs w:val="16"/>
          <w:color w:val="auto"/>
        </w:rPr>
        <w:t>(Principal Financial and Accounting Officer)</w:t>
      </w:r>
    </w:p>
    <w:p>
      <w:pPr>
        <w:sectPr>
          <w:pgSz w:w="11900" w:h="16838" w:orient="portrait"/>
          <w:cols w:equalWidth="0" w:num="2">
            <w:col w:w="2980" w:space="720"/>
            <w:col w:w="6519"/>
          </w:cols>
          <w:pgMar w:left="240" w:top="515" w:right="1440" w:bottom="757" w:gutter="0" w:footer="0" w:header="0"/>
          <w:type w:val="continuous"/>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April 30, 2005 as filed with the Securities and Exchange Commission on the date hereof (the "Report"), the undersigned, Jerald G. Fishman, Chief Executive Officer of the Company, hereby certifies, pursuant to 18 U.S.C. Section 1350, that:</w:t>
      </w:r>
    </w:p>
    <w:p>
      <w:pPr>
        <w:spacing w:after="0" w:line="90" w:lineRule="exact"/>
        <w:rPr>
          <w:sz w:val="20"/>
          <w:szCs w:val="20"/>
          <w:color w:val="auto"/>
        </w:rPr>
      </w:pPr>
    </w:p>
    <w:p>
      <w:pPr>
        <w:ind w:left="1280" w:right="1879" w:hanging="640"/>
        <w:spacing w:after="0" w:line="34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left="1280" w:right="1779" w:hanging="640"/>
        <w:spacing w:after="0" w:line="292"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515"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May 17, 2005</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Jerald G. Fishman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2">
            <w:col w:w="4020" w:space="720"/>
            <w:col w:w="5479"/>
          </w:cols>
          <w:pgMar w:left="240" w:top="515" w:right="1440" w:bottom="1440" w:gutter="0" w:footer="0" w:header="0"/>
          <w:type w:val="continuous"/>
        </w:sectPr>
      </w:pPr>
    </w:p>
    <w:bookmarkStart w:id="36" w:name="page37"/>
    <w:bookmarkEnd w:id="36"/>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April 30, 2005 as filed with the Securities and Exchange Commission on the date hereof (the "Report"), the undersigned, Joseph E. McDonough, Chief Financial Officer of the Company, hereby certifies, pursuant to 18 U.S.C. Section 1350, that:</w:t>
      </w:r>
    </w:p>
    <w:p>
      <w:pPr>
        <w:spacing w:after="0" w:line="90" w:lineRule="exact"/>
        <w:rPr>
          <w:sz w:val="20"/>
          <w:szCs w:val="20"/>
          <w:color w:val="auto"/>
        </w:rPr>
      </w:pPr>
    </w:p>
    <w:p>
      <w:pPr>
        <w:ind w:left="1280" w:right="1879" w:hanging="640"/>
        <w:spacing w:after="0" w:line="347"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left="1280" w:right="1779" w:hanging="640"/>
        <w:spacing w:after="0" w:line="292"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515"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May 17, 2005</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E. McDonough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4340" w:space="720"/>
        <w:col w:w="5159"/>
      </w:cols>
      <w:pgMar w:left="240" w:top="51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2"/>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2019-12-20T05:27:45Z</dcterms:created>
  <dcterms:modified xsi:type="dcterms:W3CDTF">2019-12-20T05:27:45Z</dcterms:modified>
</cp:coreProperties>
</file>