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14A</w:t>
      </w:r>
    </w:p>
    <w:p>
      <w:pPr>
        <w:spacing w:after="0" w:line="1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(Rule 14a-101)</w:t>
      </w:r>
    </w:p>
    <w:p>
      <w:pPr>
        <w:spacing w:after="0" w:line="76"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00"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SCHEDULE 14A INFORMATION</w:t>
      </w:r>
    </w:p>
    <w:p>
      <w:pPr>
        <w:spacing w:after="0" w:line="10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Exchange Act of 1934</w:t>
      </w:r>
    </w:p>
    <w:p>
      <w:pPr>
        <w:spacing w:after="0" w:line="161" w:lineRule="exact"/>
        <w:rPr>
          <w:sz w:val="24"/>
          <w:szCs w:val="24"/>
          <w:color w:val="auto"/>
        </w:rPr>
      </w:pPr>
    </w:p>
    <w:p>
      <w:pPr>
        <w:ind w:left="260"/>
        <w:spacing w:after="0" w:line="207" w:lineRule="exact"/>
        <w:tabs>
          <w:tab w:leader="none" w:pos="22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87" w:lineRule="exact"/>
        <w:rPr>
          <w:sz w:val="24"/>
          <w:szCs w:val="24"/>
          <w:color w:val="auto"/>
        </w:rPr>
      </w:pPr>
    </w:p>
    <w:p>
      <w:pPr>
        <w:ind w:left="260"/>
        <w:spacing w:after="0" w:line="207" w:lineRule="exact"/>
        <w:tabs>
          <w:tab w:leader="none" w:pos="368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73" w:lineRule="exact"/>
        <w:rPr>
          <w:sz w:val="24"/>
          <w:szCs w:val="24"/>
          <w:color w:val="auto"/>
        </w:rPr>
      </w:pPr>
    </w:p>
    <w:p>
      <w:pPr>
        <w:ind w:left="540" w:hanging="27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8" w:lineRule="exact"/>
        <w:rPr>
          <w:rFonts w:ascii="MS PGothic" w:cs="MS PGothic" w:eastAsia="MS PGothic" w:hAnsi="MS PGothic"/>
          <w:sz w:val="18"/>
          <w:szCs w:val="18"/>
          <w:color w:val="auto"/>
        </w:rPr>
      </w:pPr>
    </w:p>
    <w:p>
      <w:pPr>
        <w:ind w:left="260" w:right="4080" w:firstLine="7"/>
        <w:spacing w:after="0" w:line="214" w:lineRule="exact"/>
        <w:tabs>
          <w:tab w:leader="none" w:pos="52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540" w:hanging="27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540" w:hanging="273"/>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53975</wp:posOffset>
            </wp:positionV>
            <wp:extent cx="6917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94" w:lineRule="exact"/>
        <w:rPr>
          <w:sz w:val="24"/>
          <w:szCs w:val="24"/>
          <w:color w:val="auto"/>
        </w:rPr>
      </w:pPr>
    </w:p>
    <w:p>
      <w:pPr>
        <w:ind w:left="4220"/>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286385</wp:posOffset>
            </wp:positionV>
            <wp:extent cx="6917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34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92"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15" w:lineRule="exact"/>
        <w:rPr>
          <w:sz w:val="24"/>
          <w:szCs w:val="24"/>
          <w:color w:val="auto"/>
        </w:rPr>
      </w:pPr>
    </w:p>
    <w:p>
      <w:pPr>
        <w:ind w:left="700" w:hanging="433"/>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7" w:lineRule="exact"/>
        <w:rPr>
          <w:sz w:val="24"/>
          <w:szCs w:val="24"/>
          <w:color w:val="auto"/>
        </w:rPr>
      </w:pPr>
    </w:p>
    <w:p>
      <w:pPr>
        <w:ind w:left="700" w:hanging="433"/>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0" w:lineRule="exact"/>
        <w:rPr>
          <w:rFonts w:ascii="MS PGothic" w:cs="MS PGothic" w:eastAsia="MS PGothic" w:hAnsi="MS PGothic"/>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1120" w:hanging="426"/>
        <w:spacing w:after="0" w:line="269"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63"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700" w:hanging="433"/>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86" w:lineRule="exact"/>
        <w:rPr>
          <w:rFonts w:ascii="MS PGothic" w:cs="MS PGothic" w:eastAsia="MS PGothic" w:hAnsi="MS PGothic"/>
          <w:sz w:val="18"/>
          <w:szCs w:val="18"/>
          <w:color w:val="auto"/>
        </w:rPr>
      </w:pPr>
    </w:p>
    <w:p>
      <w:pPr>
        <w:ind w:left="700" w:right="40" w:hanging="433"/>
        <w:spacing w:after="0" w:line="250" w:lineRule="auto"/>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4" w:lineRule="exact"/>
        <w:rPr>
          <w:rFonts w:ascii="MS PGothic" w:cs="MS PGothic" w:eastAsia="MS PGothic" w:hAnsi="MS PGothic"/>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1120" w:hanging="426"/>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-3761740</wp:posOffset>
            </wp:positionV>
            <wp:extent cx="6590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-3371850</wp:posOffset>
            </wp:positionV>
            <wp:extent cx="659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-2846070</wp:posOffset>
            </wp:positionV>
            <wp:extent cx="659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-2447290</wp:posOffset>
            </wp:positionV>
            <wp:extent cx="6590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-2057400</wp:posOffset>
            </wp:positionV>
            <wp:extent cx="6590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-1014730</wp:posOffset>
            </wp:positionV>
            <wp:extent cx="6590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-616585</wp:posOffset>
            </wp:positionV>
            <wp:extent cx="6590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-226695</wp:posOffset>
            </wp:positionV>
            <wp:extent cx="6590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00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171450</wp:posOffset>
            </wp:positionV>
            <wp:extent cx="6590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0030" cy="8255"/>
                    </a:xfrm>
                    <a:prstGeom prst="rect">
                      <a:avLst/>
                    </a:prstGeom>
                    <a:noFill/>
                  </pic:spPr>
                </pic:pic>
              </a:graphicData>
            </a:graphic>
          </wp:anchor>
        </w:drawing>
      </w:r>
    </w:p>
    <w:p>
      <w:pPr>
        <w:sectPr>
          <w:pgSz w:w="11900" w:h="16838" w:orient="portrait"/>
          <w:cols w:equalWidth="0" w:num="1">
            <w:col w:w="10960"/>
          </w:cols>
          <w:pgMar w:left="240" w:top="227" w:right="69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6906895</wp:posOffset>
            </wp:positionV>
            <wp:extent cx="6921500" cy="563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00" cy="563880"/>
                    </a:xfrm>
                    <a:prstGeom prst="rect">
                      <a:avLst/>
                    </a:prstGeom>
                    <a:noFill/>
                  </pic:spPr>
                </pic:pic>
              </a:graphicData>
            </a:graphic>
          </wp:anchor>
        </w:drawing>
        <w:drawing>
          <wp:anchor simplePos="0" relativeHeight="251657728" behindDoc="1" locked="0" layoutInCell="0" allowOverlap="1">
            <wp:simplePos x="0" y="0"/>
            <wp:positionH relativeFrom="column">
              <wp:posOffset>1818640</wp:posOffset>
            </wp:positionH>
            <wp:positionV relativeFrom="paragraph">
              <wp:posOffset>2313940</wp:posOffset>
            </wp:positionV>
            <wp:extent cx="3628390" cy="1457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8390"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979"/>
        <w:spacing w:after="0"/>
        <w:rPr>
          <w:sz w:val="20"/>
          <w:szCs w:val="20"/>
          <w:color w:val="auto"/>
        </w:rPr>
      </w:pPr>
      <w:r>
        <w:rPr>
          <w:rFonts w:ascii="Arial" w:cs="Arial" w:eastAsia="Arial" w:hAnsi="Arial"/>
          <w:sz w:val="28"/>
          <w:szCs w:val="28"/>
          <w:b w:val="1"/>
          <w:bCs w:val="1"/>
          <w:color w:val="FFFFFF"/>
        </w:rPr>
        <w:t>Notice of 2019 Annual Meeting and Proxy Statement</w:t>
      </w:r>
    </w:p>
    <w:p>
      <w:pPr>
        <w:sectPr>
          <w:pgSz w:w="11900" w:h="16838" w:orient="portrait"/>
          <w:cols w:equalWidth="0" w:num="1">
            <w:col w:w="10219"/>
          </w:cols>
          <w:pgMar w:left="240" w:top="453"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1305560" cy="389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5560"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January 25, 2019</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052B82"/>
        </w:rPr>
        <w:t>DEAR SHAREHOLDER:</w:t>
      </w:r>
    </w:p>
    <w:p>
      <w:pPr>
        <w:spacing w:after="0" w:line="229" w:lineRule="exact"/>
        <w:rPr>
          <w:sz w:val="20"/>
          <w:szCs w:val="20"/>
          <w:color w:val="auto"/>
        </w:rPr>
      </w:pPr>
    </w:p>
    <w:p>
      <w:pPr>
        <w:ind w:left="260" w:right="220" w:firstLine="435"/>
        <w:spacing w:after="0" w:line="269" w:lineRule="auto"/>
        <w:rPr>
          <w:sz w:val="20"/>
          <w:szCs w:val="20"/>
          <w:color w:val="auto"/>
        </w:rPr>
      </w:pPr>
      <w:r>
        <w:rPr>
          <w:rFonts w:ascii="Arial" w:cs="Arial" w:eastAsia="Arial" w:hAnsi="Arial"/>
          <w:sz w:val="18"/>
          <w:szCs w:val="18"/>
          <w:color w:val="auto"/>
        </w:rPr>
        <w:t>You are cordially invited to attend the Annual Meeting of Shareholders to be held at 9:00 a.m. local time on Wednesday, March 13, 2019, at our offices located at 125 Summer Street, Boston, Massachusetts 02110.</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the Annual Meeting you are being asked to:</w:t>
      </w:r>
    </w:p>
    <w:p>
      <w:pPr>
        <w:spacing w:after="0" w:line="207" w:lineRule="exact"/>
        <w:rPr>
          <w:sz w:val="20"/>
          <w:szCs w:val="20"/>
          <w:color w:val="auto"/>
        </w:rPr>
      </w:pPr>
    </w:p>
    <w:p>
      <w:pPr>
        <w:ind w:left="900" w:hanging="19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eleven members of our Board of Directors, each to serve for a term expiring at the next annual meeting of shareholders;</w:t>
      </w:r>
    </w:p>
    <w:p>
      <w:pPr>
        <w:spacing w:after="0" w:line="206" w:lineRule="exact"/>
        <w:rPr>
          <w:rFonts w:ascii="Arial" w:cs="Arial" w:eastAsia="Arial" w:hAnsi="Arial"/>
          <w:sz w:val="18"/>
          <w:szCs w:val="18"/>
          <w:color w:val="auto"/>
        </w:rPr>
      </w:pPr>
    </w:p>
    <w:p>
      <w:pPr>
        <w:ind w:left="900" w:hanging="19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 non-binding advisory proposal on the compensation of our named executive officers;</w:t>
      </w:r>
    </w:p>
    <w:p>
      <w:pPr>
        <w:spacing w:after="0" w:line="206" w:lineRule="exact"/>
        <w:rPr>
          <w:rFonts w:ascii="Arial" w:cs="Arial" w:eastAsia="Arial" w:hAnsi="Arial"/>
          <w:sz w:val="18"/>
          <w:szCs w:val="18"/>
          <w:color w:val="auto"/>
        </w:rPr>
      </w:pPr>
    </w:p>
    <w:p>
      <w:pPr>
        <w:ind w:left="900" w:hanging="19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selection of Ernst &amp; Young LLP as our independent registered public accounting firm for the 2019 fiscal year; and</w:t>
      </w:r>
    </w:p>
    <w:p>
      <w:pPr>
        <w:spacing w:after="0" w:line="206" w:lineRule="exact"/>
        <w:rPr>
          <w:rFonts w:ascii="Arial" w:cs="Arial" w:eastAsia="Arial" w:hAnsi="Arial"/>
          <w:sz w:val="18"/>
          <w:szCs w:val="18"/>
          <w:color w:val="auto"/>
        </w:rPr>
      </w:pPr>
    </w:p>
    <w:p>
      <w:pPr>
        <w:ind w:left="900" w:hanging="197"/>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Consider a shareholder proposal described in the proxy statement, if properly presented at the Annual Meeting.</w:t>
      </w:r>
    </w:p>
    <w:p>
      <w:pPr>
        <w:spacing w:after="0" w:line="205" w:lineRule="exact"/>
        <w:rPr>
          <w:sz w:val="20"/>
          <w:szCs w:val="20"/>
          <w:color w:val="auto"/>
        </w:rPr>
      </w:pPr>
    </w:p>
    <w:p>
      <w:pPr>
        <w:ind w:left="260" w:right="40" w:firstLine="435"/>
        <w:spacing w:after="0" w:line="283" w:lineRule="auto"/>
        <w:rPr>
          <w:sz w:val="20"/>
          <w:szCs w:val="20"/>
          <w:color w:val="auto"/>
        </w:rPr>
      </w:pPr>
      <w:r>
        <w:rPr>
          <w:rFonts w:ascii="Arial" w:cs="Arial" w:eastAsia="Arial" w:hAnsi="Arial"/>
          <w:sz w:val="18"/>
          <w:szCs w:val="18"/>
          <w:b w:val="1"/>
          <w:bCs w:val="1"/>
          <w:color w:val="auto"/>
        </w:rPr>
        <w:t>Your Board of Directors recommends that you vote FOR the election of each of the directors named in the proxy statement, FOR items 2 and 3 and AGAINST item 4.</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carefully review the attached proxy materials and take the time to cast your vote.</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162560</wp:posOffset>
            </wp:positionV>
            <wp:extent cx="1534160" cy="711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711835"/>
                    </a:xfrm>
                    <a:prstGeom prst="rect">
                      <a:avLst/>
                    </a:prstGeom>
                    <a:noFill/>
                  </pic:spPr>
                </pic:pic>
              </a:graphicData>
            </a:graphic>
          </wp:anchor>
        </w:drawing>
        <w:drawing>
          <wp:anchor simplePos="0" relativeHeight="251657728" behindDoc="1" locked="0" layoutInCell="0" allowOverlap="1">
            <wp:simplePos x="0" y="0"/>
            <wp:positionH relativeFrom="column">
              <wp:posOffset>3844290</wp:posOffset>
            </wp:positionH>
            <wp:positionV relativeFrom="paragraph">
              <wp:posOffset>162560</wp:posOffset>
            </wp:positionV>
            <wp:extent cx="1839595" cy="483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39595" cy="483235"/>
                    </a:xfrm>
                    <a:prstGeom prst="rect">
                      <a:avLst/>
                    </a:prstGeom>
                    <a:noFill/>
                  </pic:spPr>
                </pic:pic>
              </a:graphicData>
            </a:graphic>
          </wp:anchor>
        </w:drawing>
      </w: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Ray Stata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Vincent Roche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2">
            <w:col w:w="5320" w:space="720"/>
            <w:col w:w="5120"/>
          </w:cols>
          <w:pgMar w:left="240" w:top="453" w:right="49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ANALOG DEVICES,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ONE TECHNOLOGY WAY</w:t>
      </w:r>
    </w:p>
    <w:p>
      <w:pPr>
        <w:jc w:val="center"/>
        <w:ind w:right="-299"/>
        <w:spacing w:after="0"/>
        <w:rPr>
          <w:sz w:val="20"/>
          <w:szCs w:val="20"/>
          <w:color w:val="auto"/>
        </w:rPr>
      </w:pPr>
      <w:r>
        <w:rPr>
          <w:rFonts w:ascii="Arial" w:cs="Arial" w:eastAsia="Arial" w:hAnsi="Arial"/>
          <w:sz w:val="18"/>
          <w:szCs w:val="18"/>
          <w:b w:val="1"/>
          <w:bCs w:val="1"/>
          <w:color w:val="auto"/>
        </w:rPr>
        <w:t>NORWOOD, MASSACHUSETTS 02062-9106</w:t>
      </w:r>
    </w:p>
    <w:p>
      <w:pPr>
        <w:spacing w:after="0" w:line="171"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color w:val="auto"/>
        </w:rPr>
        <w:t>NOTICE OF 2019 ANNUAL MEETING OF SHAREHOLDERS</w:t>
      </w: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21"/>
          <w:szCs w:val="21"/>
          <w:b w:val="1"/>
          <w:bCs w:val="1"/>
          <w:i w:val="1"/>
          <w:iCs w:val="1"/>
          <w:color w:val="auto"/>
        </w:rPr>
        <w:t>To Be Held On March 13, 2019</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052B82"/>
        </w:rPr>
        <w:t>TO OUR SHAREHOLDERS:</w:t>
      </w:r>
    </w:p>
    <w:p>
      <w:pPr>
        <w:spacing w:after="0" w:line="229" w:lineRule="exact"/>
        <w:rPr>
          <w:sz w:val="20"/>
          <w:szCs w:val="20"/>
          <w:color w:val="auto"/>
        </w:rPr>
      </w:pPr>
    </w:p>
    <w:p>
      <w:pPr>
        <w:ind w:left="260" w:right="100" w:firstLine="435"/>
        <w:spacing w:after="0" w:line="250" w:lineRule="auto"/>
        <w:rPr>
          <w:sz w:val="20"/>
          <w:szCs w:val="20"/>
          <w:color w:val="auto"/>
        </w:rPr>
      </w:pPr>
      <w:r>
        <w:rPr>
          <w:rFonts w:ascii="Arial" w:cs="Arial" w:eastAsia="Arial" w:hAnsi="Arial"/>
          <w:sz w:val="18"/>
          <w:szCs w:val="18"/>
          <w:color w:val="auto"/>
        </w:rPr>
        <w:t>The 2019 Annual Meeting of Shareholders of Analog Devices, Inc. will be held at our offices at 125 Summer Street, Boston, Massachusetts 02110, on Wednesday, March 13, 2019 at 9:00 a.m. local time. At the meeting, shareholders will consider and vote on the following matters:</w:t>
      </w:r>
    </w:p>
    <w:p>
      <w:pPr>
        <w:spacing w:after="0" w:line="74" w:lineRule="exact"/>
        <w:rPr>
          <w:sz w:val="20"/>
          <w:szCs w:val="20"/>
          <w:color w:val="auto"/>
        </w:rPr>
      </w:pPr>
    </w:p>
    <w:p>
      <w:pPr>
        <w:ind w:left="1120" w:hanging="426"/>
        <w:spacing w:after="0" w:line="26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eleven director nominees named in this proxy statement to our Board of Directors, each to serve for a term expiring at the next annual meeting of shareholders;</w:t>
      </w:r>
    </w:p>
    <w:p>
      <w:pPr>
        <w:spacing w:after="0" w:line="56" w:lineRule="exact"/>
        <w:rPr>
          <w:rFonts w:ascii="Arial" w:cs="Arial" w:eastAsia="Arial" w:hAnsi="Arial"/>
          <w:sz w:val="18"/>
          <w:szCs w:val="18"/>
          <w:color w:val="auto"/>
        </w:rPr>
      </w:pPr>
    </w:p>
    <w:p>
      <w:pPr>
        <w:ind w:left="1120" w:right="140" w:hanging="426"/>
        <w:spacing w:after="0" w:line="250"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by non-binding “say on pay” vote, the compensation of our named executive officers, as described in the Compensation Discussion and Analysis, executive compensation tables and accompanying narrative disclosures in this proxy statement;</w:t>
      </w:r>
    </w:p>
    <w:p>
      <w:pPr>
        <w:spacing w:after="0" w:line="74" w:lineRule="exact"/>
        <w:rPr>
          <w:rFonts w:ascii="Arial" w:cs="Arial" w:eastAsia="Arial" w:hAnsi="Arial"/>
          <w:sz w:val="18"/>
          <w:szCs w:val="18"/>
          <w:color w:val="auto"/>
        </w:rPr>
      </w:pPr>
    </w:p>
    <w:p>
      <w:pPr>
        <w:ind w:left="1120" w:right="440" w:hanging="426"/>
        <w:spacing w:after="0" w:line="26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selection of Ernst &amp; Young LLP as our independent registered public accounting firm for the fiscal year ending November 2, 2019; and</w:t>
      </w:r>
    </w:p>
    <w:p>
      <w:pPr>
        <w:spacing w:after="0" w:line="56" w:lineRule="exact"/>
        <w:rPr>
          <w:rFonts w:ascii="Arial" w:cs="Arial" w:eastAsia="Arial" w:hAnsi="Arial"/>
          <w:sz w:val="18"/>
          <w:szCs w:val="18"/>
          <w:color w:val="auto"/>
        </w:rPr>
      </w:pPr>
    </w:p>
    <w:p>
      <w:pPr>
        <w:ind w:left="1120" w:hanging="426"/>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 shareholder proposal described in the proxy statement, if properly presented at the Annual Meeting.</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shareholders will also act on any other business that may properly come before the meeting.</w:t>
      </w:r>
    </w:p>
    <w:p>
      <w:pPr>
        <w:spacing w:after="0" w:line="207" w:lineRule="exact"/>
        <w:rPr>
          <w:sz w:val="20"/>
          <w:szCs w:val="20"/>
          <w:color w:val="auto"/>
        </w:rPr>
      </w:pPr>
    </w:p>
    <w:p>
      <w:pPr>
        <w:ind w:left="260" w:right="20" w:firstLine="435"/>
        <w:spacing w:after="0" w:line="252" w:lineRule="auto"/>
        <w:rPr>
          <w:sz w:val="20"/>
          <w:szCs w:val="20"/>
          <w:color w:val="auto"/>
        </w:rPr>
      </w:pPr>
      <w:r>
        <w:rPr>
          <w:rFonts w:ascii="Arial" w:cs="Arial" w:eastAsia="Arial" w:hAnsi="Arial"/>
          <w:sz w:val="17"/>
          <w:szCs w:val="17"/>
          <w:color w:val="auto"/>
        </w:rPr>
        <w:t>We are providing access to our proxy materials over the Internet under the U.S. Securities and Exchange Commission’s “notice and access” rules. As a result, we are mailing to our shareholders a Notice of Internet Availability of Proxy Materials (the “Notice”) instead of a paper copy of this proxy statement and our Annual Report for the fiscal year ended November 3, 2018 (the “2018 Annual Report”). We are mailing the Notice on or about January 25, 2019, and it contains instructions on how to access those documents over the Internet. The Notice also contains instructions on how each of our shareholders can receive a paper copy of our proxy materials, including this proxy statement, our 2018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 We have chosen to employ this distribution process to conserve natural resources and reduce the costs of printing and distributing our proxy materials.</w:t>
      </w:r>
    </w:p>
    <w:p>
      <w:pPr>
        <w:spacing w:after="0" w:line="169" w:lineRule="exact"/>
        <w:rPr>
          <w:sz w:val="20"/>
          <w:szCs w:val="20"/>
          <w:color w:val="auto"/>
        </w:rPr>
      </w:pPr>
    </w:p>
    <w:p>
      <w:pPr>
        <w:ind w:left="260" w:right="20" w:firstLine="435"/>
        <w:spacing w:after="0" w:line="239" w:lineRule="auto"/>
        <w:rPr>
          <w:sz w:val="20"/>
          <w:szCs w:val="20"/>
          <w:color w:val="auto"/>
        </w:rPr>
      </w:pPr>
      <w:r>
        <w:rPr>
          <w:rFonts w:ascii="Arial" w:cs="Arial" w:eastAsia="Arial" w:hAnsi="Arial"/>
          <w:sz w:val="18"/>
          <w:szCs w:val="18"/>
          <w:color w:val="auto"/>
        </w:rPr>
        <w:t>Shareholders of record at the close of business on January 7, 2019 are entitled to vote at the meeting. Your vote is important no matter how many shares you own. Whether you expect to attend the meeting or not, please vote your shares by using the Internet as described in the instructions included on your Notice, by calling the toll-free telephone number, or, if you received a paper copy of the proxy materials, by completing, signing, dating and returning your proxy card or voting instruction form. Your prompt response is necessary to ensure that your shares are represented at the meeting. You can change your vote and revoke your proxy at any time before the polls close at the meeting by following the procedures described in the accompanying proxy statement.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shareholders are cordially invited to attend the meeting.</w:t>
      </w: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order of the Board of Directors,</w:t>
      </w:r>
    </w:p>
    <w:p>
      <w:pPr>
        <w:spacing w:after="0" w:line="31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MARGARET K. SEIF</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Secretary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Norwood, Massachusetts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January 25, 2019</w:t>
      </w:r>
    </w:p>
    <w:p>
      <w:pPr>
        <w:sectPr>
          <w:pgSz w:w="11900" w:h="16838" w:orient="portrait"/>
          <w:cols w:equalWidth="0" w:num="1">
            <w:col w:w="11140"/>
          </w:cols>
          <w:pgMar w:left="240" w:top="453" w:right="5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TABLE OF CONTENTS</w:t>
      </w:r>
    </w:p>
    <w:p>
      <w:pPr>
        <w:spacing w:after="0" w:line="31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780" w:type="dxa"/>
            <w:vAlign w:val="bottom"/>
            <w:gridSpan w:val="31"/>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PROXY STATEMENT HIGHLIGHTS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FORWARD-LOOKING STATEMENTS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INFORMATION ABOUT THE ANNUAL MEETING AND VOTING</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5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3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NOTICE OF AMENDMENT OF BYLAWS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HOUSEHOLDING OF ANNUAL MEETING MATERIALS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5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SECURITY OWNERSHIP OF CERTAIN BENEFICIAL OWNERS</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7"/>
        </w:trPr>
        <w:tc>
          <w:tcPr>
            <w:tcW w:w="4580" w:type="dxa"/>
            <w:vAlign w:val="bottom"/>
            <w:tcBorders>
              <w:top w:val="single" w:sz="8" w:color="0000EE"/>
            </w:tcBorders>
            <w:gridSpan w:val="30"/>
          </w:tcPr>
          <w:p>
            <w:pPr>
              <w:spacing w:after="0" w:line="167" w:lineRule="exact"/>
              <w:rPr>
                <w:rFonts w:ascii="Arial" w:cs="Arial" w:eastAsia="Arial" w:hAnsi="Arial"/>
                <w:sz w:val="16"/>
                <w:szCs w:val="16"/>
                <w:color w:val="0000EE"/>
              </w:rPr>
            </w:pPr>
            <w:hyperlink w:anchor="page20">
              <w:r>
                <w:rPr>
                  <w:rFonts w:ascii="Arial" w:cs="Arial" w:eastAsia="Arial" w:hAnsi="Arial"/>
                  <w:sz w:val="16"/>
                  <w:szCs w:val="16"/>
                  <w:color w:val="0000EE"/>
                </w:rPr>
                <w:t>AND MANAGEMENT</w:t>
              </w:r>
            </w:hyperlink>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SECTION 16(A) BENEFICIAL OWNERSHIP REPORTING</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7"/>
        </w:trPr>
        <w:tc>
          <w:tcPr>
            <w:tcW w:w="4140" w:type="dxa"/>
            <w:vAlign w:val="bottom"/>
            <w:tcBorders>
              <w:top w:val="single" w:sz="8" w:color="0000EE"/>
            </w:tcBorders>
            <w:gridSpan w:val="26"/>
          </w:tcPr>
          <w:p>
            <w:pPr>
              <w:spacing w:after="0" w:line="167" w:lineRule="exact"/>
              <w:rPr>
                <w:rFonts w:ascii="Arial" w:cs="Arial" w:eastAsia="Arial" w:hAnsi="Arial"/>
                <w:sz w:val="16"/>
                <w:szCs w:val="16"/>
                <w:color w:val="0000EE"/>
              </w:rPr>
            </w:pPr>
            <w:hyperlink w:anchor="page22">
              <w:r>
                <w:rPr>
                  <w:rFonts w:ascii="Arial" w:cs="Arial" w:eastAsia="Arial" w:hAnsi="Arial"/>
                  <w:sz w:val="16"/>
                  <w:szCs w:val="16"/>
                  <w:color w:val="0000EE"/>
                </w:rPr>
                <w:t>COMPLIANCE</w:t>
              </w:r>
            </w:hyperlink>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10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PROPOSAL 1 — ELECTION OF DIRECTORS</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0" w:type="dxa"/>
            <w:vAlign w:val="bottom"/>
          </w:tcPr>
          <w:p>
            <w:pPr>
              <w:spacing w:after="0"/>
              <w:rPr>
                <w:sz w:val="14"/>
                <w:szCs w:val="14"/>
                <w:color w:val="auto"/>
              </w:rPr>
            </w:pPr>
          </w:p>
        </w:tc>
        <w:tc>
          <w:tcPr>
            <w:tcW w:w="4580" w:type="dxa"/>
            <w:vAlign w:val="bottom"/>
            <w:gridSpan w:val="30"/>
          </w:tcPr>
          <w:p>
            <w:pPr>
              <w:spacing w:after="0" w:line="167" w:lineRule="exact"/>
              <w:rPr>
                <w:rFonts w:ascii="Arial" w:cs="Arial" w:eastAsia="Arial" w:hAnsi="Arial"/>
                <w:sz w:val="15"/>
                <w:szCs w:val="15"/>
                <w:color w:val="0000EE"/>
              </w:rPr>
            </w:pPr>
            <w:hyperlink w:anchor="page29">
              <w:r>
                <w:rPr>
                  <w:rFonts w:ascii="Arial" w:cs="Arial" w:eastAsia="Arial" w:hAnsi="Arial"/>
                  <w:sz w:val="15"/>
                  <w:szCs w:val="15"/>
                  <w:color w:val="0000EE"/>
                </w:rPr>
                <w:t>General</w:t>
              </w:r>
            </w:hyperlink>
          </w:p>
        </w:tc>
        <w:tc>
          <w:tcPr>
            <w:tcW w:w="440" w:type="dxa"/>
            <w:vAlign w:val="bottom"/>
          </w:tcPr>
          <w:p>
            <w:pPr>
              <w:jc w:val="right"/>
              <w:spacing w:after="0" w:line="167"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25</w:t>
            </w:r>
          </w:p>
        </w:tc>
        <w:tc>
          <w:tcPr>
            <w:tcW w:w="0" w:type="dxa"/>
            <w:vAlign w:val="bottom"/>
          </w:tcPr>
          <w:p>
            <w:pPr>
              <w:spacing w:after="0" w:line="20" w:lineRule="exact"/>
              <w:rPr>
                <w:sz w:val="1"/>
                <w:szCs w:val="1"/>
                <w:color w:val="auto"/>
              </w:rPr>
            </w:pPr>
          </w:p>
        </w:tc>
      </w:tr>
      <w:tr>
        <w:trPr>
          <w:trHeight w:val="140"/>
        </w:trPr>
        <w:tc>
          <w:tcPr>
            <w:tcW w:w="200" w:type="dxa"/>
            <w:vAlign w:val="bottom"/>
          </w:tcPr>
          <w:p>
            <w:pPr>
              <w:spacing w:after="0"/>
              <w:rPr>
                <w:sz w:val="12"/>
                <w:szCs w:val="12"/>
                <w:color w:val="auto"/>
              </w:rPr>
            </w:pPr>
          </w:p>
        </w:tc>
        <w:tc>
          <w:tcPr>
            <w:tcW w:w="4580" w:type="dxa"/>
            <w:vAlign w:val="bottom"/>
            <w:gridSpan w:val="30"/>
          </w:tcPr>
          <w:p>
            <w:pPr>
              <w:spacing w:after="0" w:line="141" w:lineRule="exact"/>
              <w:rPr>
                <w:rFonts w:ascii="Arial" w:cs="Arial" w:eastAsia="Arial" w:hAnsi="Arial"/>
                <w:sz w:val="15"/>
                <w:szCs w:val="15"/>
                <w:color w:val="0000EE"/>
              </w:rPr>
            </w:pPr>
            <w:hyperlink w:anchor="page30">
              <w:r>
                <w:rPr>
                  <w:rFonts w:ascii="Arial" w:cs="Arial" w:eastAsia="Arial" w:hAnsi="Arial"/>
                  <w:sz w:val="15"/>
                  <w:szCs w:val="15"/>
                  <w:color w:val="0000EE"/>
                </w:rPr>
                <w:t>Engagement with our Shareholders</w:t>
              </w:r>
            </w:hyperlink>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1660" w:type="dxa"/>
            <w:vAlign w:val="bottom"/>
            <w:tcBorders>
              <w:top w:val="single" w:sz="8" w:color="0000EE"/>
              <w:bottom w:val="single" w:sz="8" w:color="0000EE"/>
            </w:tcBorders>
            <w:gridSpan w:val="8"/>
          </w:tcPr>
          <w:p>
            <w:pPr>
              <w:spacing w:after="0" w:line="141" w:lineRule="exact"/>
              <w:rPr>
                <w:rFonts w:ascii="Arial" w:cs="Arial" w:eastAsia="Arial" w:hAnsi="Arial"/>
                <w:sz w:val="15"/>
                <w:szCs w:val="15"/>
                <w:color w:val="0000EE"/>
              </w:rPr>
            </w:pPr>
            <w:hyperlink w:anchor="page30">
              <w:r>
                <w:rPr>
                  <w:rFonts w:ascii="Arial" w:cs="Arial" w:eastAsia="Arial" w:hAnsi="Arial"/>
                  <w:sz w:val="15"/>
                  <w:szCs w:val="15"/>
                  <w:color w:val="0000EE"/>
                </w:rPr>
                <w:t>Corporate Responsibility</w:t>
              </w:r>
            </w:hyperlink>
          </w:p>
        </w:tc>
        <w:tc>
          <w:tcPr>
            <w:tcW w:w="720" w:type="dxa"/>
            <w:vAlign w:val="bottom"/>
            <w:tcBorders>
              <w:top w:val="single" w:sz="8" w:color="0000EE"/>
            </w:tcBorders>
            <w:gridSpan w:val="5"/>
          </w:tcPr>
          <w:p>
            <w:pPr>
              <w:spacing w:after="0"/>
              <w:rPr>
                <w:sz w:val="12"/>
                <w:szCs w:val="12"/>
                <w:color w:val="auto"/>
              </w:rPr>
            </w:pPr>
          </w:p>
        </w:tc>
        <w:tc>
          <w:tcPr>
            <w:tcW w:w="2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580" w:type="dxa"/>
            <w:vAlign w:val="bottom"/>
            <w:gridSpan w:val="30"/>
          </w:tcPr>
          <w:p>
            <w:pPr>
              <w:spacing w:after="0" w:line="141" w:lineRule="exact"/>
              <w:rPr>
                <w:rFonts w:ascii="Arial" w:cs="Arial" w:eastAsia="Arial" w:hAnsi="Arial"/>
                <w:sz w:val="15"/>
                <w:szCs w:val="15"/>
                <w:color w:val="0000EE"/>
              </w:rPr>
            </w:pPr>
            <w:hyperlink w:anchor="page31">
              <w:r>
                <w:rPr>
                  <w:rFonts w:ascii="Arial" w:cs="Arial" w:eastAsia="Arial" w:hAnsi="Arial"/>
                  <w:sz w:val="15"/>
                  <w:szCs w:val="15"/>
                  <w:color w:val="0000EE"/>
                </w:rPr>
                <w:t>Determination of Independence</w:t>
              </w:r>
            </w:hyperlink>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120" w:type="dxa"/>
            <w:vAlign w:val="bottom"/>
            <w:tcBorders>
              <w:top w:val="single" w:sz="8" w:color="0000EE"/>
            </w:tcBorders>
            <w:gridSpan w:val="11"/>
          </w:tcPr>
          <w:p>
            <w:pPr>
              <w:spacing w:after="0" w:line="141" w:lineRule="exact"/>
              <w:rPr>
                <w:rFonts w:ascii="Arial" w:cs="Arial" w:eastAsia="Arial" w:hAnsi="Arial"/>
                <w:sz w:val="15"/>
                <w:szCs w:val="15"/>
                <w:color w:val="0000EE"/>
              </w:rPr>
            </w:pPr>
            <w:hyperlink w:anchor="page32">
              <w:r>
                <w:rPr>
                  <w:rFonts w:ascii="Arial" w:cs="Arial" w:eastAsia="Arial" w:hAnsi="Arial"/>
                  <w:sz w:val="15"/>
                  <w:szCs w:val="15"/>
                  <w:color w:val="0000EE"/>
                </w:rPr>
                <w:t>Director Candidates</w:t>
              </w:r>
            </w:hyperlink>
          </w:p>
        </w:tc>
        <w:tc>
          <w:tcPr>
            <w:tcW w:w="54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27</w:t>
            </w:r>
          </w:p>
        </w:tc>
        <w:tc>
          <w:tcPr>
            <w:tcW w:w="0" w:type="dxa"/>
            <w:vAlign w:val="bottom"/>
          </w:tcPr>
          <w:p>
            <w:pPr>
              <w:spacing w:after="0" w:line="20" w:lineRule="exact"/>
              <w:rPr>
                <w:sz w:val="1"/>
                <w:szCs w:val="1"/>
                <w:color w:val="auto"/>
              </w:rPr>
            </w:pPr>
          </w:p>
        </w:tc>
      </w:tr>
      <w:tr>
        <w:trPr>
          <w:trHeight w:val="140"/>
        </w:trPr>
        <w:tc>
          <w:tcPr>
            <w:tcW w:w="200" w:type="dxa"/>
            <w:vAlign w:val="bottom"/>
          </w:tcPr>
          <w:p>
            <w:pPr>
              <w:spacing w:after="0"/>
              <w:rPr>
                <w:sz w:val="12"/>
                <w:szCs w:val="12"/>
                <w:color w:val="auto"/>
              </w:rPr>
            </w:pPr>
          </w:p>
        </w:tc>
        <w:tc>
          <w:tcPr>
            <w:tcW w:w="4580" w:type="dxa"/>
            <w:vAlign w:val="bottom"/>
            <w:gridSpan w:val="30"/>
          </w:tcPr>
          <w:p>
            <w:pPr>
              <w:spacing w:after="0" w:line="141" w:lineRule="exact"/>
              <w:rPr>
                <w:rFonts w:ascii="Arial" w:cs="Arial" w:eastAsia="Arial" w:hAnsi="Arial"/>
                <w:sz w:val="15"/>
                <w:szCs w:val="15"/>
                <w:color w:val="0000EE"/>
              </w:rPr>
            </w:pPr>
            <w:hyperlink w:anchor="page32">
              <w:r>
                <w:rPr>
                  <w:rFonts w:ascii="Arial" w:cs="Arial" w:eastAsia="Arial" w:hAnsi="Arial"/>
                  <w:sz w:val="15"/>
                  <w:szCs w:val="15"/>
                  <w:color w:val="0000EE"/>
                </w:rPr>
                <w:t>Communications from Shareholders and Other Interested Parties</w:t>
              </w:r>
            </w:hyperlink>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680" w:type="dxa"/>
            <w:vAlign w:val="bottom"/>
            <w:tcBorders>
              <w:top w:val="single" w:sz="8" w:color="0000EE"/>
              <w:bottom w:val="single" w:sz="8" w:color="0000EE"/>
            </w:tcBorders>
            <w:gridSpan w:val="16"/>
          </w:tcPr>
          <w:p>
            <w:pPr>
              <w:spacing w:after="0" w:line="141" w:lineRule="exact"/>
              <w:rPr>
                <w:rFonts w:ascii="Arial" w:cs="Arial" w:eastAsia="Arial" w:hAnsi="Arial"/>
                <w:sz w:val="15"/>
                <w:szCs w:val="15"/>
                <w:color w:val="0000EE"/>
              </w:rPr>
            </w:pPr>
            <w:hyperlink w:anchor="page33">
              <w:r>
                <w:rPr>
                  <w:rFonts w:ascii="Arial" w:cs="Arial" w:eastAsia="Arial" w:hAnsi="Arial"/>
                  <w:sz w:val="15"/>
                  <w:szCs w:val="15"/>
                  <w:color w:val="0000EE"/>
                </w:rPr>
                <w:t>Board of Directors Leadership Structure</w:t>
              </w:r>
            </w:hyperlink>
          </w:p>
        </w:tc>
        <w:tc>
          <w:tcPr>
            <w:tcW w:w="1680" w:type="dxa"/>
            <w:vAlign w:val="bottom"/>
            <w:tcBorders>
              <w:top w:val="single" w:sz="8" w:color="0000EE"/>
            </w:tcBorders>
            <w:gridSpan w:val="12"/>
          </w:tcPr>
          <w:p>
            <w:pPr>
              <w:spacing w:after="0"/>
              <w:rPr>
                <w:sz w:val="12"/>
                <w:szCs w:val="12"/>
                <w:color w:val="auto"/>
              </w:rPr>
            </w:pPr>
          </w:p>
        </w:tc>
        <w:tc>
          <w:tcPr>
            <w:tcW w:w="220" w:type="dxa"/>
            <w:vAlign w:val="bottom"/>
            <w:gridSpan w:val="2"/>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580" w:type="dxa"/>
            <w:vAlign w:val="bottom"/>
            <w:gridSpan w:val="30"/>
          </w:tcPr>
          <w:p>
            <w:pPr>
              <w:spacing w:after="0" w:line="141" w:lineRule="exact"/>
              <w:rPr>
                <w:rFonts w:ascii="Arial" w:cs="Arial" w:eastAsia="Arial" w:hAnsi="Arial"/>
                <w:sz w:val="15"/>
                <w:szCs w:val="15"/>
                <w:color w:val="0000EE"/>
              </w:rPr>
            </w:pPr>
            <w:hyperlink w:anchor="page33">
              <w:r>
                <w:rPr>
                  <w:rFonts w:ascii="Arial" w:cs="Arial" w:eastAsia="Arial" w:hAnsi="Arial"/>
                  <w:sz w:val="15"/>
                  <w:szCs w:val="15"/>
                  <w:color w:val="0000EE"/>
                </w:rPr>
                <w:t>Board of Directors Meetings and Committees</w:t>
              </w:r>
            </w:hyperlink>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020" w:type="dxa"/>
            <w:vAlign w:val="bottom"/>
            <w:tcBorders>
              <w:top w:val="single" w:sz="8" w:color="0000EE"/>
              <w:bottom w:val="single" w:sz="8" w:color="0000EE"/>
            </w:tcBorders>
            <w:gridSpan w:val="19"/>
          </w:tcPr>
          <w:p>
            <w:pPr>
              <w:spacing w:after="0" w:line="141" w:lineRule="exact"/>
              <w:rPr>
                <w:rFonts w:ascii="Arial" w:cs="Arial" w:eastAsia="Arial" w:hAnsi="Arial"/>
                <w:sz w:val="15"/>
                <w:szCs w:val="15"/>
                <w:color w:val="0000EE"/>
                <w:w w:val="97"/>
              </w:rPr>
            </w:pPr>
            <w:hyperlink w:anchor="page36">
              <w:r>
                <w:rPr>
                  <w:rFonts w:ascii="Arial" w:cs="Arial" w:eastAsia="Arial" w:hAnsi="Arial"/>
                  <w:sz w:val="15"/>
                  <w:szCs w:val="15"/>
                  <w:color w:val="0000EE"/>
                  <w:w w:val="97"/>
                </w:rPr>
                <w:t>The Board of Directors’ Role in Risk Oversight</w:t>
              </w:r>
            </w:hyperlink>
          </w:p>
        </w:tc>
        <w:tc>
          <w:tcPr>
            <w:tcW w:w="80" w:type="dxa"/>
            <w:vAlign w:val="bottom"/>
            <w:tcBorders>
              <w:bottom w:val="single" w:sz="8" w:color="0000EE"/>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100" w:type="dxa"/>
            <w:vAlign w:val="bottom"/>
            <w:gridSpan w:val="20"/>
          </w:tcPr>
          <w:p>
            <w:pPr>
              <w:spacing w:after="0" w:line="141" w:lineRule="exact"/>
              <w:rPr>
                <w:rFonts w:ascii="Arial" w:cs="Arial" w:eastAsia="Arial" w:hAnsi="Arial"/>
                <w:sz w:val="15"/>
                <w:szCs w:val="15"/>
                <w:color w:val="0000EE"/>
              </w:rPr>
            </w:pPr>
            <w:hyperlink w:anchor="page36">
              <w:r>
                <w:rPr>
                  <w:rFonts w:ascii="Arial" w:cs="Arial" w:eastAsia="Arial" w:hAnsi="Arial"/>
                  <w:sz w:val="15"/>
                  <w:szCs w:val="15"/>
                  <w:color w:val="0000EE"/>
                </w:rPr>
                <w:t>Report of the Audit Committee</w:t>
              </w:r>
            </w:hyperlink>
          </w:p>
        </w:tc>
        <w:tc>
          <w:tcPr>
            <w:tcW w:w="100" w:type="dxa"/>
            <w:vAlign w:val="bottom"/>
            <w:gridSpan w:val="2"/>
          </w:tcPr>
          <w:p>
            <w:pPr>
              <w:spacing w:after="0"/>
              <w:rPr>
                <w:sz w:val="12"/>
                <w:szCs w:val="12"/>
                <w:color w:val="auto"/>
              </w:rPr>
            </w:pPr>
          </w:p>
        </w:tc>
        <w:tc>
          <w:tcPr>
            <w:tcW w:w="58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040" w:type="dxa"/>
            <w:vAlign w:val="bottom"/>
            <w:tcBorders>
              <w:top w:val="single" w:sz="8" w:color="0000EE"/>
            </w:tcBorders>
            <w:gridSpan w:val="10"/>
          </w:tcPr>
          <w:p>
            <w:pPr>
              <w:spacing w:after="0" w:line="141" w:lineRule="exact"/>
              <w:rPr>
                <w:rFonts w:ascii="Arial" w:cs="Arial" w:eastAsia="Arial" w:hAnsi="Arial"/>
                <w:sz w:val="15"/>
                <w:szCs w:val="15"/>
                <w:color w:val="0000EE"/>
                <w:w w:val="98"/>
              </w:rPr>
            </w:pPr>
            <w:hyperlink w:anchor="page37">
              <w:r>
                <w:rPr>
                  <w:rFonts w:ascii="Arial" w:cs="Arial" w:eastAsia="Arial" w:hAnsi="Arial"/>
                  <w:sz w:val="15"/>
                  <w:szCs w:val="15"/>
                  <w:color w:val="0000EE"/>
                  <w:w w:val="98"/>
                </w:rPr>
                <w:t>Independent Registered Public</w:t>
              </w:r>
            </w:hyperlink>
          </w:p>
        </w:tc>
        <w:tc>
          <w:tcPr>
            <w:tcW w:w="2540" w:type="dxa"/>
            <w:vAlign w:val="bottom"/>
            <w:gridSpan w:val="20"/>
          </w:tcPr>
          <w:p>
            <w:pPr>
              <w:ind w:left="80"/>
              <w:spacing w:after="0" w:line="141" w:lineRule="exact"/>
              <w:rPr>
                <w:rFonts w:ascii="Arial" w:cs="Arial" w:eastAsia="Arial" w:hAnsi="Arial"/>
                <w:sz w:val="15"/>
                <w:szCs w:val="15"/>
                <w:color w:val="0000EE"/>
              </w:rPr>
            </w:pPr>
            <w:hyperlink w:anchor="page37">
              <w:r>
                <w:rPr>
                  <w:rFonts w:ascii="Arial" w:cs="Arial" w:eastAsia="Arial" w:hAnsi="Arial"/>
                  <w:sz w:val="15"/>
                  <w:szCs w:val="15"/>
                  <w:color w:val="0000EE"/>
                </w:rPr>
                <w:t>Accounting Firm Fees and Other</w:t>
              </w:r>
            </w:hyperlink>
          </w:p>
        </w:tc>
        <w:tc>
          <w:tcPr>
            <w:tcW w:w="440" w:type="dxa"/>
            <w:vAlign w:val="bottom"/>
            <w:vMerge w:val="restart"/>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4080" w:type="dxa"/>
            <w:vAlign w:val="bottom"/>
            <w:tcBorders>
              <w:top w:val="single" w:sz="8" w:color="0000EE"/>
            </w:tcBorders>
            <w:gridSpan w:val="25"/>
          </w:tcPr>
          <w:p>
            <w:pPr>
              <w:spacing w:after="0" w:line="141" w:lineRule="exact"/>
              <w:rPr>
                <w:rFonts w:ascii="Arial" w:cs="Arial" w:eastAsia="Arial" w:hAnsi="Arial"/>
                <w:sz w:val="15"/>
                <w:szCs w:val="15"/>
                <w:color w:val="0000EE"/>
              </w:rPr>
            </w:pPr>
            <w:hyperlink w:anchor="page37">
              <w:r>
                <w:rPr>
                  <w:rFonts w:ascii="Arial" w:cs="Arial" w:eastAsia="Arial" w:hAnsi="Arial"/>
                  <w:sz w:val="15"/>
                  <w:szCs w:val="15"/>
                  <w:color w:val="0000EE"/>
                </w:rPr>
                <w:t>Matters</w:t>
              </w:r>
            </w:hyperlink>
          </w:p>
        </w:tc>
        <w:tc>
          <w:tcPr>
            <w:tcW w:w="40" w:type="dxa"/>
            <w:vAlign w:val="bottom"/>
          </w:tcPr>
          <w:p>
            <w:pPr>
              <w:spacing w:after="0"/>
              <w:rPr>
                <w:sz w:val="12"/>
                <w:szCs w:val="12"/>
                <w:color w:val="auto"/>
              </w:rPr>
            </w:pPr>
          </w:p>
        </w:tc>
        <w:tc>
          <w:tcPr>
            <w:tcW w:w="240" w:type="dxa"/>
            <w:vAlign w:val="bottom"/>
            <w:gridSpan w:val="3"/>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gridSpan w:val="4"/>
            <w:vMerge w:val="restart"/>
          </w:tcPr>
          <w:p>
            <w:pPr>
              <w:spacing w:after="0" w:line="160" w:lineRule="exact"/>
              <w:rPr>
                <w:rFonts w:ascii="Arial" w:cs="Arial" w:eastAsia="Arial" w:hAnsi="Arial"/>
                <w:sz w:val="15"/>
                <w:szCs w:val="15"/>
                <w:color w:val="0000EE"/>
                <w:w w:val="84"/>
              </w:rPr>
            </w:pPr>
            <w:hyperlink w:anchor="page38">
              <w:r>
                <w:rPr>
                  <w:rFonts w:ascii="Arial" w:cs="Arial" w:eastAsia="Arial" w:hAnsi="Arial"/>
                  <w:sz w:val="15"/>
                  <w:szCs w:val="15"/>
                  <w:color w:val="0000EE"/>
                  <w:w w:val="84"/>
                </w:rPr>
                <w:t>Compensation</w:t>
              </w:r>
            </w:hyperlink>
          </w:p>
        </w:tc>
        <w:tc>
          <w:tcPr>
            <w:tcW w:w="3020" w:type="dxa"/>
            <w:vAlign w:val="bottom"/>
            <w:gridSpan w:val="23"/>
            <w:vMerge w:val="restart"/>
          </w:tcPr>
          <w:p>
            <w:pPr>
              <w:spacing w:after="0" w:line="20" w:lineRule="exact"/>
              <w:rPr>
                <w:sz w:val="1"/>
                <w:szCs w:val="1"/>
                <w:color w:val="auto"/>
              </w:rPr>
            </w:pPr>
          </w:p>
        </w:tc>
        <w:tc>
          <w:tcPr>
            <w:tcW w:w="44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33</w:t>
            </w:r>
          </w:p>
        </w:tc>
        <w:tc>
          <w:tcPr>
            <w:tcW w:w="0" w:type="dxa"/>
            <w:vAlign w:val="bottom"/>
          </w:tcPr>
          <w:p>
            <w:pPr>
              <w:spacing w:after="0" w:line="20" w:lineRule="exact"/>
              <w:rPr>
                <w:sz w:val="1"/>
                <w:szCs w:val="1"/>
                <w:color w:val="auto"/>
              </w:rPr>
            </w:pPr>
          </w:p>
        </w:tc>
      </w:tr>
      <w:tr>
        <w:trPr>
          <w:trHeight w:val="140"/>
        </w:trPr>
        <w:tc>
          <w:tcPr>
            <w:tcW w:w="200" w:type="dxa"/>
            <w:vAlign w:val="bottom"/>
          </w:tcPr>
          <w:p>
            <w:pPr>
              <w:spacing w:after="0"/>
              <w:rPr>
                <w:sz w:val="12"/>
                <w:szCs w:val="12"/>
                <w:color w:val="auto"/>
              </w:rPr>
            </w:pPr>
          </w:p>
        </w:tc>
        <w:tc>
          <w:tcPr>
            <w:tcW w:w="720" w:type="dxa"/>
            <w:vAlign w:val="bottom"/>
            <w:tcBorders>
              <w:bottom w:val="single" w:sz="8" w:color="0000EE"/>
            </w:tcBorders>
            <w:gridSpan w:val="3"/>
          </w:tcPr>
          <w:p>
            <w:pPr>
              <w:spacing w:after="0" w:line="141" w:lineRule="exact"/>
              <w:rPr>
                <w:rFonts w:ascii="Arial" w:cs="Arial" w:eastAsia="Arial" w:hAnsi="Arial"/>
                <w:sz w:val="15"/>
                <w:szCs w:val="15"/>
                <w:color w:val="0000EE"/>
              </w:rPr>
            </w:pPr>
            <w:hyperlink w:anchor="page38">
              <w:r>
                <w:rPr>
                  <w:rFonts w:ascii="Arial" w:cs="Arial" w:eastAsia="Arial" w:hAnsi="Arial"/>
                  <w:sz w:val="15"/>
                  <w:szCs w:val="15"/>
                  <w:color w:val="0000EE"/>
                </w:rPr>
                <w:t>Director</w:t>
              </w:r>
            </w:hyperlink>
          </w:p>
        </w:tc>
        <w:tc>
          <w:tcPr>
            <w:tcW w:w="840" w:type="dxa"/>
            <w:vAlign w:val="bottom"/>
            <w:tcBorders>
              <w:bottom w:val="single" w:sz="8" w:color="0000EE"/>
            </w:tcBorders>
            <w:gridSpan w:val="4"/>
            <w:vMerge w:val="continue"/>
          </w:tcPr>
          <w:p>
            <w:pPr>
              <w:spacing w:after="0"/>
              <w:rPr>
                <w:sz w:val="12"/>
                <w:szCs w:val="12"/>
                <w:color w:val="auto"/>
              </w:rPr>
            </w:pPr>
          </w:p>
        </w:tc>
        <w:tc>
          <w:tcPr>
            <w:tcW w:w="3020" w:type="dxa"/>
            <w:vAlign w:val="bottom"/>
            <w:gridSpan w:val="23"/>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580" w:type="dxa"/>
            <w:vAlign w:val="bottom"/>
            <w:gridSpan w:val="30"/>
          </w:tcPr>
          <w:p>
            <w:pPr>
              <w:spacing w:after="0" w:line="141" w:lineRule="exact"/>
              <w:rPr>
                <w:rFonts w:ascii="Arial" w:cs="Arial" w:eastAsia="Arial" w:hAnsi="Arial"/>
                <w:sz w:val="15"/>
                <w:szCs w:val="15"/>
                <w:color w:val="0000EE"/>
              </w:rPr>
            </w:pPr>
            <w:hyperlink w:anchor="page41">
              <w:r>
                <w:rPr>
                  <w:rFonts w:ascii="Arial" w:cs="Arial" w:eastAsia="Arial" w:hAnsi="Arial"/>
                  <w:sz w:val="15"/>
                  <w:szCs w:val="15"/>
                  <w:color w:val="0000EE"/>
                </w:rPr>
                <w:t>Certain Relationships and Related Transactions</w:t>
              </w:r>
            </w:hyperlink>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40" w:type="dxa"/>
            <w:vAlign w:val="bottom"/>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80" w:type="dxa"/>
            <w:vAlign w:val="bottom"/>
            <w:gridSpan w:val="31"/>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PROPOSAL 2 — ADVISORY VOTE ON THE COMPENSATION</w:t>
              </w:r>
            </w:hyperlink>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7"/>
        </w:trPr>
        <w:tc>
          <w:tcPr>
            <w:tcW w:w="4540" w:type="dxa"/>
            <w:vAlign w:val="bottom"/>
            <w:tcBorders>
              <w:top w:val="single" w:sz="8" w:color="0000EE"/>
            </w:tcBorders>
            <w:gridSpan w:val="28"/>
          </w:tcPr>
          <w:p>
            <w:pPr>
              <w:spacing w:after="0" w:line="167" w:lineRule="exact"/>
              <w:rPr>
                <w:rFonts w:ascii="Arial" w:cs="Arial" w:eastAsia="Arial" w:hAnsi="Arial"/>
                <w:sz w:val="16"/>
                <w:szCs w:val="16"/>
                <w:color w:val="0000EE"/>
              </w:rPr>
            </w:pPr>
            <w:hyperlink w:anchor="page43">
              <w:r>
                <w:rPr>
                  <w:rFonts w:ascii="Arial" w:cs="Arial" w:eastAsia="Arial" w:hAnsi="Arial"/>
                  <w:sz w:val="16"/>
                  <w:szCs w:val="16"/>
                  <w:color w:val="0000EE"/>
                </w:rPr>
                <w:t>OF OUR NAMED EXECUTIVE OFFICERS</w:t>
              </w:r>
            </w:hyperlink>
          </w:p>
        </w:tc>
        <w:tc>
          <w:tcPr>
            <w:tcW w:w="240" w:type="dxa"/>
            <w:vAlign w:val="bottom"/>
            <w:gridSpan w:val="3"/>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56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780" w:type="dxa"/>
            <w:vAlign w:val="bottom"/>
            <w:gridSpan w:val="31"/>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INFORMATION ABOUT EXECUTIVE COMPENSATION</w:t>
              </w:r>
            </w:hyperlink>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10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6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56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3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4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0" w:type="dxa"/>
            <w:vAlign w:val="bottom"/>
          </w:tcPr>
          <w:p>
            <w:pPr>
              <w:spacing w:after="0"/>
              <w:rPr>
                <w:sz w:val="14"/>
                <w:szCs w:val="14"/>
                <w:color w:val="auto"/>
              </w:rPr>
            </w:pPr>
          </w:p>
        </w:tc>
        <w:tc>
          <w:tcPr>
            <w:tcW w:w="2660" w:type="dxa"/>
            <w:vAlign w:val="bottom"/>
            <w:tcBorders>
              <w:bottom w:val="single" w:sz="8" w:color="0000EE"/>
            </w:tcBorders>
            <w:gridSpan w:val="15"/>
          </w:tcPr>
          <w:p>
            <w:pPr>
              <w:spacing w:after="0" w:line="167" w:lineRule="exact"/>
              <w:rPr>
                <w:rFonts w:ascii="Arial" w:cs="Arial" w:eastAsia="Arial" w:hAnsi="Arial"/>
                <w:sz w:val="15"/>
                <w:szCs w:val="15"/>
                <w:color w:val="0000EE"/>
              </w:rPr>
            </w:pPr>
            <w:hyperlink w:anchor="page44">
              <w:r>
                <w:rPr>
                  <w:rFonts w:ascii="Arial" w:cs="Arial" w:eastAsia="Arial" w:hAnsi="Arial"/>
                  <w:sz w:val="15"/>
                  <w:szCs w:val="15"/>
                  <w:color w:val="0000EE"/>
                </w:rPr>
                <w:t>Compensation Discussion and Analysis</w:t>
              </w:r>
            </w:hyperlink>
          </w:p>
        </w:tc>
        <w:tc>
          <w:tcPr>
            <w:tcW w:w="1920" w:type="dxa"/>
            <w:vAlign w:val="bottom"/>
            <w:gridSpan w:val="15"/>
          </w:tcPr>
          <w:p>
            <w:pPr>
              <w:spacing w:after="0"/>
              <w:rPr>
                <w:sz w:val="14"/>
                <w:szCs w:val="14"/>
                <w:color w:val="auto"/>
              </w:rPr>
            </w:pPr>
          </w:p>
        </w:tc>
        <w:tc>
          <w:tcPr>
            <w:tcW w:w="440" w:type="dxa"/>
            <w:vAlign w:val="bottom"/>
          </w:tcPr>
          <w:p>
            <w:pPr>
              <w:jc w:val="right"/>
              <w:spacing w:after="0" w:line="167"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tcBorders>
              <w:bottom w:val="single" w:sz="8" w:color="0000EE"/>
            </w:tcBorders>
            <w:gridSpan w:val="18"/>
          </w:tcPr>
          <w:p>
            <w:pPr>
              <w:spacing w:after="0" w:line="141" w:lineRule="exact"/>
              <w:rPr>
                <w:rFonts w:ascii="Arial" w:cs="Arial" w:eastAsia="Arial" w:hAnsi="Arial"/>
                <w:sz w:val="15"/>
                <w:szCs w:val="15"/>
                <w:color w:val="0000EE"/>
              </w:rPr>
            </w:pPr>
            <w:hyperlink w:anchor="page44">
              <w:r>
                <w:rPr>
                  <w:rFonts w:ascii="Arial" w:cs="Arial" w:eastAsia="Arial" w:hAnsi="Arial"/>
                  <w:sz w:val="15"/>
                  <w:szCs w:val="15"/>
                  <w:color w:val="0000EE"/>
                </w:rPr>
                <w:t>Compensation Processes and Philosophy</w:t>
              </w:r>
            </w:hyperlink>
          </w:p>
        </w:tc>
        <w:tc>
          <w:tcPr>
            <w:tcW w:w="1560" w:type="dxa"/>
            <w:vAlign w:val="bottom"/>
            <w:gridSpan w:val="11"/>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27"/>
          </w:tcPr>
          <w:p>
            <w:pPr>
              <w:spacing w:after="0"/>
              <w:rPr>
                <w:rFonts w:ascii="Arial" w:cs="Arial" w:eastAsia="Arial" w:hAnsi="Arial"/>
                <w:sz w:val="15"/>
                <w:szCs w:val="15"/>
                <w:color w:val="0000EE"/>
              </w:rPr>
            </w:pPr>
            <w:hyperlink w:anchor="page48">
              <w:r>
                <w:rPr>
                  <w:rFonts w:ascii="Arial" w:cs="Arial" w:eastAsia="Arial" w:hAnsi="Arial"/>
                  <w:sz w:val="15"/>
                  <w:szCs w:val="15"/>
                  <w:color w:val="0000EE"/>
                </w:rPr>
                <w:t>Components of Executive Compensation</w:t>
              </w:r>
            </w:hyperlink>
          </w:p>
        </w:tc>
        <w:tc>
          <w:tcPr>
            <w:tcW w:w="460" w:type="dxa"/>
            <w:vAlign w:val="bottom"/>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40" w:type="dxa"/>
            <w:vAlign w:val="bottom"/>
            <w:tcBorders>
              <w:top w:val="single" w:sz="8" w:color="0000EE"/>
            </w:tcBorders>
            <w:gridSpan w:val="15"/>
          </w:tcPr>
          <w:p>
            <w:pPr>
              <w:spacing w:after="0" w:line="141" w:lineRule="exact"/>
              <w:rPr>
                <w:rFonts w:ascii="Arial" w:cs="Arial" w:eastAsia="Arial" w:hAnsi="Arial"/>
                <w:sz w:val="15"/>
                <w:szCs w:val="15"/>
                <w:color w:val="0000EE"/>
              </w:rPr>
            </w:pPr>
            <w:hyperlink w:anchor="page54">
              <w:r>
                <w:rPr>
                  <w:rFonts w:ascii="Arial" w:cs="Arial" w:eastAsia="Arial" w:hAnsi="Arial"/>
                  <w:sz w:val="15"/>
                  <w:szCs w:val="15"/>
                  <w:color w:val="0000EE"/>
                </w:rPr>
                <w:t>Chief Executive Officer Compensation</w:t>
              </w:r>
            </w:hyperlink>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50</w:t>
            </w:r>
          </w:p>
        </w:tc>
        <w:tc>
          <w:tcPr>
            <w:tcW w:w="0" w:type="dxa"/>
            <w:vAlign w:val="bottom"/>
          </w:tcPr>
          <w:p>
            <w:pPr>
              <w:spacing w:after="0" w:line="20" w:lineRule="exact"/>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tcBorders>
              <w:bottom w:val="single" w:sz="8" w:color="0000EE"/>
            </w:tcBorders>
            <w:gridSpan w:val="18"/>
          </w:tcPr>
          <w:p>
            <w:pPr>
              <w:spacing w:after="0" w:line="141" w:lineRule="exact"/>
              <w:rPr>
                <w:rFonts w:ascii="Arial" w:cs="Arial" w:eastAsia="Arial" w:hAnsi="Arial"/>
                <w:sz w:val="15"/>
                <w:szCs w:val="15"/>
                <w:color w:val="0000EE"/>
              </w:rPr>
            </w:pPr>
            <w:hyperlink w:anchor="page55">
              <w:r>
                <w:rPr>
                  <w:rFonts w:ascii="Arial" w:cs="Arial" w:eastAsia="Arial" w:hAnsi="Arial"/>
                  <w:sz w:val="15"/>
                  <w:szCs w:val="15"/>
                  <w:color w:val="0000EE"/>
                </w:rPr>
                <w:t>Compensation for Other Named Executive Officers</w:t>
              </w:r>
            </w:hyperlink>
          </w:p>
        </w:tc>
        <w:tc>
          <w:tcPr>
            <w:tcW w:w="1040" w:type="dxa"/>
            <w:vAlign w:val="bottom"/>
            <w:gridSpan w:val="9"/>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7"/>
          </w:tcPr>
          <w:p>
            <w:pPr>
              <w:spacing w:after="0" w:line="141" w:lineRule="exact"/>
              <w:rPr>
                <w:rFonts w:ascii="Arial" w:cs="Arial" w:eastAsia="Arial" w:hAnsi="Arial"/>
                <w:sz w:val="15"/>
                <w:szCs w:val="15"/>
                <w:color w:val="0000EE"/>
              </w:rPr>
            </w:pPr>
            <w:hyperlink w:anchor="page57">
              <w:r>
                <w:rPr>
                  <w:rFonts w:ascii="Arial" w:cs="Arial" w:eastAsia="Arial" w:hAnsi="Arial"/>
                  <w:sz w:val="15"/>
                  <w:szCs w:val="15"/>
                  <w:color w:val="0000EE"/>
                </w:rPr>
                <w:t>Severance, Retention and Change in Control Benefits</w:t>
              </w:r>
            </w:hyperlink>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11"/>
          </w:tcPr>
          <w:p>
            <w:pPr>
              <w:spacing w:after="0" w:line="141" w:lineRule="exact"/>
              <w:rPr>
                <w:rFonts w:ascii="Arial" w:cs="Arial" w:eastAsia="Arial" w:hAnsi="Arial"/>
                <w:sz w:val="15"/>
                <w:szCs w:val="15"/>
                <w:color w:val="0000EE"/>
                <w:w w:val="99"/>
              </w:rPr>
            </w:pPr>
            <w:hyperlink w:anchor="page58">
              <w:r>
                <w:rPr>
                  <w:rFonts w:ascii="Arial" w:cs="Arial" w:eastAsia="Arial" w:hAnsi="Arial"/>
                  <w:sz w:val="15"/>
                  <w:szCs w:val="15"/>
                  <w:color w:val="0000EE"/>
                  <w:w w:val="99"/>
                </w:rPr>
                <w:t>Equity Award Grant Date Policy</w:t>
              </w:r>
            </w:hyperlink>
          </w:p>
        </w:tc>
        <w:tc>
          <w:tcPr>
            <w:tcW w:w="1480" w:type="dxa"/>
            <w:vAlign w:val="bottom"/>
            <w:tcBorders>
              <w:top w:val="single" w:sz="8" w:color="0000EE"/>
            </w:tcBorders>
            <w:gridSpan w:val="10"/>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7"/>
          </w:tcPr>
          <w:p>
            <w:pPr>
              <w:spacing w:after="0" w:line="141" w:lineRule="exact"/>
              <w:rPr>
                <w:rFonts w:ascii="Arial" w:cs="Arial" w:eastAsia="Arial" w:hAnsi="Arial"/>
                <w:sz w:val="15"/>
                <w:szCs w:val="15"/>
                <w:color w:val="0000EE"/>
              </w:rPr>
            </w:pPr>
            <w:hyperlink w:anchor="page58">
              <w:r>
                <w:rPr>
                  <w:rFonts w:ascii="Arial" w:cs="Arial" w:eastAsia="Arial" w:hAnsi="Arial"/>
                  <w:sz w:val="15"/>
                  <w:szCs w:val="15"/>
                  <w:color w:val="0000EE"/>
                </w:rPr>
                <w:t>Tax and Accounting Considerations</w:t>
              </w:r>
            </w:hyperlink>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54</w:t>
            </w:r>
          </w:p>
        </w:tc>
        <w:tc>
          <w:tcPr>
            <w:tcW w:w="0" w:type="dxa"/>
            <w:vAlign w:val="bottom"/>
          </w:tcPr>
          <w:p>
            <w:pPr>
              <w:spacing w:after="0" w:line="20" w:lineRule="exact"/>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Borders>
              <w:bottom w:val="single" w:sz="8" w:color="0000EE"/>
            </w:tcBorders>
            <w:gridSpan w:val="19"/>
          </w:tcPr>
          <w:p>
            <w:pPr>
              <w:spacing w:after="0" w:line="141" w:lineRule="exact"/>
              <w:rPr>
                <w:rFonts w:ascii="Arial" w:cs="Arial" w:eastAsia="Arial" w:hAnsi="Arial"/>
                <w:sz w:val="15"/>
                <w:szCs w:val="15"/>
                <w:color w:val="0000EE"/>
              </w:rPr>
            </w:pPr>
            <w:hyperlink w:anchor="page59">
              <w:r>
                <w:rPr>
                  <w:rFonts w:ascii="Arial" w:cs="Arial" w:eastAsia="Arial" w:hAnsi="Arial"/>
                  <w:sz w:val="15"/>
                  <w:szCs w:val="15"/>
                  <w:color w:val="0000EE"/>
                </w:rPr>
                <w:t>Risk Considerations in Our Compensation Program</w:t>
              </w:r>
            </w:hyperlink>
          </w:p>
        </w:tc>
        <w:tc>
          <w:tcPr>
            <w:tcW w:w="1000" w:type="dxa"/>
            <w:vAlign w:val="bottom"/>
            <w:gridSpan w:val="8"/>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3660" w:type="dxa"/>
            <w:vAlign w:val="bottom"/>
            <w:gridSpan w:val="20"/>
          </w:tcPr>
          <w:p>
            <w:pPr>
              <w:spacing w:after="0" w:line="141" w:lineRule="exact"/>
              <w:rPr>
                <w:rFonts w:ascii="Arial" w:cs="Arial" w:eastAsia="Arial" w:hAnsi="Arial"/>
                <w:sz w:val="15"/>
                <w:szCs w:val="15"/>
                <w:color w:val="0000EE"/>
              </w:rPr>
            </w:pPr>
            <w:hyperlink w:anchor="page60">
              <w:r>
                <w:rPr>
                  <w:rFonts w:ascii="Arial" w:cs="Arial" w:eastAsia="Arial" w:hAnsi="Arial"/>
                  <w:sz w:val="15"/>
                  <w:szCs w:val="15"/>
                  <w:color w:val="0000EE"/>
                </w:rPr>
                <w:t>Summary Compensation Table</w:t>
              </w:r>
            </w:hyperlink>
          </w:p>
        </w:tc>
        <w:tc>
          <w:tcPr>
            <w:tcW w:w="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58</w:t>
            </w:r>
          </w:p>
        </w:tc>
        <w:tc>
          <w:tcPr>
            <w:tcW w:w="0" w:type="dxa"/>
            <w:vAlign w:val="bottom"/>
          </w:tcPr>
          <w:p>
            <w:pPr>
              <w:spacing w:after="0" w:line="20" w:lineRule="exact"/>
              <w:rPr>
                <w:sz w:val="1"/>
                <w:szCs w:val="1"/>
                <w:color w:val="auto"/>
              </w:rPr>
            </w:pPr>
          </w:p>
        </w:tc>
      </w:tr>
      <w:tr>
        <w:trPr>
          <w:trHeight w:val="140"/>
        </w:trPr>
        <w:tc>
          <w:tcPr>
            <w:tcW w:w="220" w:type="dxa"/>
            <w:vAlign w:val="bottom"/>
          </w:tcPr>
          <w:p>
            <w:pPr>
              <w:spacing w:after="0"/>
              <w:rPr>
                <w:sz w:val="12"/>
                <w:szCs w:val="12"/>
                <w:color w:val="auto"/>
              </w:rPr>
            </w:pPr>
          </w:p>
        </w:tc>
        <w:tc>
          <w:tcPr>
            <w:tcW w:w="2980" w:type="dxa"/>
            <w:vAlign w:val="bottom"/>
            <w:tcBorders>
              <w:bottom w:val="single" w:sz="8" w:color="0000EE"/>
            </w:tcBorders>
            <w:gridSpan w:val="17"/>
          </w:tcPr>
          <w:p>
            <w:pPr>
              <w:spacing w:after="0" w:line="141" w:lineRule="exact"/>
              <w:rPr>
                <w:rFonts w:ascii="Arial" w:cs="Arial" w:eastAsia="Arial" w:hAnsi="Arial"/>
                <w:sz w:val="15"/>
                <w:szCs w:val="15"/>
                <w:color w:val="0000EE"/>
              </w:rPr>
            </w:pPr>
            <w:hyperlink w:anchor="page63">
              <w:r>
                <w:rPr>
                  <w:rFonts w:ascii="Arial" w:cs="Arial" w:eastAsia="Arial" w:hAnsi="Arial"/>
                  <w:sz w:val="15"/>
                  <w:szCs w:val="15"/>
                  <w:color w:val="0000EE"/>
                </w:rPr>
                <w:t>Grants of Plan-Based Awards in Fiscal 2018</w:t>
              </w:r>
            </w:hyperlink>
          </w:p>
        </w:tc>
        <w:tc>
          <w:tcPr>
            <w:tcW w:w="1680" w:type="dxa"/>
            <w:vAlign w:val="bottom"/>
            <w:gridSpan w:val="11"/>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3480" w:type="dxa"/>
            <w:vAlign w:val="bottom"/>
            <w:tcBorders>
              <w:bottom w:val="single" w:sz="8" w:color="0000EE"/>
            </w:tcBorders>
            <w:gridSpan w:val="18"/>
          </w:tcPr>
          <w:p>
            <w:pPr>
              <w:spacing w:after="0" w:line="141" w:lineRule="exact"/>
              <w:rPr>
                <w:rFonts w:ascii="Arial" w:cs="Arial" w:eastAsia="Arial" w:hAnsi="Arial"/>
                <w:sz w:val="15"/>
                <w:szCs w:val="15"/>
                <w:color w:val="0000EE"/>
                <w:w w:val="99"/>
              </w:rPr>
            </w:pPr>
            <w:hyperlink w:anchor="page65">
              <w:r>
                <w:rPr>
                  <w:rFonts w:ascii="Arial" w:cs="Arial" w:eastAsia="Arial" w:hAnsi="Arial"/>
                  <w:sz w:val="15"/>
                  <w:szCs w:val="15"/>
                  <w:color w:val="0000EE"/>
                  <w:w w:val="99"/>
                </w:rPr>
                <w:t>Outstanding Equity Awards at Fiscal Year-End 2018</w:t>
              </w:r>
            </w:hyperlink>
          </w:p>
        </w:tc>
        <w:tc>
          <w:tcPr>
            <w:tcW w:w="1180" w:type="dxa"/>
            <w:vAlign w:val="bottom"/>
            <w:gridSpan w:val="10"/>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4660" w:type="dxa"/>
            <w:vAlign w:val="bottom"/>
            <w:gridSpan w:val="28"/>
          </w:tcPr>
          <w:p>
            <w:pPr>
              <w:spacing w:after="0" w:line="141" w:lineRule="exact"/>
              <w:rPr>
                <w:rFonts w:ascii="Arial" w:cs="Arial" w:eastAsia="Arial" w:hAnsi="Arial"/>
                <w:sz w:val="15"/>
                <w:szCs w:val="15"/>
                <w:color w:val="0000EE"/>
              </w:rPr>
            </w:pPr>
            <w:hyperlink w:anchor="page67">
              <w:r>
                <w:rPr>
                  <w:rFonts w:ascii="Arial" w:cs="Arial" w:eastAsia="Arial" w:hAnsi="Arial"/>
                  <w:sz w:val="15"/>
                  <w:szCs w:val="15"/>
                  <w:color w:val="0000EE"/>
                </w:rPr>
                <w:t>Option Exercises and Stock Vested During Fiscal 2018</w:t>
              </w:r>
            </w:hyperlink>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3680" w:type="dxa"/>
            <w:vAlign w:val="bottom"/>
            <w:tcBorders>
              <w:top w:val="single" w:sz="8" w:color="0000EE"/>
            </w:tcBorders>
            <w:gridSpan w:val="21"/>
          </w:tcPr>
          <w:p>
            <w:pPr>
              <w:spacing w:after="0" w:line="141" w:lineRule="exact"/>
              <w:rPr>
                <w:rFonts w:ascii="Arial" w:cs="Arial" w:eastAsia="Arial" w:hAnsi="Arial"/>
                <w:sz w:val="15"/>
                <w:szCs w:val="15"/>
                <w:color w:val="0000EE"/>
              </w:rPr>
            </w:pPr>
            <w:hyperlink w:anchor="page67">
              <w:r>
                <w:rPr>
                  <w:rFonts w:ascii="Arial" w:cs="Arial" w:eastAsia="Arial" w:hAnsi="Arial"/>
                  <w:sz w:val="15"/>
                  <w:szCs w:val="15"/>
                  <w:color w:val="0000EE"/>
                </w:rPr>
                <w:t>Non-Qualified Deferred Compensation Plan</w:t>
              </w:r>
            </w:hyperlink>
          </w:p>
        </w:tc>
        <w:tc>
          <w:tcPr>
            <w:tcW w:w="4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920" w:type="dxa"/>
            <w:vAlign w:val="bottom"/>
            <w:tcBorders>
              <w:top w:val="single" w:sz="8" w:color="0000EE"/>
            </w:tcBorders>
            <w:gridSpan w:val="15"/>
          </w:tcPr>
          <w:p>
            <w:pPr>
              <w:spacing w:after="0" w:line="141" w:lineRule="exact"/>
              <w:rPr>
                <w:rFonts w:ascii="Arial" w:cs="Arial" w:eastAsia="Arial" w:hAnsi="Arial"/>
                <w:sz w:val="15"/>
                <w:szCs w:val="15"/>
                <w:color w:val="0000EE"/>
              </w:rPr>
            </w:pPr>
            <w:hyperlink w:anchor="page68">
              <w:r>
                <w:rPr>
                  <w:rFonts w:ascii="Arial" w:cs="Arial" w:eastAsia="Arial" w:hAnsi="Arial"/>
                  <w:sz w:val="15"/>
                  <w:szCs w:val="15"/>
                  <w:color w:val="0000EE"/>
                </w:rPr>
                <w:t>Change in Control Benefits</w:t>
              </w:r>
            </w:hyperlink>
          </w:p>
        </w:tc>
        <w:tc>
          <w:tcPr>
            <w:tcW w:w="700" w:type="dxa"/>
            <w:vAlign w:val="bottom"/>
            <w:gridSpan w:val="4"/>
          </w:tcPr>
          <w:p>
            <w:pPr>
              <w:spacing w:after="0"/>
              <w:rPr>
                <w:sz w:val="12"/>
                <w:szCs w:val="12"/>
                <w:color w:val="auto"/>
              </w:rPr>
            </w:pPr>
          </w:p>
        </w:tc>
        <w:tc>
          <w:tcPr>
            <w:tcW w:w="48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65</w:t>
            </w:r>
          </w:p>
        </w:tc>
        <w:tc>
          <w:tcPr>
            <w:tcW w:w="0" w:type="dxa"/>
            <w:vAlign w:val="bottom"/>
          </w:tcPr>
          <w:p>
            <w:pPr>
              <w:spacing w:after="0" w:line="20" w:lineRule="exact"/>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7"/>
          </w:tcPr>
          <w:p>
            <w:pPr>
              <w:spacing w:after="0" w:line="141" w:lineRule="exact"/>
              <w:rPr>
                <w:rFonts w:ascii="Arial" w:cs="Arial" w:eastAsia="Arial" w:hAnsi="Arial"/>
                <w:sz w:val="15"/>
                <w:szCs w:val="15"/>
                <w:color w:val="0000EE"/>
              </w:rPr>
            </w:pPr>
            <w:hyperlink w:anchor="page70">
              <w:r>
                <w:rPr>
                  <w:rFonts w:ascii="Arial" w:cs="Arial" w:eastAsia="Arial" w:hAnsi="Arial"/>
                  <w:sz w:val="15"/>
                  <w:szCs w:val="15"/>
                  <w:color w:val="0000EE"/>
                </w:rPr>
                <w:t>Potential Payments Upon Termination or Change in Control</w:t>
              </w:r>
            </w:hyperlink>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vMerge w:val="restart"/>
          </w:tcPr>
          <w:p>
            <w:pPr>
              <w:jc w:val="right"/>
              <w:spacing w:after="0" w:line="160" w:lineRule="exact"/>
              <w:rPr>
                <w:sz w:val="20"/>
                <w:szCs w:val="20"/>
                <w:color w:val="auto"/>
              </w:rPr>
            </w:pPr>
            <w:r>
              <w:rPr>
                <w:rFonts w:ascii="Arial" w:cs="Arial" w:eastAsia="Arial" w:hAnsi="Arial"/>
                <w:sz w:val="15"/>
                <w:szCs w:val="15"/>
                <w:color w:val="auto"/>
              </w:rPr>
              <w:t>67</w:t>
            </w:r>
          </w:p>
        </w:tc>
        <w:tc>
          <w:tcPr>
            <w:tcW w:w="0" w:type="dxa"/>
            <w:vAlign w:val="bottom"/>
          </w:tcPr>
          <w:p>
            <w:pPr>
              <w:spacing w:after="0" w:line="20" w:lineRule="exact"/>
              <w:rPr>
                <w:sz w:val="1"/>
                <w:szCs w:val="1"/>
                <w:color w:val="auto"/>
              </w:rPr>
            </w:pPr>
          </w:p>
        </w:tc>
      </w:tr>
      <w:tr>
        <w:trPr>
          <w:trHeight w:val="140"/>
        </w:trPr>
        <w:tc>
          <w:tcPr>
            <w:tcW w:w="220" w:type="dxa"/>
            <w:vAlign w:val="bottom"/>
          </w:tcPr>
          <w:p>
            <w:pPr>
              <w:spacing w:after="0"/>
              <w:rPr>
                <w:sz w:val="12"/>
                <w:szCs w:val="12"/>
                <w:color w:val="auto"/>
              </w:rPr>
            </w:pPr>
          </w:p>
        </w:tc>
        <w:tc>
          <w:tcPr>
            <w:tcW w:w="4180" w:type="dxa"/>
            <w:vAlign w:val="bottom"/>
            <w:gridSpan w:val="24"/>
          </w:tcPr>
          <w:p>
            <w:pPr>
              <w:spacing w:after="0" w:line="141" w:lineRule="exact"/>
              <w:rPr>
                <w:rFonts w:ascii="Arial" w:cs="Arial" w:eastAsia="Arial" w:hAnsi="Arial"/>
                <w:sz w:val="15"/>
                <w:szCs w:val="15"/>
                <w:color w:val="0000EE"/>
              </w:rPr>
            </w:pPr>
            <w:hyperlink w:anchor="page72">
              <w:r>
                <w:rPr>
                  <w:rFonts w:ascii="Arial" w:cs="Arial" w:eastAsia="Arial" w:hAnsi="Arial"/>
                  <w:sz w:val="15"/>
                  <w:szCs w:val="15"/>
                  <w:color w:val="0000EE"/>
                </w:rPr>
                <w:t>CEO Pay Ratio</w:t>
              </w:r>
            </w:hyperlink>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1020" w:type="dxa"/>
            <w:vAlign w:val="bottom"/>
            <w:tcBorders>
              <w:top w:val="single" w:sz="8" w:color="0000EE"/>
            </w:tcBorders>
            <w:gridSpan w:val="4"/>
          </w:tcPr>
          <w:p>
            <w:pPr>
              <w:spacing w:after="0" w:line="141" w:lineRule="exact"/>
              <w:rPr>
                <w:rFonts w:ascii="Arial" w:cs="Arial" w:eastAsia="Arial" w:hAnsi="Arial"/>
                <w:sz w:val="15"/>
                <w:szCs w:val="15"/>
                <w:color w:val="0000EE"/>
              </w:rPr>
            </w:pPr>
            <w:hyperlink w:anchor="page73">
              <w:r>
                <w:rPr>
                  <w:rFonts w:ascii="Arial" w:cs="Arial" w:eastAsia="Arial" w:hAnsi="Arial"/>
                  <w:sz w:val="15"/>
                  <w:szCs w:val="15"/>
                  <w:color w:val="0000EE"/>
                </w:rPr>
                <w:t>Equity Award</w:t>
              </w:r>
            </w:hyperlink>
          </w:p>
        </w:tc>
        <w:tc>
          <w:tcPr>
            <w:tcW w:w="3640" w:type="dxa"/>
            <w:vAlign w:val="bottom"/>
            <w:gridSpan w:val="24"/>
          </w:tcPr>
          <w:p>
            <w:pPr>
              <w:spacing w:after="0" w:line="141" w:lineRule="exact"/>
              <w:rPr>
                <w:rFonts w:ascii="Arial" w:cs="Arial" w:eastAsia="Arial" w:hAnsi="Arial"/>
                <w:sz w:val="15"/>
                <w:szCs w:val="15"/>
                <w:color w:val="0000EE"/>
              </w:rPr>
            </w:pPr>
            <w:hyperlink w:anchor="page73">
              <w:r>
                <w:rPr>
                  <w:rFonts w:ascii="Arial" w:cs="Arial" w:eastAsia="Arial" w:hAnsi="Arial"/>
                  <w:sz w:val="15"/>
                  <w:szCs w:val="15"/>
                  <w:color w:val="0000EE"/>
                </w:rPr>
                <w:t>Program Description</w:t>
              </w:r>
            </w:hyperlink>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320" w:type="dxa"/>
            <w:vAlign w:val="bottom"/>
            <w:tcBorders>
              <w:top w:val="single" w:sz="8" w:color="0000EE"/>
            </w:tcBorders>
            <w:gridSpan w:val="11"/>
          </w:tcPr>
          <w:p>
            <w:pPr>
              <w:spacing w:after="0" w:line="141" w:lineRule="exact"/>
              <w:rPr>
                <w:rFonts w:ascii="Arial" w:cs="Arial" w:eastAsia="Arial" w:hAnsi="Arial"/>
                <w:sz w:val="15"/>
                <w:szCs w:val="15"/>
                <w:color w:val="0000EE"/>
              </w:rPr>
            </w:pPr>
            <w:hyperlink w:anchor="page74">
              <w:r>
                <w:rPr>
                  <w:rFonts w:ascii="Arial" w:cs="Arial" w:eastAsia="Arial" w:hAnsi="Arial"/>
                  <w:sz w:val="15"/>
                  <w:szCs w:val="15"/>
                  <w:color w:val="0000EE"/>
                </w:rPr>
                <w:t>Securities Authorized for Issuance</w:t>
              </w:r>
            </w:hyperlink>
          </w:p>
        </w:tc>
        <w:tc>
          <w:tcPr>
            <w:tcW w:w="2340" w:type="dxa"/>
            <w:vAlign w:val="bottom"/>
            <w:gridSpan w:val="17"/>
          </w:tcPr>
          <w:p>
            <w:pPr>
              <w:ind w:left="20"/>
              <w:spacing w:after="0" w:line="141" w:lineRule="exact"/>
              <w:rPr>
                <w:rFonts w:ascii="Arial" w:cs="Arial" w:eastAsia="Arial" w:hAnsi="Arial"/>
                <w:sz w:val="15"/>
                <w:szCs w:val="15"/>
                <w:color w:val="0000EE"/>
              </w:rPr>
            </w:pPr>
            <w:hyperlink w:anchor="page74">
              <w:r>
                <w:rPr>
                  <w:rFonts w:ascii="Arial" w:cs="Arial" w:eastAsia="Arial" w:hAnsi="Arial"/>
                  <w:sz w:val="15"/>
                  <w:szCs w:val="15"/>
                  <w:color w:val="0000EE"/>
                </w:rPr>
                <w:t>Under Equity Compensation</w:t>
              </w:r>
            </w:hyperlink>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380" w:type="dxa"/>
            <w:vAlign w:val="bottom"/>
            <w:tcBorders>
              <w:top w:val="single" w:sz="8" w:color="0000EE"/>
              <w:bottom w:val="single" w:sz="8" w:color="0000EE"/>
            </w:tcBorders>
          </w:tcPr>
          <w:p>
            <w:pPr>
              <w:spacing w:after="0" w:line="141" w:lineRule="exact"/>
              <w:rPr>
                <w:rFonts w:ascii="Arial" w:cs="Arial" w:eastAsia="Arial" w:hAnsi="Arial"/>
                <w:sz w:val="15"/>
                <w:szCs w:val="15"/>
                <w:color w:val="0000EE"/>
                <w:w w:val="95"/>
              </w:rPr>
            </w:pPr>
            <w:hyperlink w:anchor="page74">
              <w:r>
                <w:rPr>
                  <w:rFonts w:ascii="Arial" w:cs="Arial" w:eastAsia="Arial" w:hAnsi="Arial"/>
                  <w:sz w:val="15"/>
                  <w:szCs w:val="15"/>
                  <w:color w:val="0000EE"/>
                  <w:w w:val="95"/>
                </w:rPr>
                <w:t>Plans</w:t>
              </w:r>
            </w:hyperlink>
          </w:p>
        </w:tc>
        <w:tc>
          <w:tcPr>
            <w:tcW w:w="3620" w:type="dxa"/>
            <w:vAlign w:val="bottom"/>
            <w:tcBorders>
              <w:top w:val="single" w:sz="8" w:color="0000EE"/>
            </w:tcBorders>
            <w:gridSpan w:val="24"/>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40" w:type="dxa"/>
            <w:vAlign w:val="bottom"/>
            <w:gridSpan w:val="27"/>
          </w:tcPr>
          <w:p>
            <w:pPr>
              <w:spacing w:after="0" w:line="141" w:lineRule="exact"/>
              <w:rPr>
                <w:rFonts w:ascii="Arial" w:cs="Arial" w:eastAsia="Arial" w:hAnsi="Arial"/>
                <w:sz w:val="15"/>
                <w:szCs w:val="15"/>
                <w:color w:val="0000EE"/>
              </w:rPr>
            </w:pPr>
            <w:hyperlink w:anchor="page75">
              <w:r>
                <w:rPr>
                  <w:rFonts w:ascii="Arial" w:cs="Arial" w:eastAsia="Arial" w:hAnsi="Arial"/>
                  <w:sz w:val="15"/>
                  <w:szCs w:val="15"/>
                  <w:color w:val="0000EE"/>
                </w:rPr>
                <w:t>Compensation Committee Interlocks and Insider Participation</w:t>
              </w:r>
            </w:hyperlink>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4100" w:type="dxa"/>
            <w:vAlign w:val="bottom"/>
            <w:tcBorders>
              <w:top w:val="single" w:sz="8" w:color="0000EE"/>
            </w:tcBorders>
            <w:gridSpan w:val="23"/>
          </w:tcPr>
          <w:p>
            <w:pPr>
              <w:spacing w:after="0" w:line="141" w:lineRule="exact"/>
              <w:rPr>
                <w:rFonts w:ascii="Arial" w:cs="Arial" w:eastAsia="Arial" w:hAnsi="Arial"/>
                <w:sz w:val="15"/>
                <w:szCs w:val="15"/>
                <w:color w:val="0000EE"/>
              </w:rPr>
            </w:pPr>
            <w:hyperlink w:anchor="page75">
              <w:r>
                <w:rPr>
                  <w:rFonts w:ascii="Arial" w:cs="Arial" w:eastAsia="Arial" w:hAnsi="Arial"/>
                  <w:sz w:val="15"/>
                  <w:szCs w:val="15"/>
                  <w:color w:val="0000EE"/>
                </w:rPr>
                <w:t>Compensation Committee Report</w:t>
              </w:r>
            </w:hyperlink>
          </w:p>
        </w:tc>
        <w:tc>
          <w:tcPr>
            <w:tcW w:w="100" w:type="dxa"/>
            <w:vAlign w:val="bottom"/>
            <w:gridSpan w:val="2"/>
          </w:tcPr>
          <w:p>
            <w:pPr>
              <w:spacing w:after="0"/>
              <w:rPr>
                <w:sz w:val="12"/>
                <w:szCs w:val="12"/>
                <w:color w:val="auto"/>
              </w:rPr>
            </w:pPr>
          </w:p>
        </w:tc>
        <w:tc>
          <w:tcPr>
            <w:tcW w:w="2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880" w:type="dxa"/>
            <w:vAlign w:val="bottom"/>
            <w:gridSpan w:val="29"/>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PROPOSAL 3 — RATIFICATION OF SELECTION OF</w:t>
              </w:r>
            </w:hyperlink>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7"/>
        </w:trPr>
        <w:tc>
          <w:tcPr>
            <w:tcW w:w="3840" w:type="dxa"/>
            <w:vAlign w:val="bottom"/>
            <w:tcBorders>
              <w:top w:val="single" w:sz="8" w:color="0000EE"/>
            </w:tcBorders>
            <w:gridSpan w:val="20"/>
          </w:tcPr>
          <w:p>
            <w:pPr>
              <w:spacing w:after="0" w:line="167" w:lineRule="exact"/>
              <w:rPr>
                <w:rFonts w:ascii="Arial" w:cs="Arial" w:eastAsia="Arial" w:hAnsi="Arial"/>
                <w:sz w:val="16"/>
                <w:szCs w:val="16"/>
                <w:color w:val="0000EE"/>
                <w:w w:val="96"/>
              </w:rPr>
            </w:pPr>
            <w:hyperlink w:anchor="page76">
              <w:r>
                <w:rPr>
                  <w:rFonts w:ascii="Arial" w:cs="Arial" w:eastAsia="Arial" w:hAnsi="Arial"/>
                  <w:sz w:val="16"/>
                  <w:szCs w:val="16"/>
                  <w:color w:val="0000EE"/>
                  <w:w w:val="96"/>
                </w:rPr>
                <w:t>INDEPENDENT REGISTERED PUBLIC ACCOUNTING</w:t>
              </w:r>
            </w:hyperlink>
          </w:p>
        </w:tc>
        <w:tc>
          <w:tcPr>
            <w:tcW w:w="1040" w:type="dxa"/>
            <w:vAlign w:val="bottom"/>
            <w:gridSpan w:val="9"/>
          </w:tcPr>
          <w:p>
            <w:pPr>
              <w:ind w:left="200"/>
              <w:spacing w:after="0" w:line="167" w:lineRule="exact"/>
              <w:rPr>
                <w:rFonts w:ascii="Arial" w:cs="Arial" w:eastAsia="Arial" w:hAnsi="Arial"/>
                <w:sz w:val="16"/>
                <w:szCs w:val="16"/>
                <w:color w:val="0000EE"/>
              </w:rPr>
            </w:pPr>
            <w:hyperlink w:anchor="page76">
              <w:r>
                <w:rPr>
                  <w:rFonts w:ascii="Arial" w:cs="Arial" w:eastAsia="Arial" w:hAnsi="Arial"/>
                  <w:sz w:val="16"/>
                  <w:szCs w:val="16"/>
                  <w:color w:val="0000EE"/>
                </w:rPr>
                <w:t>FIRM</w:t>
              </w:r>
            </w:hyperlink>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top w:val="single" w:sz="8" w:color="0000EE"/>
              <w:bottom w:val="single" w:sz="8" w:color="8C8C8C"/>
            </w:tcBorders>
          </w:tcPr>
          <w:p>
            <w:pPr>
              <w:spacing w:after="0" w:line="20" w:lineRule="exact"/>
              <w:rPr>
                <w:sz w:val="1"/>
                <w:szCs w:val="1"/>
                <w:color w:val="auto"/>
              </w:rPr>
            </w:pPr>
          </w:p>
        </w:tc>
        <w:tc>
          <w:tcPr>
            <w:tcW w:w="26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40" w:type="dxa"/>
            <w:vAlign w:val="bottom"/>
            <w:tcBorders>
              <w:top w:val="single" w:sz="8" w:color="0000EE"/>
              <w:bottom w:val="single" w:sz="8" w:color="8C8C8C"/>
            </w:tcBorders>
          </w:tcPr>
          <w:p>
            <w:pPr>
              <w:spacing w:after="0" w:line="20" w:lineRule="exact"/>
              <w:rPr>
                <w:sz w:val="1"/>
                <w:szCs w:val="1"/>
                <w:color w:val="auto"/>
              </w:rPr>
            </w:pPr>
          </w:p>
        </w:tc>
        <w:tc>
          <w:tcPr>
            <w:tcW w:w="180" w:type="dxa"/>
            <w:vAlign w:val="bottom"/>
            <w:tcBorders>
              <w:top w:val="single" w:sz="8" w:color="0000EE"/>
              <w:bottom w:val="single" w:sz="8" w:color="8C8C8C"/>
            </w:tcBorders>
          </w:tcPr>
          <w:p>
            <w:pPr>
              <w:spacing w:after="0" w:line="20" w:lineRule="exact"/>
              <w:rPr>
                <w:sz w:val="1"/>
                <w:szCs w:val="1"/>
                <w:color w:val="auto"/>
              </w:rPr>
            </w:pPr>
          </w:p>
        </w:tc>
        <w:tc>
          <w:tcPr>
            <w:tcW w:w="16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5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4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top w:val="single" w:sz="8" w:color="0000EE"/>
              <w:bottom w:val="single" w:sz="8" w:color="8C8C8C"/>
            </w:tcBorders>
          </w:tcPr>
          <w:p>
            <w:pPr>
              <w:spacing w:after="0" w:line="20" w:lineRule="exact"/>
              <w:rPr>
                <w:sz w:val="1"/>
                <w:szCs w:val="1"/>
                <w:color w:val="auto"/>
              </w:rPr>
            </w:pPr>
          </w:p>
        </w:tc>
        <w:tc>
          <w:tcPr>
            <w:tcW w:w="8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top w:val="single" w:sz="8" w:color="0000EE"/>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80" w:type="dxa"/>
            <w:vAlign w:val="bottom"/>
            <w:gridSpan w:val="29"/>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PROPOSAL 4 — SHAREHOLDER PROPOSAL RELATING TO A</w:t>
              </w:r>
            </w:hyperlink>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7"/>
        </w:trPr>
        <w:tc>
          <w:tcPr>
            <w:tcW w:w="4660" w:type="dxa"/>
            <w:vAlign w:val="bottom"/>
            <w:tcBorders>
              <w:top w:val="single" w:sz="8" w:color="0000EE"/>
            </w:tcBorders>
            <w:gridSpan w:val="28"/>
          </w:tcPr>
          <w:p>
            <w:pPr>
              <w:spacing w:after="0" w:line="167" w:lineRule="exact"/>
              <w:rPr>
                <w:rFonts w:ascii="Arial" w:cs="Arial" w:eastAsia="Arial" w:hAnsi="Arial"/>
                <w:sz w:val="16"/>
                <w:szCs w:val="16"/>
                <w:color w:val="0000EE"/>
              </w:rPr>
            </w:pPr>
            <w:hyperlink w:anchor="page77">
              <w:r>
                <w:rPr>
                  <w:rFonts w:ascii="Arial" w:cs="Arial" w:eastAsia="Arial" w:hAnsi="Arial"/>
                  <w:sz w:val="16"/>
                  <w:szCs w:val="16"/>
                  <w:color w:val="0000EE"/>
                </w:rPr>
                <w:t>DIVERSITY REPORT</w:t>
              </w:r>
            </w:hyperlink>
          </w:p>
        </w:tc>
        <w:tc>
          <w:tcPr>
            <w:tcW w:w="2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80" w:type="dxa"/>
            <w:vAlign w:val="bottom"/>
            <w:gridSpan w:val="29"/>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OTHER MATTERS</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80" w:type="dxa"/>
            <w:vAlign w:val="bottom"/>
            <w:gridSpan w:val="29"/>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ELECTRONIC VOTING</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top w:val="single" w:sz="8" w:color="0000EE"/>
              <w:bottom w:val="single" w:sz="8" w:color="8C8C8C"/>
            </w:tcBorders>
          </w:tcPr>
          <w:p>
            <w:pPr>
              <w:spacing w:after="0" w:line="20" w:lineRule="exact"/>
              <w:rPr>
                <w:sz w:val="1"/>
                <w:szCs w:val="1"/>
                <w:color w:val="auto"/>
              </w:rPr>
            </w:pPr>
          </w:p>
        </w:tc>
        <w:tc>
          <w:tcPr>
            <w:tcW w:w="120" w:type="dxa"/>
            <w:vAlign w:val="bottom"/>
            <w:tcBorders>
              <w:top w:val="single" w:sz="8" w:color="0000EE"/>
              <w:bottom w:val="single" w:sz="8" w:color="8C8C8C"/>
            </w:tcBorders>
          </w:tcPr>
          <w:p>
            <w:pPr>
              <w:spacing w:after="0" w:line="20" w:lineRule="exact"/>
              <w:rPr>
                <w:sz w:val="1"/>
                <w:szCs w:val="1"/>
                <w:color w:val="auto"/>
              </w:rPr>
            </w:pPr>
          </w:p>
        </w:tc>
        <w:tc>
          <w:tcPr>
            <w:tcW w:w="20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80" w:type="dxa"/>
            <w:vAlign w:val="bottom"/>
            <w:gridSpan w:val="29"/>
          </w:tcPr>
          <w:p>
            <w:pPr>
              <w:spacing w:after="0"/>
              <w:rPr>
                <w:rFonts w:ascii="Arial" w:cs="Arial" w:eastAsia="Arial" w:hAnsi="Arial"/>
                <w:sz w:val="16"/>
                <w:szCs w:val="16"/>
                <w:color w:val="0000EE"/>
              </w:rPr>
            </w:pPr>
            <w:hyperlink w:anchor="page82">
              <w:r>
                <w:rPr>
                  <w:rFonts w:ascii="Arial" w:cs="Arial" w:eastAsia="Arial" w:hAnsi="Arial"/>
                  <w:sz w:val="16"/>
                  <w:szCs w:val="16"/>
                  <w:color w:val="0000EE"/>
                </w:rPr>
                <w:t>APPENDIX A</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
        </w:trPr>
        <w:tc>
          <w:tcPr>
            <w:tcW w:w="220" w:type="dxa"/>
            <w:vAlign w:val="bottom"/>
            <w:tcBorders>
              <w:top w:val="single" w:sz="8" w:color="0000EE"/>
              <w:bottom w:val="single" w:sz="8" w:color="8C8C8C"/>
            </w:tcBorders>
          </w:tcPr>
          <w:p>
            <w:pPr>
              <w:spacing w:after="0" w:line="20" w:lineRule="exact"/>
              <w:rPr>
                <w:sz w:val="1"/>
                <w:szCs w:val="1"/>
                <w:color w:val="auto"/>
              </w:rPr>
            </w:pPr>
          </w:p>
        </w:tc>
        <w:tc>
          <w:tcPr>
            <w:tcW w:w="220" w:type="dxa"/>
            <w:vAlign w:val="bottom"/>
            <w:tcBorders>
              <w:top w:val="single" w:sz="8" w:color="0000EE"/>
              <w:bottom w:val="single" w:sz="8" w:color="8C8C8C"/>
            </w:tcBorders>
          </w:tcPr>
          <w:p>
            <w:pPr>
              <w:spacing w:after="0" w:line="20" w:lineRule="exact"/>
              <w:rPr>
                <w:sz w:val="1"/>
                <w:szCs w:val="1"/>
                <w:color w:val="auto"/>
              </w:rPr>
            </w:pPr>
          </w:p>
        </w:tc>
        <w:tc>
          <w:tcPr>
            <w:tcW w:w="380" w:type="dxa"/>
            <w:vAlign w:val="bottom"/>
            <w:tcBorders>
              <w:top w:val="single" w:sz="8" w:color="0000EE"/>
              <w:bottom w:val="single" w:sz="8" w:color="8C8C8C"/>
            </w:tcBorders>
          </w:tcPr>
          <w:p>
            <w:pPr>
              <w:spacing w:after="0" w:line="20" w:lineRule="exact"/>
              <w:rPr>
                <w:sz w:val="1"/>
                <w:szCs w:val="1"/>
                <w:color w:val="auto"/>
              </w:rPr>
            </w:pPr>
          </w:p>
        </w:tc>
        <w:tc>
          <w:tcPr>
            <w:tcW w:w="140" w:type="dxa"/>
            <w:vAlign w:val="bottom"/>
            <w:tcBorders>
              <w:top w:val="single" w:sz="8" w:color="0000EE"/>
              <w:bottom w:val="single" w:sz="8" w:color="8C8C8C"/>
            </w:tcBorders>
          </w:tcPr>
          <w:p>
            <w:pPr>
              <w:spacing w:after="0" w:line="20" w:lineRule="exact"/>
              <w:rPr>
                <w:sz w:val="1"/>
                <w:szCs w:val="1"/>
                <w:color w:val="auto"/>
              </w:rPr>
            </w:pPr>
          </w:p>
        </w:tc>
        <w:tc>
          <w:tcPr>
            <w:tcW w:w="280" w:type="dxa"/>
            <w:vAlign w:val="bottom"/>
            <w:tcBorders>
              <w:bottom w:val="single" w:sz="8" w:color="8C8C8C"/>
            </w:tcBorders>
          </w:tcPr>
          <w:p>
            <w:pPr>
              <w:spacing w:after="0" w:line="20" w:lineRule="exact"/>
              <w:rPr>
                <w:sz w:val="1"/>
                <w:szCs w:val="1"/>
                <w:color w:val="auto"/>
              </w:rPr>
            </w:pPr>
          </w:p>
        </w:tc>
        <w:tc>
          <w:tcPr>
            <w:tcW w:w="120" w:type="dxa"/>
            <w:vAlign w:val="bottom"/>
            <w:tcBorders>
              <w:bottom w:val="single" w:sz="8" w:color="8C8C8C"/>
            </w:tcBorders>
          </w:tcPr>
          <w:p>
            <w:pPr>
              <w:spacing w:after="0" w:line="20" w:lineRule="exact"/>
              <w:rPr>
                <w:sz w:val="1"/>
                <w:szCs w:val="1"/>
                <w:color w:val="auto"/>
              </w:rPr>
            </w:pPr>
          </w:p>
        </w:tc>
        <w:tc>
          <w:tcPr>
            <w:tcW w:w="2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320" w:type="dxa"/>
            <w:vAlign w:val="bottom"/>
            <w:tcBorders>
              <w:bottom w:val="single" w:sz="8" w:color="8C8C8C"/>
            </w:tcBorders>
          </w:tcPr>
          <w:p>
            <w:pPr>
              <w:spacing w:after="0" w:line="20" w:lineRule="exact"/>
              <w:rPr>
                <w:sz w:val="1"/>
                <w:szCs w:val="1"/>
                <w:color w:val="auto"/>
              </w:rPr>
            </w:pPr>
          </w:p>
        </w:tc>
        <w:tc>
          <w:tcPr>
            <w:tcW w:w="26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40" w:type="dxa"/>
            <w:vAlign w:val="bottom"/>
            <w:tcBorders>
              <w:bottom w:val="single" w:sz="8" w:color="8C8C8C"/>
            </w:tcBorders>
          </w:tcPr>
          <w:p>
            <w:pPr>
              <w:spacing w:after="0" w:line="20" w:lineRule="exact"/>
              <w:rPr>
                <w:sz w:val="1"/>
                <w:szCs w:val="1"/>
                <w:color w:val="auto"/>
              </w:rPr>
            </w:pPr>
          </w:p>
        </w:tc>
        <w:tc>
          <w:tcPr>
            <w:tcW w:w="180" w:type="dxa"/>
            <w:vAlign w:val="bottom"/>
            <w:tcBorders>
              <w:bottom w:val="single" w:sz="8" w:color="8C8C8C"/>
            </w:tcBorders>
          </w:tcPr>
          <w:p>
            <w:pPr>
              <w:spacing w:after="0" w:line="20" w:lineRule="exact"/>
              <w:rPr>
                <w:sz w:val="1"/>
                <w:szCs w:val="1"/>
                <w:color w:val="auto"/>
              </w:rPr>
            </w:pPr>
          </w:p>
        </w:tc>
        <w:tc>
          <w:tcPr>
            <w:tcW w:w="16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50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4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140" w:type="dxa"/>
            <w:vAlign w:val="bottom"/>
            <w:tcBorders>
              <w:bottom w:val="single" w:sz="8" w:color="8C8C8C"/>
            </w:tcBorders>
          </w:tcPr>
          <w:p>
            <w:pPr>
              <w:spacing w:after="0" w:line="20" w:lineRule="exact"/>
              <w:rPr>
                <w:sz w:val="1"/>
                <w:szCs w:val="1"/>
                <w:color w:val="auto"/>
              </w:rPr>
            </w:pPr>
          </w:p>
        </w:tc>
        <w:tc>
          <w:tcPr>
            <w:tcW w:w="280" w:type="dxa"/>
            <w:vAlign w:val="bottom"/>
            <w:tcBorders>
              <w:bottom w:val="single" w:sz="8" w:color="8C8C8C"/>
            </w:tcBorders>
          </w:tcPr>
          <w:p>
            <w:pPr>
              <w:spacing w:after="0" w:line="20" w:lineRule="exact"/>
              <w:rPr>
                <w:sz w:val="1"/>
                <w:szCs w:val="1"/>
                <w:color w:val="auto"/>
              </w:rPr>
            </w:pPr>
          </w:p>
        </w:tc>
        <w:tc>
          <w:tcPr>
            <w:tcW w:w="8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220" w:type="dxa"/>
            <w:vAlign w:val="bottom"/>
            <w:tcBorders>
              <w:bottom w:val="single" w:sz="8" w:color="8C8C8C"/>
            </w:tcBorders>
          </w:tcPr>
          <w:p>
            <w:pPr>
              <w:spacing w:after="0" w:line="20" w:lineRule="exact"/>
              <w:rPr>
                <w:sz w:val="1"/>
                <w:szCs w:val="1"/>
                <w:color w:val="auto"/>
              </w:rPr>
            </w:pPr>
          </w:p>
        </w:tc>
        <w:tc>
          <w:tcPr>
            <w:tcW w:w="46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-4399280</wp:posOffset>
            </wp:positionV>
            <wp:extent cx="72904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-3865245</wp:posOffset>
            </wp:positionV>
            <wp:extent cx="2619375" cy="135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8"/>
          <w:szCs w:val="18"/>
          <w:color w:val="999999"/>
        </w:rPr>
        <w:t>i</w:t>
      </w:r>
    </w:p>
    <w:p>
      <w:pPr>
        <w:sectPr>
          <w:pgSz w:w="11900" w:h="16838" w:orient="portrait"/>
          <w:cols w:equalWidth="0" w:num="2">
            <w:col w:w="5500" w:space="320"/>
            <w:col w:w="5340"/>
          </w:cols>
          <w:pgMar w:left="240" w:top="453"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8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ANALOG DEVICES, INC.</w:t>
      </w:r>
    </w:p>
    <w:p>
      <w:pPr>
        <w:spacing w:after="0" w:line="3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ONE TECHNOLOGY WAY</w:t>
      </w:r>
    </w:p>
    <w:p>
      <w:pPr>
        <w:jc w:val="center"/>
        <w:ind w:right="-279"/>
        <w:spacing w:after="0"/>
        <w:rPr>
          <w:sz w:val="20"/>
          <w:szCs w:val="20"/>
          <w:color w:val="auto"/>
        </w:rPr>
      </w:pPr>
      <w:r>
        <w:rPr>
          <w:rFonts w:ascii="Arial" w:cs="Arial" w:eastAsia="Arial" w:hAnsi="Arial"/>
          <w:sz w:val="18"/>
          <w:szCs w:val="18"/>
          <w:b w:val="1"/>
          <w:bCs w:val="1"/>
          <w:color w:val="auto"/>
        </w:rPr>
        <w:t>NORWOOD, MASSACHUSETTS 02062-9106</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color w:val="auto"/>
        </w:rPr>
        <w:t>PROXY STATEMENT FOR ANNUAL MEETING OF SHAREHOLDERS</w:t>
      </w:r>
    </w:p>
    <w:p>
      <w:pPr>
        <w:spacing w:after="0" w:line="216"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i w:val="1"/>
          <w:iCs w:val="1"/>
          <w:color w:val="auto"/>
        </w:rPr>
        <w:t>March 13, 2019</w:t>
      </w:r>
    </w:p>
    <w:p>
      <w:pPr>
        <w:spacing w:after="0" w:line="222" w:lineRule="exact"/>
        <w:rPr>
          <w:sz w:val="20"/>
          <w:szCs w:val="20"/>
          <w:color w:val="auto"/>
        </w:rPr>
      </w:pPr>
    </w:p>
    <w:p>
      <w:pPr>
        <w:ind w:left="260" w:right="40" w:firstLine="435"/>
        <w:spacing w:after="0" w:line="241" w:lineRule="auto"/>
        <w:rPr>
          <w:sz w:val="20"/>
          <w:szCs w:val="20"/>
          <w:color w:val="auto"/>
        </w:rPr>
      </w:pPr>
      <w:r>
        <w:rPr>
          <w:rFonts w:ascii="Arial" w:cs="Arial" w:eastAsia="Arial" w:hAnsi="Arial"/>
          <w:sz w:val="18"/>
          <w:szCs w:val="18"/>
          <w:color w:val="auto"/>
        </w:rPr>
        <w:t>This proxy statement contains information about the 2019 Annual Meeting of Shareholders, or Annual Meeting, of Analog Devices, Inc. The Annual Meeting will be held on Wednesday, March 13, 2019, at 9:00 a.m. local time, at our offices at 125 Summer Street, Boston, Massachusetts 02110. You may obtain directions to the location of the Annual Meeting by visiting our website at www.analog.com or by contacting our Investor Relations Department at Analog Devices, Inc., One Technology Way, Norwood, Massachusetts 02062; telephone: 781-461-3282.</w:t>
      </w:r>
    </w:p>
    <w:p>
      <w:pPr>
        <w:spacing w:after="0" w:line="176" w:lineRule="exact"/>
        <w:rPr>
          <w:sz w:val="20"/>
          <w:szCs w:val="20"/>
          <w:color w:val="auto"/>
        </w:rPr>
      </w:pPr>
    </w:p>
    <w:p>
      <w:pPr>
        <w:ind w:left="260" w:firstLine="435"/>
        <w:spacing w:after="0" w:line="239" w:lineRule="auto"/>
        <w:rPr>
          <w:sz w:val="20"/>
          <w:szCs w:val="20"/>
          <w:color w:val="auto"/>
        </w:rPr>
      </w:pPr>
      <w:r>
        <w:rPr>
          <w:rFonts w:ascii="Arial" w:cs="Arial" w:eastAsia="Arial" w:hAnsi="Arial"/>
          <w:sz w:val="18"/>
          <w:szCs w:val="18"/>
          <w:color w:val="auto"/>
        </w:rPr>
        <w:t>We are furnishing this proxy statement to you in connection with the solicitation of proxies by the Board of Directors of Analog Devices, Inc. (which we also refer to as Analog Devices, ADI, or the Company) for use at the Annual Meeting and at any adjournment, postponement, continuation or rescheduling of the meeting. All proxies will be voted in accordance with the instructions they contain. If you do not specify your voting instructions on the proxy that you submit for the Annual Meeting, it will be voted in accordance with the recommendation of the Board of Directors. You may revoke your proxy at any time before it is exercised at the Annual Meeting by giving our Secretary written notice to that effect.</w:t>
      </w:r>
    </w:p>
    <w:p>
      <w:pPr>
        <w:spacing w:after="0" w:line="178" w:lineRule="exact"/>
        <w:rPr>
          <w:sz w:val="20"/>
          <w:szCs w:val="20"/>
          <w:color w:val="auto"/>
        </w:rPr>
      </w:pPr>
    </w:p>
    <w:p>
      <w:pPr>
        <w:ind w:left="260" w:right="80" w:firstLine="435"/>
        <w:spacing w:after="0" w:line="237" w:lineRule="auto"/>
        <w:rPr>
          <w:sz w:val="20"/>
          <w:szCs w:val="20"/>
          <w:color w:val="auto"/>
        </w:rPr>
      </w:pPr>
      <w:r>
        <w:rPr>
          <w:rFonts w:ascii="Arial" w:cs="Arial" w:eastAsia="Arial" w:hAnsi="Arial"/>
          <w:sz w:val="18"/>
          <w:szCs w:val="18"/>
          <w:color w:val="auto"/>
        </w:rPr>
        <w:t>We are providing access to our proxy materials over the Internet under the U.S. Securities and Exchange Commission’s “notice and access” rules. As a result, we are mailing to our shareholders a Notice of Internet Availability of Proxy Materials, or Notice, on or about January 25, 2019, and it contains instructions on how to access this proxy statement and our Annual Report for the fiscal year ended November 3, 2018, or our 2018 Annual Report, over the Internet. The Notice also contains instructions on how each of our shareholders can receive a paper copy of our proxy materials, including this proxy statement, our 2018 Annual Report, and a form of proxy card or voting instruction card.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1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52B82"/>
        </w:rPr>
        <w:t>Important Notice Regarding the Availability of Proxy Materials for the Annual</w:t>
      </w:r>
    </w:p>
    <w:p>
      <w:pPr>
        <w:spacing w:after="0" w:line="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052B82"/>
        </w:rPr>
        <w:t>Meeting of Shareholders to be Held on March 13, 2019:</w:t>
      </w:r>
    </w:p>
    <w:p>
      <w:pPr>
        <w:spacing w:after="0" w:line="183" w:lineRule="exact"/>
        <w:rPr>
          <w:sz w:val="20"/>
          <w:szCs w:val="20"/>
          <w:color w:val="auto"/>
        </w:rPr>
      </w:pPr>
    </w:p>
    <w:p>
      <w:pPr>
        <w:ind w:left="260" w:right="280" w:firstLine="435"/>
        <w:spacing w:after="0" w:line="283" w:lineRule="auto"/>
        <w:rPr>
          <w:sz w:val="20"/>
          <w:szCs w:val="20"/>
          <w:color w:val="auto"/>
        </w:rPr>
      </w:pPr>
      <w:r>
        <w:rPr>
          <w:rFonts w:ascii="Arial" w:cs="Arial" w:eastAsia="Arial" w:hAnsi="Arial"/>
          <w:sz w:val="18"/>
          <w:szCs w:val="18"/>
          <w:b w:val="1"/>
          <w:bCs w:val="1"/>
          <w:color w:val="052B82"/>
        </w:rPr>
        <w:t>This proxy statement and the 2018 Annual Report to Shareholders are available for viewing, printing and downloading at www.analog.com/AnnualMeeting.</w:t>
      </w:r>
    </w:p>
    <w:p>
      <w:pPr>
        <w:sectPr>
          <w:pgSz w:w="11900" w:h="16838" w:orient="portrait"/>
          <w:cols w:equalWidth="0" w:num="1">
            <w:col w:w="11160"/>
          </w:cols>
          <w:pgMar w:left="240" w:top="453" w:right="4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5970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1500" cy="597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Arial" w:cs="Arial" w:eastAsia="Arial" w:hAnsi="Arial"/>
          <w:sz w:val="32"/>
          <w:szCs w:val="32"/>
          <w:color w:val="052B82"/>
        </w:rPr>
        <w:t>PROXY STATEMENT HIGHLIGHTS</w:t>
      </w:r>
    </w:p>
    <w:p>
      <w:pPr>
        <w:spacing w:after="0" w:line="237" w:lineRule="exact"/>
        <w:rPr>
          <w:sz w:val="20"/>
          <w:szCs w:val="20"/>
          <w:color w:val="auto"/>
        </w:rPr>
      </w:pPr>
    </w:p>
    <w:p>
      <w:pPr>
        <w:ind w:left="440" w:right="20" w:firstLine="421"/>
        <w:spacing w:after="0" w:line="243"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the information that you should consider and you should read the entire proxy statement before voting. For more information on the 2018 financial and operating performance of the Company, please review the Company’s Annual Report on Form 10-K for the year ended November 3, 2018 that was filed with the U.S. Securities and Exchange Commission on November 27, 2018.</w:t>
      </w:r>
    </w:p>
    <w:p>
      <w:pPr>
        <w:spacing w:after="0" w:line="31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052B82"/>
        </w:rPr>
        <w:t>2019 ANNUAL MEETING OF SHAREHOLDERS</w:t>
      </w:r>
    </w:p>
    <w:p>
      <w:pPr>
        <w:spacing w:after="0" w:line="11" w:lineRule="exact"/>
        <w:rPr>
          <w:sz w:val="20"/>
          <w:szCs w:val="20"/>
          <w:color w:val="auto"/>
        </w:rPr>
      </w:pPr>
    </w:p>
    <w:p>
      <w:pPr>
        <w:ind w:left="4760"/>
        <w:spacing w:after="0"/>
        <w:tabs>
          <w:tab w:leader="none" w:pos="62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13, 2019</w:t>
      </w:r>
    </w:p>
    <w:p>
      <w:pPr>
        <w:ind w:left="4760"/>
        <w:spacing w:after="0" w:line="232" w:lineRule="auto"/>
        <w:tabs>
          <w:tab w:leader="none" w:pos="622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local time</w:t>
      </w:r>
    </w:p>
    <w:p>
      <w:pPr>
        <w:ind w:left="4760"/>
        <w:spacing w:after="0" w:line="232" w:lineRule="auto"/>
        <w:tabs>
          <w:tab w:leader="none" w:pos="622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Analog Devices’ Offices</w:t>
      </w:r>
    </w:p>
    <w:p>
      <w:pPr>
        <w:ind w:left="6240"/>
        <w:spacing w:after="0" w:line="232" w:lineRule="auto"/>
        <w:rPr>
          <w:sz w:val="20"/>
          <w:szCs w:val="20"/>
          <w:color w:val="auto"/>
        </w:rPr>
      </w:pPr>
      <w:r>
        <w:rPr>
          <w:rFonts w:ascii="Arial" w:cs="Arial" w:eastAsia="Arial" w:hAnsi="Arial"/>
          <w:sz w:val="18"/>
          <w:szCs w:val="18"/>
          <w:color w:val="auto"/>
        </w:rPr>
        <w:t>125 Summer Street</w:t>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Boston, Massachusetts 02110</w:t>
      </w:r>
    </w:p>
    <w:p>
      <w:pPr>
        <w:spacing w:after="0" w:line="7" w:lineRule="exact"/>
        <w:rPr>
          <w:sz w:val="20"/>
          <w:szCs w:val="20"/>
          <w:color w:val="auto"/>
        </w:rPr>
      </w:pPr>
    </w:p>
    <w:p>
      <w:pPr>
        <w:ind w:left="4760"/>
        <w:spacing w:after="0"/>
        <w:tabs>
          <w:tab w:leader="none" w:pos="622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7"/>
          <w:szCs w:val="17"/>
          <w:color w:val="auto"/>
        </w:rPr>
        <w:t>January 7, 2019</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052B82"/>
        </w:rPr>
        <w:t>VOTING MATTERS AND BOARD RECOMMENDATIONS</w:t>
      </w:r>
    </w:p>
    <w:p>
      <w:pPr>
        <w:sectPr>
          <w:pgSz w:w="11900" w:h="16838" w:orient="portrait"/>
          <w:cols w:equalWidth="0" w:num="1">
            <w:col w:w="10920"/>
          </w:cols>
          <w:pgMar w:left="240" w:top="453" w:right="739" w:bottom="1440" w:gutter="0" w:footer="0" w:header="0"/>
        </w:sectPr>
      </w:pPr>
    </w:p>
    <w:p>
      <w:pPr>
        <w:spacing w:after="0" w:line="39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FFFFFF"/>
        </w:rPr>
        <w:t>Proposals</w:t>
      </w:r>
    </w:p>
    <w:p>
      <w:pPr>
        <w:spacing w:after="0" w:line="14" w:lineRule="exact"/>
        <w:rPr>
          <w:sz w:val="20"/>
          <w:szCs w:val="20"/>
          <w:color w:val="auto"/>
        </w:rPr>
      </w:pPr>
    </w:p>
    <w:p>
      <w:pPr>
        <w:ind w:left="720" w:hanging="188"/>
        <w:spacing w:after="0"/>
        <w:tabs>
          <w:tab w:leader="none" w:pos="720" w:val="left"/>
        </w:tabs>
        <w:numPr>
          <w:ilvl w:val="0"/>
          <w:numId w:val="6"/>
        </w:numPr>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Election of Eleven Directors</w:t>
        </w:r>
      </w:hyperlink>
    </w:p>
    <w:p>
      <w:pPr>
        <w:spacing w:after="0" w:line="169" w:lineRule="exact"/>
        <w:rPr>
          <w:rFonts w:ascii="Arial" w:cs="Arial" w:eastAsia="Arial" w:hAnsi="Arial"/>
          <w:sz w:val="18"/>
          <w:szCs w:val="18"/>
          <w:b w:val="1"/>
          <w:bCs w:val="1"/>
          <w:color w:val="0000EE"/>
        </w:rPr>
      </w:pPr>
    </w:p>
    <w:p>
      <w:pPr>
        <w:ind w:left="720" w:right="640" w:hanging="139"/>
        <w:spacing w:after="0" w:line="246" w:lineRule="auto"/>
        <w:tabs>
          <w:tab w:leader="none" w:pos="758" w:val="left"/>
        </w:tabs>
        <w:numPr>
          <w:ilvl w:val="1"/>
          <w:numId w:val="6"/>
        </w:numPr>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Advisory Approval of the Compensation of the Company’s</w:t>
        </w:r>
      </w:hyperlink>
      <w:r>
        <w:rPr>
          <w:rFonts w:ascii="Arial" w:cs="Arial" w:eastAsia="Arial" w:hAnsi="Arial"/>
          <w:sz w:val="18"/>
          <w:szCs w:val="18"/>
          <w:b w:val="1"/>
          <w:bCs w:val="1"/>
          <w:u w:val="single" w:color="auto"/>
          <w:color w:val="0000EE"/>
        </w:rPr>
        <w:t xml:space="preserve"> </w:t>
      </w:r>
      <w:hyperlink w:anchor="page43">
        <w:r>
          <w:rPr>
            <w:rFonts w:ascii="Arial" w:cs="Arial" w:eastAsia="Arial" w:hAnsi="Arial"/>
            <w:sz w:val="18"/>
            <w:szCs w:val="18"/>
            <w:b w:val="1"/>
            <w:bCs w:val="1"/>
            <w:u w:val="single" w:color="auto"/>
            <w:color w:val="0000EE"/>
          </w:rPr>
          <w:t>Named Executive Officers</w:t>
        </w:r>
      </w:hyperlink>
    </w:p>
    <w:p>
      <w:pPr>
        <w:ind w:left="720" w:hanging="188"/>
        <w:spacing w:after="0" w:line="232" w:lineRule="auto"/>
        <w:tabs>
          <w:tab w:leader="none" w:pos="715" w:val="left"/>
        </w:tabs>
        <w:numPr>
          <w:ilvl w:val="1"/>
          <w:numId w:val="7"/>
        </w:numPr>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color w:val="0000EE"/>
          </w:rPr>
          <w:t>Ratification of the Selection of Ernst &amp; Young LLP as Independent</w:t>
        </w:r>
      </w:hyperlink>
      <w:r>
        <w:rPr>
          <w:rFonts w:ascii="Arial" w:cs="Arial" w:eastAsia="Arial" w:hAnsi="Arial"/>
          <w:sz w:val="18"/>
          <w:szCs w:val="18"/>
          <w:b w:val="1"/>
          <w:bCs w:val="1"/>
          <w:color w:val="0000EE"/>
        </w:rPr>
        <w:t xml:space="preserve"> </w:t>
      </w:r>
      <w:hyperlink w:anchor="page76">
        <w:r>
          <w:rPr>
            <w:rFonts w:ascii="Arial" w:cs="Arial" w:eastAsia="Arial" w:hAnsi="Arial"/>
            <w:sz w:val="18"/>
            <w:szCs w:val="18"/>
            <w:b w:val="1"/>
            <w:bCs w:val="1"/>
            <w:u w:val="single" w:color="auto"/>
            <w:color w:val="0000EE"/>
          </w:rPr>
          <w:t>Registered Public Accounting Firm for the Company’s Fiscal Year</w:t>
        </w:r>
      </w:hyperlink>
      <w:r>
        <w:rPr>
          <w:rFonts w:ascii="Arial" w:cs="Arial" w:eastAsia="Arial" w:hAnsi="Arial"/>
          <w:sz w:val="18"/>
          <w:szCs w:val="18"/>
          <w:b w:val="1"/>
          <w:bCs w:val="1"/>
          <w:u w:val="single" w:color="auto"/>
          <w:color w:val="0000EE"/>
        </w:rPr>
        <w:t xml:space="preserve"> </w:t>
      </w:r>
      <w:hyperlink w:anchor="page76">
        <w:r>
          <w:rPr>
            <w:rFonts w:ascii="Arial" w:cs="Arial" w:eastAsia="Arial" w:hAnsi="Arial"/>
            <w:sz w:val="18"/>
            <w:szCs w:val="18"/>
            <w:b w:val="1"/>
            <w:bCs w:val="1"/>
            <w:u w:val="single" w:color="auto"/>
            <w:color w:val="0000EE"/>
          </w:rPr>
          <w:t>Ending November 2, 2019</w:t>
        </w:r>
      </w:hyperlink>
    </w:p>
    <w:p>
      <w:pPr>
        <w:jc w:val="both"/>
        <w:ind w:left="720" w:right="200" w:hanging="238"/>
        <w:spacing w:after="0" w:line="243" w:lineRule="auto"/>
        <w:tabs>
          <w:tab w:leader="none" w:pos="701" w:val="left"/>
        </w:tabs>
        <w:numPr>
          <w:ilvl w:val="0"/>
          <w:numId w:val="8"/>
        </w:numPr>
        <w:rPr>
          <w:rFonts w:ascii="Arial" w:cs="Arial" w:eastAsia="Arial" w:hAnsi="Arial"/>
          <w:sz w:val="18"/>
          <w:szCs w:val="18"/>
          <w:b w:val="1"/>
          <w:bCs w:val="1"/>
          <w:u w:val="single" w:color="auto"/>
          <w:color w:val="0000EE"/>
        </w:rPr>
      </w:pPr>
      <w:hyperlink w:anchor="page77">
        <w:r>
          <w:rPr>
            <w:rFonts w:ascii="Arial" w:cs="Arial" w:eastAsia="Arial" w:hAnsi="Arial"/>
            <w:sz w:val="18"/>
            <w:szCs w:val="18"/>
            <w:b w:val="1"/>
            <w:bCs w:val="1"/>
            <w:u w:val="single" w:color="auto"/>
            <w:color w:val="0000EE"/>
          </w:rPr>
          <w:t>Consideration of the shareholder proposal relating to a diversity</w:t>
        </w:r>
      </w:hyperlink>
      <w:r>
        <w:rPr>
          <w:rFonts w:ascii="Arial" w:cs="Arial" w:eastAsia="Arial" w:hAnsi="Arial"/>
          <w:sz w:val="18"/>
          <w:szCs w:val="18"/>
          <w:b w:val="1"/>
          <w:bCs w:val="1"/>
          <w:u w:val="single" w:color="auto"/>
          <w:color w:val="0000EE"/>
        </w:rPr>
        <w:t xml:space="preserve"> </w:t>
      </w:r>
      <w:hyperlink w:anchor="page77">
        <w:r>
          <w:rPr>
            <w:rFonts w:ascii="Arial" w:cs="Arial" w:eastAsia="Arial" w:hAnsi="Arial"/>
            <w:sz w:val="18"/>
            <w:szCs w:val="18"/>
            <w:b w:val="1"/>
            <w:bCs w:val="1"/>
            <w:u w:val="single" w:color="auto"/>
            <w:color w:val="0000EE"/>
          </w:rPr>
          <w:t>report described in the proxy statement, if properly presented at</w:t>
        </w:r>
      </w:hyperlink>
      <w:r>
        <w:rPr>
          <w:rFonts w:ascii="Arial" w:cs="Arial" w:eastAsia="Arial" w:hAnsi="Arial"/>
          <w:sz w:val="18"/>
          <w:szCs w:val="18"/>
          <w:b w:val="1"/>
          <w:bCs w:val="1"/>
          <w:u w:val="single" w:color="auto"/>
          <w:color w:val="0000EE"/>
        </w:rPr>
        <w:t xml:space="preserve"> </w:t>
      </w:r>
      <w:hyperlink w:anchor="page77">
        <w:r>
          <w:rPr>
            <w:rFonts w:ascii="Arial" w:cs="Arial" w:eastAsia="Arial" w:hAnsi="Arial"/>
            <w:sz w:val="18"/>
            <w:szCs w:val="18"/>
            <w:b w:val="1"/>
            <w:bCs w:val="1"/>
            <w:u w:val="single" w:color="auto"/>
            <w:color w:val="0000EE"/>
          </w:rPr>
          <w:t>the Annual Meeting</w:t>
        </w:r>
      </w:hyperlink>
    </w:p>
    <w:p>
      <w:pPr>
        <w:spacing w:after="0" w:line="122" w:lineRule="exact"/>
        <w:rPr>
          <w:rFonts w:ascii="Arial" w:cs="Arial" w:eastAsia="Arial" w:hAnsi="Arial"/>
          <w:sz w:val="18"/>
          <w:szCs w:val="18"/>
          <w:b w:val="1"/>
          <w:bCs w:val="1"/>
          <w:u w:val="single" w:color="auto"/>
          <w:color w:val="0000EE"/>
        </w:rPr>
      </w:pPr>
    </w:p>
    <w:p>
      <w:pPr>
        <w:ind w:left="440"/>
        <w:spacing w:after="0"/>
        <w:rPr>
          <w:sz w:val="20"/>
          <w:szCs w:val="20"/>
          <w:color w:val="auto"/>
        </w:rPr>
      </w:pPr>
      <w:r>
        <w:rPr>
          <w:rFonts w:ascii="Arial" w:cs="Arial" w:eastAsia="Arial" w:hAnsi="Arial"/>
          <w:sz w:val="18"/>
          <w:szCs w:val="18"/>
          <w:b w:val="1"/>
          <w:bCs w:val="1"/>
          <w:color w:val="052B82"/>
        </w:rPr>
        <w:t>COMPANY STRATEGY AND FISCAL 2018 BUSINESS HIGHLIGHTS</w:t>
      </w:r>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br w:type="column"/>
      </w:r>
    </w:p>
    <w:p>
      <w:pPr>
        <w:spacing w:after="0" w:line="196" w:lineRule="exact"/>
        <w:rPr>
          <w:rFonts w:ascii="Arial" w:cs="Arial" w:eastAsia="Arial" w:hAnsi="Arial"/>
          <w:sz w:val="18"/>
          <w:szCs w:val="18"/>
          <w:b w:val="1"/>
          <w:bCs w:val="1"/>
          <w:u w:val="single" w:color="auto"/>
          <w:color w:val="0000EE"/>
        </w:rPr>
      </w:pPr>
    </w:p>
    <w:p>
      <w:pPr>
        <w:spacing w:after="0" w:line="1" w:lineRule="exact"/>
        <w:rPr>
          <w:rFonts w:ascii="Arial" w:cs="Arial" w:eastAsia="Arial" w:hAnsi="Arial"/>
          <w:sz w:val="1"/>
          <w:szCs w:val="1"/>
          <w:b w:val="1"/>
          <w:b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FFFFFF"/>
                <w:w w:val="98"/>
              </w:rPr>
              <w:t>Board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FFFFFF"/>
              </w:rPr>
              <w:t>Recommendation</w:t>
            </w:r>
          </w:p>
        </w:tc>
        <w:tc>
          <w:tcPr>
            <w:tcW w:w="1540" w:type="dxa"/>
            <w:vAlign w:val="bottom"/>
          </w:tcPr>
          <w:p>
            <w:pPr>
              <w:jc w:val="center"/>
              <w:ind w:left="295"/>
              <w:spacing w:after="0"/>
              <w:rPr>
                <w:sz w:val="20"/>
                <w:szCs w:val="20"/>
                <w:color w:val="auto"/>
              </w:rPr>
            </w:pPr>
            <w:r>
              <w:rPr>
                <w:rFonts w:ascii="Arial" w:cs="Arial" w:eastAsia="Arial" w:hAnsi="Arial"/>
                <w:sz w:val="14"/>
                <w:szCs w:val="14"/>
                <w:b w:val="1"/>
                <w:bCs w:val="1"/>
                <w:color w:val="FFFFFF"/>
              </w:rPr>
              <w:t>More Information</w:t>
            </w:r>
          </w:p>
        </w:tc>
        <w:tc>
          <w:tcPr>
            <w:tcW w:w="0" w:type="dxa"/>
            <w:vAlign w:val="bottom"/>
          </w:tcPr>
          <w:p>
            <w:pPr>
              <w:spacing w:after="0"/>
              <w:rPr>
                <w:sz w:val="1"/>
                <w:szCs w:val="1"/>
                <w:color w:val="auto"/>
              </w:rPr>
            </w:pPr>
          </w:p>
        </w:tc>
      </w:tr>
      <w:tr>
        <w:trPr>
          <w:trHeight w:val="200"/>
        </w:trPr>
        <w:tc>
          <w:tcPr>
            <w:tcW w:w="5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jc w:val="center"/>
              <w:spacing w:after="0" w:line="201" w:lineRule="exact"/>
              <w:rPr>
                <w:sz w:val="20"/>
                <w:szCs w:val="20"/>
                <w:color w:val="auto"/>
              </w:rPr>
            </w:pPr>
            <w:r>
              <w:rPr>
                <w:rFonts w:ascii="Arial" w:cs="Arial" w:eastAsia="Arial" w:hAnsi="Arial"/>
                <w:sz w:val="18"/>
                <w:szCs w:val="18"/>
                <w:color w:val="auto"/>
                <w:w w:val="97"/>
              </w:rPr>
              <w:t>FOR each director</w:t>
            </w:r>
          </w:p>
        </w:tc>
        <w:tc>
          <w:tcPr>
            <w:tcW w:w="1540" w:type="dxa"/>
            <w:vAlign w:val="bottom"/>
          </w:tcPr>
          <w:p>
            <w:pPr>
              <w:jc w:val="center"/>
              <w:ind w:left="295"/>
              <w:spacing w:after="0" w:line="201" w:lineRule="exact"/>
              <w:rPr>
                <w:sz w:val="20"/>
                <w:szCs w:val="20"/>
                <w:color w:val="auto"/>
              </w:rPr>
            </w:pPr>
            <w:r>
              <w:rPr>
                <w:rFonts w:ascii="Arial" w:cs="Arial" w:eastAsia="Arial" w:hAnsi="Arial"/>
                <w:sz w:val="18"/>
                <w:szCs w:val="18"/>
                <w:color w:val="auto"/>
              </w:rPr>
              <w:t>Page 18</w:t>
            </w:r>
          </w:p>
        </w:tc>
        <w:tc>
          <w:tcPr>
            <w:tcW w:w="0" w:type="dxa"/>
            <w:vAlign w:val="bottom"/>
          </w:tcPr>
          <w:p>
            <w:pPr>
              <w:spacing w:after="0"/>
              <w:rPr>
                <w:sz w:val="1"/>
                <w:szCs w:val="1"/>
                <w:color w:val="auto"/>
              </w:rPr>
            </w:pPr>
          </w:p>
        </w:tc>
      </w:tr>
      <w:tr>
        <w:trPr>
          <w:trHeight w:val="148"/>
        </w:trPr>
        <w:tc>
          <w:tcPr>
            <w:tcW w:w="500" w:type="dxa"/>
            <w:vAlign w:val="bottom"/>
            <w:vMerge w:val="continue"/>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8"/>
              </w:rPr>
              <w:t>nominee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50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1540" w:type="dxa"/>
            <w:vAlign w:val="bottom"/>
            <w:vMerge w:val="restart"/>
          </w:tcPr>
          <w:p>
            <w:pPr>
              <w:jc w:val="center"/>
              <w:ind w:left="295"/>
              <w:spacing w:after="0"/>
              <w:rPr>
                <w:sz w:val="20"/>
                <w:szCs w:val="20"/>
                <w:color w:val="auto"/>
              </w:rPr>
            </w:pPr>
            <w:r>
              <w:rPr>
                <w:rFonts w:ascii="Arial" w:cs="Arial" w:eastAsia="Arial" w:hAnsi="Arial"/>
                <w:sz w:val="18"/>
                <w:szCs w:val="18"/>
                <w:color w:val="auto"/>
              </w:rPr>
              <w:t>Page 38</w:t>
            </w:r>
          </w:p>
        </w:tc>
        <w:tc>
          <w:tcPr>
            <w:tcW w:w="0" w:type="dxa"/>
            <w:vAlign w:val="bottom"/>
          </w:tcPr>
          <w:p>
            <w:pPr>
              <w:spacing w:after="0"/>
              <w:rPr>
                <w:sz w:val="1"/>
                <w:szCs w:val="1"/>
                <w:color w:val="auto"/>
              </w:rPr>
            </w:pPr>
          </w:p>
        </w:tc>
      </w:tr>
      <w:tr>
        <w:trPr>
          <w:trHeight w:val="91"/>
        </w:trPr>
        <w:tc>
          <w:tcPr>
            <w:tcW w:w="50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9"/>
              </w:rPr>
              <w:t>FOR</w:t>
            </w:r>
          </w:p>
        </w:tc>
        <w:tc>
          <w:tcPr>
            <w:tcW w:w="1540" w:type="dxa"/>
            <w:vAlign w:val="bottom"/>
            <w:vMerge w:val="restart"/>
          </w:tcPr>
          <w:p>
            <w:pPr>
              <w:jc w:val="center"/>
              <w:ind w:left="295"/>
              <w:spacing w:after="0"/>
              <w:rPr>
                <w:sz w:val="20"/>
                <w:szCs w:val="20"/>
                <w:color w:val="auto"/>
              </w:rPr>
            </w:pPr>
            <w:r>
              <w:rPr>
                <w:rFonts w:ascii="Arial" w:cs="Arial" w:eastAsia="Arial" w:hAnsi="Arial"/>
                <w:sz w:val="18"/>
                <w:szCs w:val="18"/>
                <w:color w:val="auto"/>
              </w:rPr>
              <w:t>Page 71</w:t>
            </w: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2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191919"/>
              </w:rPr>
              <w:t>Ò</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8"/>
              </w:rPr>
              <w:t>AGAINST</w:t>
            </w:r>
          </w:p>
        </w:tc>
        <w:tc>
          <w:tcPr>
            <w:tcW w:w="1540" w:type="dxa"/>
            <w:vAlign w:val="bottom"/>
            <w:vMerge w:val="restart"/>
          </w:tcPr>
          <w:p>
            <w:pPr>
              <w:jc w:val="center"/>
              <w:ind w:left="295"/>
              <w:spacing w:after="0"/>
              <w:rPr>
                <w:sz w:val="20"/>
                <w:szCs w:val="20"/>
                <w:color w:val="auto"/>
              </w:rPr>
            </w:pPr>
            <w:r>
              <w:rPr>
                <w:rFonts w:ascii="Arial" w:cs="Arial" w:eastAsia="Arial" w:hAnsi="Arial"/>
                <w:sz w:val="18"/>
                <w:szCs w:val="18"/>
                <w:color w:val="auto"/>
              </w:rPr>
              <w:t>Page 72</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20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21" w:lineRule="exact"/>
        <w:rPr>
          <w:rFonts w:ascii="Arial" w:cs="Arial" w:eastAsia="Arial" w:hAnsi="Arial"/>
          <w:sz w:val="18"/>
          <w:szCs w:val="18"/>
          <w:b w:val="1"/>
          <w:bCs w:val="1"/>
          <w:u w:val="single" w:color="auto"/>
          <w:color w:val="0000EE"/>
        </w:rPr>
      </w:pPr>
    </w:p>
    <w:p>
      <w:pPr>
        <w:sectPr>
          <w:pgSz w:w="11900" w:h="16838" w:orient="portrait"/>
          <w:cols w:equalWidth="0" w:num="2">
            <w:col w:w="6340" w:space="320"/>
            <w:col w:w="4260"/>
          </w:cols>
          <w:pgMar w:left="240" w:top="453" w:right="739" w:bottom="1440" w:gutter="0" w:footer="0" w:header="0"/>
          <w:type w:val="continuous"/>
        </w:sectPr>
      </w:pPr>
    </w:p>
    <w:p>
      <w:pPr>
        <w:ind w:left="440" w:firstLine="421"/>
        <w:spacing w:after="0" w:line="237" w:lineRule="auto"/>
        <w:rPr>
          <w:sz w:val="20"/>
          <w:szCs w:val="20"/>
          <w:color w:val="auto"/>
        </w:rPr>
      </w:pPr>
      <w:r>
        <w:rPr>
          <w:rFonts w:ascii="Arial" w:cs="Arial" w:eastAsia="Arial" w:hAnsi="Arial"/>
          <w:sz w:val="18"/>
          <w:szCs w:val="18"/>
          <w:color w:val="auto"/>
        </w:rPr>
        <w:t>We are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Our strategy is to focus on challenges that our customers have in applications that matter the most, helping them to grow and adapt their offerings in complex and evolving markets. Our focus is largely on the business-to-business (B2B) markets of industrial, automotive and communications and their applications, as well as a few selected consumer applications, with the goal of driving sustainable and profitable growth for Analog Devices over the long-term. Our superior innovation and the 2017 acquisition of Linear Technology Corporation, which we refer to as Linear Technology, broadened our technology base, which will help us deliver more value to our customers and position us for long-term profitable growth.</w:t>
      </w:r>
    </w:p>
    <w:p>
      <w:pPr>
        <w:spacing w:after="0" w:line="200" w:lineRule="exact"/>
        <w:rPr>
          <w:rFonts w:ascii="Arial" w:cs="Arial" w:eastAsia="Arial" w:hAnsi="Arial"/>
          <w:sz w:val="18"/>
          <w:szCs w:val="18"/>
          <w:b w:val="1"/>
          <w:bCs w:val="1"/>
          <w:u w:val="single" w:color="auto"/>
          <w:color w:val="0000EE"/>
        </w:rPr>
      </w:pPr>
    </w:p>
    <w:p>
      <w:pPr>
        <w:spacing w:after="0" w:line="200" w:lineRule="exact"/>
        <w:rPr>
          <w:rFonts w:ascii="Arial" w:cs="Arial" w:eastAsia="Arial" w:hAnsi="Arial"/>
          <w:sz w:val="18"/>
          <w:szCs w:val="18"/>
          <w:b w:val="1"/>
          <w:bCs w:val="1"/>
          <w:u w:val="single" w:color="auto"/>
          <w:color w:val="0000EE"/>
        </w:rPr>
      </w:pPr>
    </w:p>
    <w:p>
      <w:pPr>
        <w:spacing w:after="0" w:line="232" w:lineRule="exact"/>
        <w:rPr>
          <w:rFonts w:ascii="Arial" w:cs="Arial" w:eastAsia="Arial" w:hAnsi="Arial"/>
          <w:sz w:val="18"/>
          <w:szCs w:val="18"/>
          <w:b w:val="1"/>
          <w:bCs w:val="1"/>
          <w:u w:val="single" w:color="auto"/>
          <w:color w:val="0000EE"/>
        </w:rPr>
      </w:pPr>
    </w:p>
    <w:p>
      <w:pPr>
        <w:ind w:left="560" w:hanging="293"/>
        <w:spacing w:after="0"/>
        <w:tabs>
          <w:tab w:leader="none" w:pos="560" w:val="left"/>
        </w:tabs>
        <w:numPr>
          <w:ilvl w:val="0"/>
          <w:numId w:val="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0920"/>
          </w:cols>
          <w:pgMar w:left="240" w:top="453" w:right="7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786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1500" cy="786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Fiscal 2018 Financial and Strategic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 for Performance</w:t>
      </w:r>
    </w:p>
    <w:p>
      <w:pPr>
        <w:spacing w:after="0" w:line="102" w:lineRule="exact"/>
        <w:rPr>
          <w:sz w:val="20"/>
          <w:szCs w:val="20"/>
          <w:color w:val="auto"/>
        </w:rPr>
      </w:pPr>
    </w:p>
    <w:p>
      <w:pPr>
        <w:ind w:left="440" w:right="280" w:firstLine="421"/>
        <w:spacing w:after="0" w:line="244" w:lineRule="auto"/>
        <w:rPr>
          <w:sz w:val="20"/>
          <w:szCs w:val="20"/>
          <w:color w:val="auto"/>
        </w:rPr>
      </w:pPr>
      <w:r>
        <w:rPr>
          <w:rFonts w:ascii="Arial" w:cs="Arial" w:eastAsia="Arial" w:hAnsi="Arial"/>
          <w:sz w:val="18"/>
          <w:szCs w:val="18"/>
          <w:color w:val="auto"/>
        </w:rPr>
        <w:t>A significant portion of the total target compensation for our named executive officers, or NEOs, is variable and directly linked to Company performance in the form of variable cash incentive bonus payments and equity awards. This approach provides our executives with an opportunity to earn above peer average compensation if ADI delivers strong results. Conversely, our NEOs’ total compensation is modulated if our business results are below target.</w:t>
      </w:r>
    </w:p>
    <w:p>
      <w:pPr>
        <w:spacing w:after="0" w:line="27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PERFORMANCE AND INCENTIVE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60" w:hanging="312"/>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Does not equal 100% due to rounding</w:t>
      </w:r>
    </w:p>
    <w:p>
      <w:pPr>
        <w:spacing w:after="0" w:line="173" w:lineRule="exact"/>
        <w:rPr>
          <w:sz w:val="20"/>
          <w:szCs w:val="20"/>
          <w:color w:val="auto"/>
        </w:rPr>
      </w:pPr>
    </w:p>
    <w:p>
      <w:pPr>
        <w:ind w:left="560" w:right="460" w:hanging="112"/>
        <w:spacing w:after="0" w:line="193" w:lineRule="auto"/>
        <w:tabs>
          <w:tab w:leader="none" w:pos="560" w:val="left"/>
        </w:tabs>
        <w:numPr>
          <w:ilvl w:val="0"/>
          <w:numId w:val="11"/>
        </w:numPr>
        <w:rPr>
          <w:rFonts w:ascii="Arial" w:cs="Arial" w:eastAsia="Arial" w:hAnsi="Arial"/>
          <w:sz w:val="24"/>
          <w:szCs w:val="24"/>
          <w:color w:val="auto"/>
          <w:vertAlign w:val="superscript"/>
        </w:rPr>
      </w:pPr>
      <w:r>
        <w:rPr>
          <w:rFonts w:ascii="Arial" w:cs="Arial" w:eastAsia="Arial" w:hAnsi="Arial"/>
          <w:sz w:val="14"/>
          <w:szCs w:val="14"/>
          <w:color w:val="auto"/>
        </w:rPr>
        <w:t>Total Shareholder Return calculation is share price appreciation plus cumulative cash dividend payments for the three- and five- year periods ended November 3, 2018, utilizing the 90 day average of the beginning and ending closing prices.</w:t>
      </w: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380"/>
        <w:spacing w:after="0"/>
        <w:tabs>
          <w:tab w:leader="none" w:pos="110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w:t>
      </w:r>
    </w:p>
    <w:p>
      <w:pPr>
        <w:sectPr>
          <w:pgSz w:w="11900" w:h="16838" w:orient="portrait"/>
          <w:cols w:equalWidth="0" w:num="1">
            <w:col w:w="11160"/>
          </w:cols>
          <w:pgMar w:left="240" w:top="453"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4715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1500" cy="471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firstLine="421"/>
        <w:spacing w:after="0" w:line="237" w:lineRule="auto"/>
        <w:rPr>
          <w:sz w:val="20"/>
          <w:szCs w:val="20"/>
          <w:color w:val="auto"/>
        </w:rPr>
      </w:pPr>
      <w:r>
        <w:rPr>
          <w:rFonts w:ascii="Arial" w:cs="Arial" w:eastAsia="Arial" w:hAnsi="Arial"/>
          <w:sz w:val="18"/>
          <w:szCs w:val="18"/>
          <w:color w:val="auto"/>
        </w:rPr>
        <w:t>The pay mix charts above are based on target compensation consisting of the annual rate of base salary and short-term and long-term incentive targets approved by the Compensation Committee. The pay mix for the “other NEOs” in the chart above excludes Mr. Pietkiewicz as he remained on the legacy Linear Technology variable cash incentive bonus program for the first half of fiscal 2018. It also excludes the equity awards granted to Messrs. Cotter and Hassett in September 2018 in recognition of their meaningful contributions in fiscal 2018 in driving our top line revenue growth and profit expansion. If those equity awards were taken into account, the percentage of performance-based incentives would increase for such NEOs. For more information about the components of the performance and incentive pay mix for our NEO compensation, see “Compensation Discussion and Analysis—Components of Executive Compensation.”</w:t>
      </w:r>
    </w:p>
    <w:p>
      <w:pPr>
        <w:spacing w:after="0" w:line="180" w:lineRule="exact"/>
        <w:rPr>
          <w:sz w:val="20"/>
          <w:szCs w:val="20"/>
          <w:color w:val="auto"/>
        </w:rPr>
      </w:pPr>
    </w:p>
    <w:p>
      <w:pPr>
        <w:ind w:left="440" w:right="20" w:firstLine="421"/>
        <w:spacing w:after="0" w:line="269" w:lineRule="auto"/>
        <w:rPr>
          <w:sz w:val="20"/>
          <w:szCs w:val="20"/>
          <w:color w:val="auto"/>
        </w:rPr>
      </w:pPr>
      <w:r>
        <w:rPr>
          <w:rFonts w:ascii="Arial" w:cs="Arial" w:eastAsia="Arial" w:hAnsi="Arial"/>
          <w:sz w:val="18"/>
          <w:szCs w:val="18"/>
          <w:color w:val="auto"/>
        </w:rPr>
        <w:t>Please see the Compensation Discussion and Analysis section beginning on page 39 of this proxy statement for a more detailed description of our executive compensation program, philosophy and design.</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 and Governance Practices</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pay and governance practices are designed to align our executives’ interests with our shareholders. For example:</w:t>
      </w:r>
    </w:p>
    <w:p>
      <w:pPr>
        <w:spacing w:after="0" w:line="241" w:lineRule="exact"/>
        <w:rPr>
          <w:sz w:val="20"/>
          <w:szCs w:val="20"/>
          <w:color w:val="auto"/>
        </w:rPr>
      </w:pPr>
    </w:p>
    <w:p>
      <w:pPr>
        <w:ind w:left="460"/>
        <w:spacing w:after="0"/>
        <w:tabs>
          <w:tab w:leader="none" w:pos="5940" w:val="left"/>
        </w:tabs>
        <w:rPr>
          <w:sz w:val="20"/>
          <w:szCs w:val="20"/>
          <w:color w:val="auto"/>
        </w:rPr>
      </w:pPr>
      <w:r>
        <w:rPr>
          <w:rFonts w:ascii="Arial" w:cs="Arial" w:eastAsia="Arial" w:hAnsi="Arial"/>
          <w:sz w:val="14"/>
          <w:szCs w:val="14"/>
          <w:b w:val="1"/>
          <w:bCs w:val="1"/>
          <w:color w:val="191919"/>
        </w:rPr>
        <w:t>WHAT WE DO</w:t>
      </w:r>
      <w:r>
        <w:rPr>
          <w:sz w:val="20"/>
          <w:szCs w:val="20"/>
          <w:color w:val="auto"/>
        </w:rPr>
        <w:tab/>
      </w:r>
      <w:r>
        <w:rPr>
          <w:rFonts w:ascii="Arial" w:cs="Arial" w:eastAsia="Arial" w:hAnsi="Arial"/>
          <w:sz w:val="14"/>
          <w:szCs w:val="14"/>
          <w:b w:val="1"/>
          <w:bCs w:val="1"/>
          <w:color w:val="191919"/>
        </w:rPr>
        <w:t>WHAT WE DO NOT DO</w:t>
      </w:r>
    </w:p>
    <w:p>
      <w:pPr>
        <w:sectPr>
          <w:pgSz w:w="11900" w:h="16838" w:orient="portrait"/>
          <w:cols w:equalWidth="0" w:num="1">
            <w:col w:w="10980"/>
          </w:cols>
          <w:pgMar w:left="240" w:top="453" w:right="679" w:bottom="1440" w:gutter="0" w:footer="0" w:header="0"/>
        </w:sectPr>
      </w:pPr>
    </w:p>
    <w:p>
      <w:pPr>
        <w:spacing w:after="0" w:line="24" w:lineRule="exact"/>
        <w:rPr>
          <w:sz w:val="20"/>
          <w:szCs w:val="20"/>
          <w:color w:val="auto"/>
        </w:rPr>
      </w:pPr>
    </w:p>
    <w:p>
      <w:pPr>
        <w:ind w:left="860" w:right="320" w:hanging="406"/>
        <w:spacing w:after="0" w:line="181" w:lineRule="auto"/>
        <w:tabs>
          <w:tab w:leader="none" w:pos="860" w:val="left"/>
        </w:tabs>
        <w:numPr>
          <w:ilvl w:val="0"/>
          <w:numId w:val="12"/>
        </w:numPr>
        <w:rPr>
          <w:rFonts w:ascii="MS PGothic" w:cs="MS PGothic" w:eastAsia="MS PGothic" w:hAnsi="MS PGothic"/>
          <w:sz w:val="35"/>
          <w:szCs w:val="35"/>
          <w:color w:val="1E408E"/>
          <w:vertAlign w:val="subscript"/>
        </w:rPr>
      </w:pPr>
      <w:r>
        <w:rPr>
          <w:rFonts w:ascii="Arial" w:cs="Arial" w:eastAsia="Arial" w:hAnsi="Arial"/>
          <w:sz w:val="14"/>
          <w:szCs w:val="14"/>
          <w:color w:val="191919"/>
        </w:rPr>
        <w:t>Our cash incentive bonus awards for legacy ADI executives are based solely on our financial performance</w:t>
      </w:r>
    </w:p>
    <w:p>
      <w:pPr>
        <w:spacing w:after="0" w:line="2" w:lineRule="exact"/>
        <w:rPr>
          <w:rFonts w:ascii="MS PGothic" w:cs="MS PGothic" w:eastAsia="MS PGothic" w:hAnsi="MS PGothic"/>
          <w:sz w:val="35"/>
          <w:szCs w:val="35"/>
          <w:color w:val="1E408E"/>
          <w:vertAlign w:val="subscript"/>
        </w:rPr>
      </w:pPr>
    </w:p>
    <w:p>
      <w:pPr>
        <w:ind w:left="860" w:hanging="406"/>
        <w:spacing w:after="0" w:line="185" w:lineRule="auto"/>
        <w:tabs>
          <w:tab w:leader="none" w:pos="860" w:val="left"/>
        </w:tabs>
        <w:numPr>
          <w:ilvl w:val="0"/>
          <w:numId w:val="12"/>
        </w:numPr>
        <w:rPr>
          <w:rFonts w:ascii="MS PGothic" w:cs="MS PGothic" w:eastAsia="MS PGothic" w:hAnsi="MS PGothic"/>
          <w:sz w:val="44"/>
          <w:szCs w:val="44"/>
          <w:color w:val="1E408E"/>
          <w:vertAlign w:val="subscript"/>
        </w:rPr>
      </w:pPr>
      <w:r>
        <w:rPr>
          <w:rFonts w:ascii="Arial" w:cs="Arial" w:eastAsia="Arial" w:hAnsi="Arial"/>
          <w:sz w:val="14"/>
          <w:szCs w:val="14"/>
          <w:color w:val="191919"/>
        </w:rPr>
        <w:t>We have a specific policy regarding the grant dates of stock options, RSUs and other stock-based awards for our directors, executive officers and employees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298" w:right="80" w:hanging="298"/>
        <w:spacing w:after="0" w:line="188" w:lineRule="auto"/>
        <w:tabs>
          <w:tab w:leader="none" w:pos="298" w:val="left"/>
        </w:tabs>
        <w:numPr>
          <w:ilvl w:val="0"/>
          <w:numId w:val="13"/>
        </w:numPr>
        <w:rPr>
          <w:rFonts w:ascii="Times New Roman" w:cs="Times New Roman" w:eastAsia="Times New Roman" w:hAnsi="Times New Roman"/>
          <w:sz w:val="43"/>
          <w:szCs w:val="43"/>
          <w:color w:val="191919"/>
          <w:vertAlign w:val="subscript"/>
        </w:rPr>
      </w:pPr>
      <w:r>
        <w:rPr>
          <w:rFonts w:ascii="Arial" w:cs="Arial" w:eastAsia="Arial" w:hAnsi="Arial"/>
          <w:sz w:val="14"/>
          <w:szCs w:val="14"/>
          <w:color w:val="191919"/>
        </w:rPr>
        <w:t>We do not guarantee salary increases or non-performance-based bonuses</w:t>
      </w:r>
    </w:p>
    <w:p>
      <w:pPr>
        <w:ind w:left="298" w:right="20" w:hanging="298"/>
        <w:spacing w:after="0" w:line="181" w:lineRule="auto"/>
        <w:tabs>
          <w:tab w:leader="none" w:pos="298" w:val="left"/>
        </w:tabs>
        <w:numPr>
          <w:ilvl w:val="0"/>
          <w:numId w:val="13"/>
        </w:numPr>
        <w:rPr>
          <w:rFonts w:ascii="Times New Roman" w:cs="Times New Roman" w:eastAsia="Times New Roman" w:hAnsi="Times New Roman"/>
          <w:sz w:val="33"/>
          <w:szCs w:val="33"/>
          <w:color w:val="191919"/>
          <w:vertAlign w:val="subscript"/>
        </w:rPr>
      </w:pPr>
      <w:r>
        <w:rPr>
          <w:rFonts w:ascii="Arial" w:cs="Arial" w:eastAsia="Arial" w:hAnsi="Arial"/>
          <w:sz w:val="13"/>
          <w:szCs w:val="13"/>
          <w:color w:val="191919"/>
        </w:rPr>
        <w:t>We do not modify our performance targets during the performance period, even in challenging years</w:t>
      </w:r>
    </w:p>
    <w:p>
      <w:pPr>
        <w:spacing w:after="0" w:line="189" w:lineRule="exact"/>
        <w:rPr>
          <w:sz w:val="20"/>
          <w:szCs w:val="20"/>
          <w:color w:val="auto"/>
        </w:rPr>
      </w:pPr>
    </w:p>
    <w:p>
      <w:pPr>
        <w:sectPr>
          <w:pgSz w:w="11900" w:h="16838" w:orient="portrait"/>
          <w:cols w:equalWidth="0" w:num="2">
            <w:col w:w="5680" w:space="282"/>
            <w:col w:w="5018"/>
          </w:cols>
          <w:pgMar w:left="240" w:top="453" w:right="679" w:bottom="1440" w:gutter="0" w:footer="0" w:header="0"/>
          <w:type w:val="continuous"/>
        </w:sectPr>
      </w:pPr>
    </w:p>
    <w:p>
      <w:pPr>
        <w:ind w:left="860" w:hanging="406"/>
        <w:spacing w:after="0" w:line="183" w:lineRule="auto"/>
        <w:tabs>
          <w:tab w:leader="none" w:pos="860" w:val="left"/>
        </w:tabs>
        <w:numPr>
          <w:ilvl w:val="0"/>
          <w:numId w:val="14"/>
        </w:numPr>
        <w:rPr>
          <w:rFonts w:ascii="MS PGothic" w:cs="MS PGothic" w:eastAsia="MS PGothic" w:hAnsi="MS PGothic"/>
          <w:sz w:val="28"/>
          <w:szCs w:val="28"/>
          <w:color w:val="1E408E"/>
          <w:vertAlign w:val="subscript"/>
        </w:rPr>
      </w:pPr>
      <w:r>
        <w:rPr>
          <w:rFonts w:ascii="Arial" w:cs="Arial" w:eastAsia="Arial" w:hAnsi="Arial"/>
          <w:sz w:val="13"/>
          <w:szCs w:val="13"/>
          <w:color w:val="191919"/>
        </w:rPr>
        <w:t>We have stock ownership guidelines for all officers and directors</w:t>
      </w:r>
    </w:p>
    <w:p>
      <w:pPr>
        <w:spacing w:after="0" w:line="205" w:lineRule="exact"/>
        <w:rPr>
          <w:rFonts w:ascii="MS PGothic" w:cs="MS PGothic" w:eastAsia="MS PGothic" w:hAnsi="MS PGothic"/>
          <w:sz w:val="28"/>
          <w:szCs w:val="28"/>
          <w:color w:val="1E408E"/>
          <w:vertAlign w:val="subscript"/>
        </w:rPr>
      </w:pPr>
    </w:p>
    <w:p>
      <w:pPr>
        <w:ind w:left="860" w:hanging="406"/>
        <w:spacing w:after="0"/>
        <w:tabs>
          <w:tab w:leader="none" w:pos="860" w:val="left"/>
        </w:tabs>
        <w:numPr>
          <w:ilvl w:val="0"/>
          <w:numId w:val="14"/>
        </w:numPr>
        <w:rPr>
          <w:rFonts w:ascii="MS PGothic" w:cs="MS PGothic" w:eastAsia="MS PGothic" w:hAnsi="MS PGothic"/>
          <w:sz w:val="36"/>
          <w:szCs w:val="36"/>
          <w:color w:val="1E408E"/>
          <w:vertAlign w:val="subscript"/>
        </w:rPr>
      </w:pPr>
      <w:r>
        <w:rPr>
          <w:rFonts w:ascii="Arial" w:cs="Arial" w:eastAsia="Arial" w:hAnsi="Arial"/>
          <w:sz w:val="14"/>
          <w:szCs w:val="14"/>
          <w:color w:val="191919"/>
        </w:rPr>
        <w:t>We</w:t>
      </w:r>
      <w:r>
        <w:rPr>
          <w:rFonts w:ascii="Arial" w:cs="Arial" w:eastAsia="Arial" w:hAnsi="Arial"/>
          <w:sz w:val="21"/>
          <w:szCs w:val="21"/>
          <w:color w:val="191919"/>
          <w:vertAlign w:val="subscript"/>
        </w:rPr>
        <w:t>securities</w:t>
      </w:r>
      <w:r>
        <w:rPr>
          <w:rFonts w:ascii="Arial" w:cs="Arial" w:eastAsia="Arial" w:hAnsi="Arial"/>
          <w:sz w:val="14"/>
          <w:szCs w:val="14"/>
          <w:color w:val="191919"/>
        </w:rPr>
        <w:t>prohibit hedging transactions and “short sales” involving ADI</w:t>
      </w:r>
    </w:p>
    <w:p>
      <w:pPr>
        <w:spacing w:after="0" w:line="63" w:lineRule="exact"/>
        <w:rPr>
          <w:rFonts w:ascii="MS PGothic" w:cs="MS PGothic" w:eastAsia="MS PGothic" w:hAnsi="MS PGothic"/>
          <w:sz w:val="36"/>
          <w:szCs w:val="36"/>
          <w:color w:val="1E408E"/>
          <w:vertAlign w:val="subscript"/>
        </w:rPr>
      </w:pPr>
    </w:p>
    <w:p>
      <w:pPr>
        <w:ind w:left="860" w:hanging="406"/>
        <w:spacing w:after="0" w:line="183" w:lineRule="auto"/>
        <w:tabs>
          <w:tab w:leader="none" w:pos="860" w:val="left"/>
        </w:tabs>
        <w:numPr>
          <w:ilvl w:val="0"/>
          <w:numId w:val="14"/>
        </w:numPr>
        <w:rPr>
          <w:rFonts w:ascii="MS PGothic" w:cs="MS PGothic" w:eastAsia="MS PGothic" w:hAnsi="MS PGothic"/>
          <w:sz w:val="47"/>
          <w:szCs w:val="47"/>
          <w:color w:val="1E408E"/>
          <w:vertAlign w:val="subscript"/>
        </w:rPr>
      </w:pPr>
      <w:r>
        <w:rPr>
          <w:rFonts w:ascii="Arial" w:cs="Arial" w:eastAsia="Arial" w:hAnsi="Arial"/>
          <w:sz w:val="15"/>
          <w:szCs w:val="15"/>
          <w:color w:val="191919"/>
        </w:rPr>
        <w:t>We prohibit holding ADI securities in margin accounts</w:t>
      </w:r>
    </w:p>
    <w:p>
      <w:pPr>
        <w:spacing w:after="0" w:line="205" w:lineRule="exact"/>
        <w:rPr>
          <w:rFonts w:ascii="MS PGothic" w:cs="MS PGothic" w:eastAsia="MS PGothic" w:hAnsi="MS PGothic"/>
          <w:sz w:val="47"/>
          <w:szCs w:val="47"/>
          <w:color w:val="1E408E"/>
          <w:vertAlign w:val="subscript"/>
        </w:rPr>
      </w:pPr>
    </w:p>
    <w:p>
      <w:pPr>
        <w:ind w:left="860" w:hanging="406"/>
        <w:spacing w:after="0" w:line="187" w:lineRule="auto"/>
        <w:tabs>
          <w:tab w:leader="none" w:pos="860" w:val="left"/>
        </w:tabs>
        <w:numPr>
          <w:ilvl w:val="0"/>
          <w:numId w:val="14"/>
        </w:numPr>
        <w:rPr>
          <w:rFonts w:ascii="MS PGothic" w:cs="MS PGothic" w:eastAsia="MS PGothic" w:hAnsi="MS PGothic"/>
          <w:sz w:val="25"/>
          <w:szCs w:val="25"/>
          <w:color w:val="1E408E"/>
          <w:vertAlign w:val="subscript"/>
        </w:rPr>
      </w:pPr>
      <w:r>
        <w:rPr>
          <w:rFonts w:ascii="Arial" w:cs="Arial" w:eastAsia="Arial" w:hAnsi="Arial"/>
          <w:sz w:val="13"/>
          <w:szCs w:val="13"/>
          <w:color w:val="191919"/>
        </w:rPr>
        <w:t>We prohibit pledging ADI securities as collateral for a loan</w:t>
      </w:r>
    </w:p>
    <w:p>
      <w:pPr>
        <w:spacing w:after="0" w:line="205" w:lineRule="exact"/>
        <w:rPr>
          <w:rFonts w:ascii="MS PGothic" w:cs="MS PGothic" w:eastAsia="MS PGothic" w:hAnsi="MS PGothic"/>
          <w:sz w:val="25"/>
          <w:szCs w:val="25"/>
          <w:color w:val="1E408E"/>
          <w:vertAlign w:val="subscript"/>
        </w:rPr>
      </w:pPr>
    </w:p>
    <w:p>
      <w:pPr>
        <w:ind w:left="860" w:hanging="406"/>
        <w:spacing w:after="0" w:line="187" w:lineRule="auto"/>
        <w:tabs>
          <w:tab w:leader="none" w:pos="860" w:val="left"/>
        </w:tabs>
        <w:numPr>
          <w:ilvl w:val="0"/>
          <w:numId w:val="14"/>
        </w:numPr>
        <w:rPr>
          <w:rFonts w:ascii="MS PGothic" w:cs="MS PGothic" w:eastAsia="MS PGothic" w:hAnsi="MS PGothic"/>
          <w:sz w:val="25"/>
          <w:szCs w:val="25"/>
          <w:color w:val="1E408E"/>
          <w:vertAlign w:val="subscript"/>
        </w:rPr>
      </w:pPr>
      <w:r>
        <w:rPr>
          <w:rFonts w:ascii="Arial" w:cs="Arial" w:eastAsia="Arial" w:hAnsi="Arial"/>
          <w:sz w:val="13"/>
          <w:szCs w:val="13"/>
          <w:color w:val="191919"/>
        </w:rPr>
        <w:t>Annual “say on pay” vote</w:t>
      </w:r>
    </w:p>
    <w:p>
      <w:pPr>
        <w:spacing w:after="0" w:line="20" w:lineRule="exact"/>
        <w:rPr>
          <w:sz w:val="20"/>
          <w:szCs w:val="20"/>
          <w:color w:val="auto"/>
        </w:rPr>
      </w:pPr>
      <w:r>
        <w:rPr>
          <w:sz w:val="20"/>
          <w:szCs w:val="20"/>
          <w:color w:val="auto"/>
        </w:rPr>
        <w:br w:type="column"/>
      </w:r>
    </w:p>
    <w:p>
      <w:pPr>
        <w:ind w:left="298" w:hanging="298"/>
        <w:spacing w:after="0" w:line="185" w:lineRule="auto"/>
        <w:tabs>
          <w:tab w:leader="none" w:pos="298" w:val="left"/>
        </w:tabs>
        <w:numPr>
          <w:ilvl w:val="0"/>
          <w:numId w:val="15"/>
        </w:numPr>
        <w:rPr>
          <w:rFonts w:ascii="Times New Roman" w:cs="Times New Roman" w:eastAsia="Times New Roman" w:hAnsi="Times New Roman"/>
          <w:sz w:val="24"/>
          <w:szCs w:val="24"/>
          <w:color w:val="191919"/>
          <w:vertAlign w:val="subscript"/>
        </w:rPr>
      </w:pPr>
      <w:r>
        <w:rPr>
          <w:rFonts w:ascii="Arial" w:cs="Arial" w:eastAsia="Arial" w:hAnsi="Arial"/>
          <w:sz w:val="12"/>
          <w:szCs w:val="12"/>
          <w:color w:val="191919"/>
        </w:rPr>
        <w:t>We do not provide new tax gross-ups for executive officers</w:t>
      </w:r>
    </w:p>
    <w:p>
      <w:pPr>
        <w:spacing w:after="0" w:line="186" w:lineRule="exact"/>
        <w:rPr>
          <w:rFonts w:ascii="Times New Roman" w:cs="Times New Roman" w:eastAsia="Times New Roman" w:hAnsi="Times New Roman"/>
          <w:sz w:val="24"/>
          <w:szCs w:val="24"/>
          <w:color w:val="191919"/>
          <w:vertAlign w:val="subscript"/>
        </w:rPr>
      </w:pPr>
    </w:p>
    <w:p>
      <w:pPr>
        <w:ind w:left="298" w:right="120" w:hanging="298"/>
        <w:spacing w:after="0" w:line="180" w:lineRule="auto"/>
        <w:tabs>
          <w:tab w:leader="none" w:pos="298" w:val="left"/>
        </w:tabs>
        <w:numPr>
          <w:ilvl w:val="0"/>
          <w:numId w:val="15"/>
        </w:numPr>
        <w:rPr>
          <w:rFonts w:ascii="Times New Roman" w:cs="Times New Roman" w:eastAsia="Times New Roman" w:hAnsi="Times New Roman"/>
          <w:sz w:val="40"/>
          <w:szCs w:val="40"/>
          <w:color w:val="191919"/>
          <w:vertAlign w:val="subscript"/>
        </w:rPr>
      </w:pPr>
      <w:r>
        <w:rPr>
          <w:rFonts w:ascii="Arial" w:cs="Arial" w:eastAsia="Arial" w:hAnsi="Arial"/>
          <w:sz w:val="14"/>
          <w:szCs w:val="14"/>
          <w:color w:val="191919"/>
        </w:rPr>
        <w:t>With the exception of restricted stock awards assumed in connection with the Linear Technology acquisition, we do not pay dividends on unvested equity awards</w:t>
      </w:r>
    </w:p>
    <w:p>
      <w:pPr>
        <w:spacing w:after="0" w:line="2" w:lineRule="exact"/>
        <w:rPr>
          <w:rFonts w:ascii="Times New Roman" w:cs="Times New Roman" w:eastAsia="Times New Roman" w:hAnsi="Times New Roman"/>
          <w:sz w:val="40"/>
          <w:szCs w:val="40"/>
          <w:color w:val="191919"/>
          <w:vertAlign w:val="subscript"/>
        </w:rPr>
      </w:pPr>
    </w:p>
    <w:p>
      <w:pPr>
        <w:ind w:left="298" w:hanging="298"/>
        <w:spacing w:after="0" w:line="185" w:lineRule="auto"/>
        <w:tabs>
          <w:tab w:leader="none" w:pos="298" w:val="left"/>
        </w:tabs>
        <w:numPr>
          <w:ilvl w:val="0"/>
          <w:numId w:val="15"/>
        </w:numPr>
        <w:rPr>
          <w:rFonts w:ascii="Times New Roman" w:cs="Times New Roman" w:eastAsia="Times New Roman" w:hAnsi="Times New Roman"/>
          <w:sz w:val="24"/>
          <w:szCs w:val="24"/>
          <w:color w:val="191919"/>
          <w:vertAlign w:val="subscript"/>
        </w:rPr>
      </w:pPr>
      <w:r>
        <w:rPr>
          <w:rFonts w:ascii="Arial" w:cs="Arial" w:eastAsia="Arial" w:hAnsi="Arial"/>
          <w:sz w:val="12"/>
          <w:szCs w:val="12"/>
          <w:color w:val="191919"/>
        </w:rPr>
        <w:t>We do not provide extensive perquisites to our executives</w:t>
      </w:r>
    </w:p>
    <w:p>
      <w:pPr>
        <w:spacing w:after="0" w:line="1001" w:lineRule="exact"/>
        <w:rPr>
          <w:sz w:val="20"/>
          <w:szCs w:val="20"/>
          <w:color w:val="auto"/>
        </w:rPr>
      </w:pPr>
    </w:p>
    <w:p>
      <w:pPr>
        <w:sectPr>
          <w:pgSz w:w="11900" w:h="16838" w:orient="portrait"/>
          <w:cols w:equalWidth="0" w:num="2">
            <w:col w:w="5400" w:space="562"/>
            <w:col w:w="5018"/>
          </w:cols>
          <w:pgMar w:left="240" w:top="453"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hanging="293"/>
        <w:spacing w:after="0"/>
        <w:tabs>
          <w:tab w:leader="none" w:pos="560" w:val="left"/>
        </w:tabs>
        <w:numPr>
          <w:ilvl w:val="0"/>
          <w:numId w:val="1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0980"/>
          </w:cols>
          <w:pgMar w:left="240" w:top="453" w:right="67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3367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1500" cy="336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Shareholder Engagement By the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w:t>
      </w:r>
    </w:p>
    <w:p>
      <w:pPr>
        <w:sectPr>
          <w:pgSz w:w="11900" w:h="16838" w:orient="portrait"/>
          <w:cols w:equalWidth="0" w:num="1">
            <w:col w:w="11160"/>
          </w:cols>
          <w:pgMar w:left="240" w:top="453"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60" w:type="dxa"/>
        <w:tblCellMar>
          <w:top w:w="0" w:type="dxa"/>
          <w:left w:w="0" w:type="dxa"/>
          <w:bottom w:w="0" w:type="dxa"/>
          <w:right w:w="0" w:type="dxa"/>
        </w:tblCellMar>
      </w:tblPr>
      <w:tr>
        <w:trPr>
          <w:trHeight w:val="416"/>
        </w:trPr>
        <w:tc>
          <w:tcPr>
            <w:tcW w:w="4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52B82"/>
              </w:rPr>
              <w:t>BOARD OF DIRECTORS</w:t>
            </w:r>
          </w:p>
        </w:tc>
        <w:tc>
          <w:tcPr>
            <w:tcW w:w="5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Director Nominees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shd w:val="clear" w:color="auto" w:fill="052B82"/>
          </w:tcPr>
          <w:p>
            <w:pPr>
              <w:spacing w:after="0"/>
              <w:rPr>
                <w:sz w:val="12"/>
                <w:szCs w:val="12"/>
                <w:color w:val="auto"/>
              </w:rPr>
            </w:pPr>
          </w:p>
        </w:tc>
        <w:tc>
          <w:tcPr>
            <w:tcW w:w="540" w:type="dxa"/>
            <w:vAlign w:val="bottom"/>
            <w:shd w:val="clear" w:color="auto" w:fill="052B82"/>
          </w:tcPr>
          <w:p>
            <w:pPr>
              <w:spacing w:after="0"/>
              <w:rPr>
                <w:sz w:val="12"/>
                <w:szCs w:val="12"/>
                <w:color w:val="auto"/>
              </w:rPr>
            </w:pPr>
          </w:p>
        </w:tc>
        <w:tc>
          <w:tcPr>
            <w:tcW w:w="740" w:type="dxa"/>
            <w:vAlign w:val="bottom"/>
            <w:vMerge w:val="restart"/>
            <w:shd w:val="clear" w:color="auto" w:fill="052B82"/>
          </w:tcPr>
          <w:p>
            <w:pPr>
              <w:ind w:left="100"/>
              <w:spacing w:after="0"/>
              <w:rPr>
                <w:sz w:val="20"/>
                <w:szCs w:val="20"/>
                <w:color w:val="auto"/>
              </w:rPr>
            </w:pPr>
            <w:r>
              <w:rPr>
                <w:rFonts w:ascii="Arial" w:cs="Arial" w:eastAsia="Arial" w:hAnsi="Arial"/>
                <w:sz w:val="14"/>
                <w:szCs w:val="14"/>
                <w:b w:val="1"/>
                <w:bCs w:val="1"/>
                <w:color w:val="FFFFFF"/>
              </w:rPr>
              <w:t>Director</w:t>
            </w:r>
          </w:p>
        </w:tc>
        <w:tc>
          <w:tcPr>
            <w:tcW w:w="2920" w:type="dxa"/>
            <w:vAlign w:val="bottom"/>
            <w:shd w:val="clear" w:color="auto" w:fill="052B82"/>
          </w:tcPr>
          <w:p>
            <w:pPr>
              <w:spacing w:after="0"/>
              <w:rPr>
                <w:sz w:val="12"/>
                <w:szCs w:val="12"/>
                <w:color w:val="auto"/>
              </w:rPr>
            </w:pPr>
          </w:p>
        </w:tc>
        <w:tc>
          <w:tcPr>
            <w:tcW w:w="320" w:type="dxa"/>
            <w:vAlign w:val="bottom"/>
            <w:shd w:val="clear" w:color="auto" w:fill="052B82"/>
          </w:tcPr>
          <w:p>
            <w:pPr>
              <w:spacing w:after="0"/>
              <w:rPr>
                <w:sz w:val="12"/>
                <w:szCs w:val="12"/>
                <w:color w:val="auto"/>
              </w:rPr>
            </w:pPr>
          </w:p>
        </w:tc>
        <w:tc>
          <w:tcPr>
            <w:tcW w:w="1040" w:type="dxa"/>
            <w:vAlign w:val="bottom"/>
            <w:vMerge w:val="restart"/>
            <w:shd w:val="clear" w:color="auto" w:fill="052B82"/>
          </w:tcPr>
          <w:p>
            <w:pPr>
              <w:ind w:left="100"/>
              <w:spacing w:after="0"/>
              <w:rPr>
                <w:sz w:val="20"/>
                <w:szCs w:val="20"/>
                <w:color w:val="auto"/>
              </w:rPr>
            </w:pPr>
            <w:r>
              <w:rPr>
                <w:rFonts w:ascii="Arial" w:cs="Arial" w:eastAsia="Arial" w:hAnsi="Arial"/>
                <w:sz w:val="14"/>
                <w:szCs w:val="14"/>
                <w:b w:val="1"/>
                <w:bCs w:val="1"/>
                <w:color w:val="FFFFFF"/>
              </w:rPr>
              <w:t>Independent</w:t>
            </w:r>
          </w:p>
        </w:tc>
        <w:tc>
          <w:tcPr>
            <w:tcW w:w="1060" w:type="dxa"/>
            <w:vAlign w:val="bottom"/>
            <w:shd w:val="clear" w:color="auto" w:fill="052B82"/>
          </w:tcPr>
          <w:p>
            <w:pPr>
              <w:jc w:val="center"/>
              <w:spacing w:after="0" w:line="145" w:lineRule="exact"/>
              <w:rPr>
                <w:sz w:val="20"/>
                <w:szCs w:val="20"/>
                <w:color w:val="auto"/>
              </w:rPr>
            </w:pPr>
            <w:r>
              <w:rPr>
                <w:rFonts w:ascii="Arial" w:cs="Arial" w:eastAsia="Arial" w:hAnsi="Arial"/>
                <w:sz w:val="14"/>
                <w:szCs w:val="14"/>
                <w:b w:val="1"/>
                <w:bCs w:val="1"/>
                <w:color w:val="FFFFFF"/>
              </w:rPr>
              <w:t>Other Public</w:t>
            </w:r>
          </w:p>
        </w:tc>
        <w:tc>
          <w:tcPr>
            <w:tcW w:w="104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Committee</w:t>
            </w:r>
          </w:p>
        </w:tc>
        <w:tc>
          <w:tcPr>
            <w:tcW w:w="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vMerge w:val="restart"/>
            <w:shd w:val="clear" w:color="auto" w:fill="052B82"/>
          </w:tcPr>
          <w:p>
            <w:pPr>
              <w:ind w:left="60"/>
              <w:spacing w:after="0"/>
              <w:rPr>
                <w:sz w:val="20"/>
                <w:szCs w:val="20"/>
                <w:color w:val="auto"/>
              </w:rPr>
            </w:pPr>
            <w:r>
              <w:rPr>
                <w:rFonts w:ascii="Arial" w:cs="Arial" w:eastAsia="Arial" w:hAnsi="Arial"/>
                <w:sz w:val="14"/>
                <w:szCs w:val="14"/>
                <w:b w:val="1"/>
                <w:bCs w:val="1"/>
                <w:color w:val="FFFFFF"/>
              </w:rPr>
              <w:t>Name</w:t>
            </w:r>
          </w:p>
        </w:tc>
        <w:tc>
          <w:tcPr>
            <w:tcW w:w="540" w:type="dxa"/>
            <w:vAlign w:val="bottom"/>
            <w:vMerge w:val="restart"/>
            <w:shd w:val="clear" w:color="auto" w:fill="052B82"/>
          </w:tcPr>
          <w:p>
            <w:pPr>
              <w:jc w:val="center"/>
              <w:ind w:left="33"/>
              <w:spacing w:after="0"/>
              <w:rPr>
                <w:sz w:val="20"/>
                <w:szCs w:val="20"/>
                <w:color w:val="auto"/>
              </w:rPr>
            </w:pPr>
            <w:r>
              <w:rPr>
                <w:rFonts w:ascii="Arial" w:cs="Arial" w:eastAsia="Arial" w:hAnsi="Arial"/>
                <w:sz w:val="14"/>
                <w:szCs w:val="14"/>
                <w:b w:val="1"/>
                <w:bCs w:val="1"/>
                <w:color w:val="FFFFFF"/>
                <w:w w:val="98"/>
              </w:rPr>
              <w:t>Age</w:t>
            </w:r>
          </w:p>
        </w:tc>
        <w:tc>
          <w:tcPr>
            <w:tcW w:w="740" w:type="dxa"/>
            <w:vAlign w:val="bottom"/>
            <w:vMerge w:val="continue"/>
            <w:shd w:val="clear" w:color="auto" w:fill="052B82"/>
          </w:tcPr>
          <w:p>
            <w:pPr>
              <w:spacing w:after="0"/>
              <w:rPr>
                <w:sz w:val="13"/>
                <w:szCs w:val="13"/>
                <w:color w:val="auto"/>
              </w:rPr>
            </w:pPr>
          </w:p>
        </w:tc>
        <w:tc>
          <w:tcPr>
            <w:tcW w:w="2920" w:type="dxa"/>
            <w:vAlign w:val="bottom"/>
            <w:vMerge w:val="restart"/>
            <w:shd w:val="clear" w:color="auto" w:fill="052B82"/>
          </w:tcPr>
          <w:p>
            <w:pPr>
              <w:jc w:val="center"/>
              <w:ind w:left="232"/>
              <w:spacing w:after="0"/>
              <w:rPr>
                <w:sz w:val="20"/>
                <w:szCs w:val="20"/>
                <w:color w:val="auto"/>
              </w:rPr>
            </w:pPr>
            <w:r>
              <w:rPr>
                <w:rFonts w:ascii="Arial" w:cs="Arial" w:eastAsia="Arial" w:hAnsi="Arial"/>
                <w:sz w:val="14"/>
                <w:szCs w:val="14"/>
                <w:b w:val="1"/>
                <w:bCs w:val="1"/>
                <w:color w:val="FFFFFF"/>
              </w:rPr>
              <w:t>Principal Occupation</w:t>
            </w:r>
          </w:p>
        </w:tc>
        <w:tc>
          <w:tcPr>
            <w:tcW w:w="320" w:type="dxa"/>
            <w:vAlign w:val="bottom"/>
            <w:shd w:val="clear" w:color="auto" w:fill="052B82"/>
          </w:tcPr>
          <w:p>
            <w:pPr>
              <w:spacing w:after="0"/>
              <w:rPr>
                <w:sz w:val="13"/>
                <w:szCs w:val="13"/>
                <w:color w:val="auto"/>
              </w:rPr>
            </w:pPr>
          </w:p>
        </w:tc>
        <w:tc>
          <w:tcPr>
            <w:tcW w:w="1040" w:type="dxa"/>
            <w:vAlign w:val="bottom"/>
            <w:vMerge w:val="continue"/>
            <w:shd w:val="clear" w:color="auto" w:fill="052B82"/>
          </w:tcPr>
          <w:p>
            <w:pPr>
              <w:spacing w:after="0"/>
              <w:rPr>
                <w:sz w:val="13"/>
                <w:szCs w:val="13"/>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Company</w:t>
            </w:r>
          </w:p>
        </w:tc>
        <w:tc>
          <w:tcPr>
            <w:tcW w:w="1040" w:type="dxa"/>
            <w:vAlign w:val="bottom"/>
            <w:vMerge w:val="continue"/>
            <w:shd w:val="clear" w:color="auto" w:fill="052B82"/>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vMerge w:val="continue"/>
            <w:shd w:val="clear" w:color="auto" w:fill="052B82"/>
          </w:tcPr>
          <w:p>
            <w:pPr>
              <w:spacing w:after="0"/>
              <w:rPr>
                <w:sz w:val="15"/>
                <w:szCs w:val="15"/>
                <w:color w:val="auto"/>
              </w:rPr>
            </w:pPr>
          </w:p>
        </w:tc>
        <w:tc>
          <w:tcPr>
            <w:tcW w:w="540" w:type="dxa"/>
            <w:vAlign w:val="bottom"/>
            <w:vMerge w:val="continue"/>
            <w:shd w:val="clear" w:color="auto" w:fill="052B82"/>
          </w:tcPr>
          <w:p>
            <w:pPr>
              <w:spacing w:after="0"/>
              <w:rPr>
                <w:sz w:val="15"/>
                <w:szCs w:val="15"/>
                <w:color w:val="auto"/>
              </w:rPr>
            </w:pPr>
          </w:p>
        </w:tc>
        <w:tc>
          <w:tcPr>
            <w:tcW w:w="740" w:type="dxa"/>
            <w:vAlign w:val="bottom"/>
            <w:shd w:val="clear" w:color="auto" w:fill="052B82"/>
          </w:tcPr>
          <w:p>
            <w:pPr>
              <w:ind w:left="180"/>
              <w:spacing w:after="0"/>
              <w:rPr>
                <w:sz w:val="20"/>
                <w:szCs w:val="20"/>
                <w:color w:val="auto"/>
              </w:rPr>
            </w:pPr>
            <w:r>
              <w:rPr>
                <w:rFonts w:ascii="Arial" w:cs="Arial" w:eastAsia="Arial" w:hAnsi="Arial"/>
                <w:sz w:val="14"/>
                <w:szCs w:val="14"/>
                <w:b w:val="1"/>
                <w:bCs w:val="1"/>
                <w:color w:val="FFFFFF"/>
              </w:rPr>
              <w:t>Since</w:t>
            </w:r>
          </w:p>
        </w:tc>
        <w:tc>
          <w:tcPr>
            <w:tcW w:w="2920" w:type="dxa"/>
            <w:vAlign w:val="bottom"/>
            <w:vMerge w:val="continue"/>
            <w:shd w:val="clear" w:color="auto" w:fill="052B82"/>
          </w:tcPr>
          <w:p>
            <w:pPr>
              <w:spacing w:after="0"/>
              <w:rPr>
                <w:sz w:val="15"/>
                <w:szCs w:val="15"/>
                <w:color w:val="auto"/>
              </w:rPr>
            </w:pPr>
          </w:p>
        </w:tc>
        <w:tc>
          <w:tcPr>
            <w:tcW w:w="320" w:type="dxa"/>
            <w:vAlign w:val="bottom"/>
            <w:shd w:val="clear" w:color="auto" w:fill="052B82"/>
          </w:tcPr>
          <w:p>
            <w:pPr>
              <w:spacing w:after="0"/>
              <w:rPr>
                <w:sz w:val="15"/>
                <w:szCs w:val="15"/>
                <w:color w:val="auto"/>
              </w:rPr>
            </w:pPr>
          </w:p>
        </w:tc>
        <w:tc>
          <w:tcPr>
            <w:tcW w:w="1040" w:type="dxa"/>
            <w:vAlign w:val="bottom"/>
            <w:shd w:val="clear" w:color="auto" w:fill="052B82"/>
          </w:tcPr>
          <w:p>
            <w:pPr>
              <w:ind w:left="260"/>
              <w:spacing w:after="0"/>
              <w:rPr>
                <w:sz w:val="20"/>
                <w:szCs w:val="20"/>
                <w:color w:val="auto"/>
              </w:rPr>
            </w:pPr>
            <w:r>
              <w:rPr>
                <w:rFonts w:ascii="Arial" w:cs="Arial" w:eastAsia="Arial" w:hAnsi="Arial"/>
                <w:sz w:val="14"/>
                <w:szCs w:val="14"/>
                <w:b w:val="1"/>
                <w:bCs w:val="1"/>
                <w:color w:val="FFFFFF"/>
              </w:rPr>
              <w:t>Director</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Board(s)</w:t>
            </w:r>
          </w:p>
        </w:tc>
        <w:tc>
          <w:tcPr>
            <w:tcW w:w="10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Membership</w:t>
            </w: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Pr>
          <w:p>
            <w:pPr>
              <w:ind w:left="60"/>
              <w:spacing w:after="0" w:line="177" w:lineRule="exact"/>
              <w:rPr>
                <w:sz w:val="20"/>
                <w:szCs w:val="20"/>
                <w:color w:val="auto"/>
              </w:rPr>
            </w:pPr>
            <w:r>
              <w:rPr>
                <w:rFonts w:ascii="Arial" w:cs="Arial" w:eastAsia="Arial" w:hAnsi="Arial"/>
                <w:sz w:val="18"/>
                <w:szCs w:val="18"/>
                <w:color w:val="auto"/>
              </w:rPr>
              <w:t>Ray Stata</w:t>
            </w:r>
          </w:p>
        </w:tc>
        <w:tc>
          <w:tcPr>
            <w:tcW w:w="540" w:type="dxa"/>
            <w:vAlign w:val="bottom"/>
          </w:tcPr>
          <w:p>
            <w:pPr>
              <w:jc w:val="center"/>
              <w:ind w:left="13"/>
              <w:spacing w:after="0" w:line="177" w:lineRule="exact"/>
              <w:rPr>
                <w:sz w:val="20"/>
                <w:szCs w:val="20"/>
                <w:color w:val="auto"/>
              </w:rPr>
            </w:pPr>
            <w:r>
              <w:rPr>
                <w:rFonts w:ascii="Arial" w:cs="Arial" w:eastAsia="Arial" w:hAnsi="Arial"/>
                <w:sz w:val="18"/>
                <w:szCs w:val="18"/>
                <w:color w:val="auto"/>
                <w:w w:val="99"/>
              </w:rPr>
              <w:t>84</w:t>
            </w:r>
          </w:p>
        </w:tc>
        <w:tc>
          <w:tcPr>
            <w:tcW w:w="740" w:type="dxa"/>
            <w:vAlign w:val="bottom"/>
          </w:tcPr>
          <w:p>
            <w:pPr>
              <w:ind w:left="180"/>
              <w:spacing w:after="0" w:line="177" w:lineRule="exact"/>
              <w:rPr>
                <w:sz w:val="20"/>
                <w:szCs w:val="20"/>
                <w:color w:val="auto"/>
              </w:rPr>
            </w:pPr>
            <w:r>
              <w:rPr>
                <w:rFonts w:ascii="Arial" w:cs="Arial" w:eastAsia="Arial" w:hAnsi="Arial"/>
                <w:sz w:val="18"/>
                <w:szCs w:val="18"/>
                <w:color w:val="auto"/>
              </w:rPr>
              <w:t>1965</w:t>
            </w:r>
          </w:p>
        </w:tc>
        <w:tc>
          <w:tcPr>
            <w:tcW w:w="2920" w:type="dxa"/>
            <w:vAlign w:val="bottom"/>
          </w:tcPr>
          <w:p>
            <w:pPr>
              <w:jc w:val="center"/>
              <w:ind w:left="232"/>
              <w:spacing w:after="0" w:line="177" w:lineRule="exact"/>
              <w:rPr>
                <w:sz w:val="20"/>
                <w:szCs w:val="20"/>
                <w:color w:val="auto"/>
              </w:rPr>
            </w:pPr>
            <w:r>
              <w:rPr>
                <w:rFonts w:ascii="Arial" w:cs="Arial" w:eastAsia="Arial" w:hAnsi="Arial"/>
                <w:sz w:val="18"/>
                <w:szCs w:val="18"/>
                <w:color w:val="auto"/>
                <w:w w:val="99"/>
              </w:rPr>
              <w:t>Chairman of the Board of Analog</w:t>
            </w:r>
          </w:p>
        </w:tc>
        <w:tc>
          <w:tcPr>
            <w:tcW w:w="320" w:type="dxa"/>
            <w:vAlign w:val="bottom"/>
          </w:tcPr>
          <w:p>
            <w:pPr>
              <w:spacing w:after="0"/>
              <w:rPr>
                <w:sz w:val="15"/>
                <w:szCs w:val="15"/>
                <w:color w:val="auto"/>
              </w:rPr>
            </w:pPr>
          </w:p>
        </w:tc>
        <w:tc>
          <w:tcPr>
            <w:tcW w:w="1040" w:type="dxa"/>
            <w:vAlign w:val="bottom"/>
          </w:tcPr>
          <w:p>
            <w:pPr>
              <w:ind w:left="460"/>
              <w:spacing w:after="0" w:line="177" w:lineRule="exact"/>
              <w:rPr>
                <w:sz w:val="20"/>
                <w:szCs w:val="20"/>
                <w:color w:val="auto"/>
              </w:rPr>
            </w:pPr>
            <w:r>
              <w:rPr>
                <w:rFonts w:ascii="Times New Roman" w:cs="Times New Roman" w:eastAsia="Times New Roman" w:hAnsi="Times New Roman"/>
                <w:sz w:val="19"/>
                <w:szCs w:val="19"/>
                <w:color w:val="191919"/>
              </w:rPr>
              <w:t>Ò</w:t>
            </w:r>
          </w:p>
        </w:tc>
        <w:tc>
          <w:tcPr>
            <w:tcW w:w="106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104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tcPr>
          <w:p>
            <w:pPr>
              <w:jc w:val="center"/>
              <w:ind w:left="252"/>
              <w:spacing w:after="0"/>
              <w:rPr>
                <w:sz w:val="20"/>
                <w:szCs w:val="20"/>
                <w:color w:val="auto"/>
              </w:rPr>
            </w:pPr>
            <w:r>
              <w:rPr>
                <w:rFonts w:ascii="Arial" w:cs="Arial" w:eastAsia="Arial" w:hAnsi="Arial"/>
                <w:sz w:val="18"/>
                <w:szCs w:val="18"/>
                <w:color w:val="auto"/>
                <w:w w:val="98"/>
              </w:rPr>
              <w:t>Devices, Inc.</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shd w:val="clear" w:color="auto" w:fill="E8EDF4"/>
          </w:tcPr>
          <w:p>
            <w:pPr>
              <w:ind w:left="60"/>
              <w:spacing w:after="0"/>
              <w:rPr>
                <w:sz w:val="20"/>
                <w:szCs w:val="20"/>
                <w:color w:val="auto"/>
              </w:rPr>
            </w:pPr>
            <w:r>
              <w:rPr>
                <w:rFonts w:ascii="Arial" w:cs="Arial" w:eastAsia="Arial" w:hAnsi="Arial"/>
                <w:sz w:val="18"/>
                <w:szCs w:val="18"/>
                <w:color w:val="auto"/>
              </w:rPr>
              <w:t>Vincent Roche</w:t>
            </w:r>
          </w:p>
        </w:tc>
        <w:tc>
          <w:tcPr>
            <w:tcW w:w="540" w:type="dxa"/>
            <w:vAlign w:val="bottom"/>
            <w:shd w:val="clear" w:color="auto" w:fill="E8EDF4"/>
          </w:tcPr>
          <w:p>
            <w:pPr>
              <w:jc w:val="center"/>
              <w:ind w:left="13"/>
              <w:spacing w:after="0"/>
              <w:rPr>
                <w:sz w:val="20"/>
                <w:szCs w:val="20"/>
                <w:color w:val="auto"/>
              </w:rPr>
            </w:pPr>
            <w:r>
              <w:rPr>
                <w:rFonts w:ascii="Arial" w:cs="Arial" w:eastAsia="Arial" w:hAnsi="Arial"/>
                <w:sz w:val="18"/>
                <w:szCs w:val="18"/>
                <w:color w:val="auto"/>
                <w:w w:val="99"/>
              </w:rPr>
              <w:t>58</w:t>
            </w:r>
          </w:p>
        </w:tc>
        <w:tc>
          <w:tcPr>
            <w:tcW w:w="740" w:type="dxa"/>
            <w:vAlign w:val="bottom"/>
            <w:shd w:val="clear" w:color="auto" w:fill="E8EDF4"/>
          </w:tcPr>
          <w:p>
            <w:pPr>
              <w:ind w:left="180"/>
              <w:spacing w:after="0"/>
              <w:rPr>
                <w:sz w:val="20"/>
                <w:szCs w:val="20"/>
                <w:color w:val="auto"/>
              </w:rPr>
            </w:pPr>
            <w:r>
              <w:rPr>
                <w:rFonts w:ascii="Arial" w:cs="Arial" w:eastAsia="Arial" w:hAnsi="Arial"/>
                <w:sz w:val="18"/>
                <w:szCs w:val="18"/>
                <w:color w:val="auto"/>
              </w:rPr>
              <w:t>2013</w:t>
            </w:r>
          </w:p>
        </w:tc>
        <w:tc>
          <w:tcPr>
            <w:tcW w:w="32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8"/>
              </w:rPr>
              <w:t>President and Chief Executive Officer</w:t>
            </w:r>
          </w:p>
        </w:tc>
        <w:tc>
          <w:tcPr>
            <w:tcW w:w="1040" w:type="dxa"/>
            <w:vAlign w:val="bottom"/>
            <w:shd w:val="clear" w:color="auto" w:fill="E8EDF4"/>
          </w:tcPr>
          <w:p>
            <w:pPr>
              <w:ind w:left="460"/>
              <w:spacing w:after="0"/>
              <w:rPr>
                <w:sz w:val="20"/>
                <w:szCs w:val="20"/>
                <w:color w:val="auto"/>
              </w:rPr>
            </w:pPr>
            <w:r>
              <w:rPr>
                <w:rFonts w:ascii="Times New Roman" w:cs="Times New Roman" w:eastAsia="Times New Roman" w:hAnsi="Times New Roman"/>
                <w:sz w:val="19"/>
                <w:szCs w:val="19"/>
                <w:color w:val="191919"/>
              </w:rPr>
              <w:t>Ò</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1</w:t>
            </w:r>
          </w:p>
        </w:tc>
        <w:tc>
          <w:tcPr>
            <w:tcW w:w="104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shd w:val="clear" w:color="auto" w:fill="E8EDF4"/>
          </w:tcPr>
          <w:p>
            <w:pPr>
              <w:spacing w:after="0"/>
              <w:rPr>
                <w:sz w:val="19"/>
                <w:szCs w:val="19"/>
                <w:color w:val="auto"/>
              </w:rPr>
            </w:pPr>
          </w:p>
        </w:tc>
        <w:tc>
          <w:tcPr>
            <w:tcW w:w="540" w:type="dxa"/>
            <w:vAlign w:val="bottom"/>
            <w:shd w:val="clear" w:color="auto" w:fill="E8EDF4"/>
          </w:tcPr>
          <w:p>
            <w:pPr>
              <w:spacing w:after="0"/>
              <w:rPr>
                <w:sz w:val="19"/>
                <w:szCs w:val="19"/>
                <w:color w:val="auto"/>
              </w:rPr>
            </w:pPr>
          </w:p>
        </w:tc>
        <w:tc>
          <w:tcPr>
            <w:tcW w:w="740" w:type="dxa"/>
            <w:vAlign w:val="bottom"/>
            <w:shd w:val="clear" w:color="auto" w:fill="E8EDF4"/>
          </w:tcPr>
          <w:p>
            <w:pPr>
              <w:spacing w:after="0"/>
              <w:rPr>
                <w:sz w:val="19"/>
                <w:szCs w:val="19"/>
                <w:color w:val="auto"/>
              </w:rPr>
            </w:pPr>
          </w:p>
        </w:tc>
        <w:tc>
          <w:tcPr>
            <w:tcW w:w="2920" w:type="dxa"/>
            <w:vAlign w:val="bottom"/>
            <w:shd w:val="clear" w:color="auto" w:fill="E8EDF4"/>
          </w:tcPr>
          <w:p>
            <w:pPr>
              <w:jc w:val="center"/>
              <w:ind w:left="252"/>
              <w:spacing w:after="0"/>
              <w:rPr>
                <w:sz w:val="20"/>
                <w:szCs w:val="20"/>
                <w:color w:val="auto"/>
              </w:rPr>
            </w:pPr>
            <w:r>
              <w:rPr>
                <w:rFonts w:ascii="Arial" w:cs="Arial" w:eastAsia="Arial" w:hAnsi="Arial"/>
                <w:sz w:val="18"/>
                <w:szCs w:val="18"/>
                <w:color w:val="auto"/>
                <w:w w:val="98"/>
              </w:rPr>
              <w:t>of Analog Devices, Inc.</w:t>
            </w:r>
          </w:p>
        </w:tc>
        <w:tc>
          <w:tcPr>
            <w:tcW w:w="32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106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ind w:left="60"/>
              <w:spacing w:after="0"/>
              <w:rPr>
                <w:sz w:val="20"/>
                <w:szCs w:val="20"/>
                <w:color w:val="auto"/>
              </w:rPr>
            </w:pPr>
            <w:r>
              <w:rPr>
                <w:rFonts w:ascii="Arial" w:cs="Arial" w:eastAsia="Arial" w:hAnsi="Arial"/>
                <w:sz w:val="18"/>
                <w:szCs w:val="18"/>
                <w:color w:val="auto"/>
              </w:rPr>
              <w:t>James A. Champy</w:t>
            </w:r>
          </w:p>
        </w:tc>
        <w:tc>
          <w:tcPr>
            <w:tcW w:w="540" w:type="dxa"/>
            <w:vAlign w:val="bottom"/>
          </w:tcPr>
          <w:p>
            <w:pPr>
              <w:jc w:val="center"/>
              <w:ind w:left="13"/>
              <w:spacing w:after="0"/>
              <w:rPr>
                <w:sz w:val="20"/>
                <w:szCs w:val="20"/>
                <w:color w:val="auto"/>
              </w:rPr>
            </w:pPr>
            <w:r>
              <w:rPr>
                <w:rFonts w:ascii="Arial" w:cs="Arial" w:eastAsia="Arial" w:hAnsi="Arial"/>
                <w:sz w:val="18"/>
                <w:szCs w:val="18"/>
                <w:color w:val="auto"/>
                <w:w w:val="99"/>
              </w:rPr>
              <w:t>76</w:t>
            </w:r>
          </w:p>
        </w:tc>
        <w:tc>
          <w:tcPr>
            <w:tcW w:w="740" w:type="dxa"/>
            <w:vAlign w:val="bottom"/>
          </w:tcPr>
          <w:p>
            <w:pPr>
              <w:ind w:left="180"/>
              <w:spacing w:after="0"/>
              <w:rPr>
                <w:sz w:val="20"/>
                <w:szCs w:val="20"/>
                <w:color w:val="auto"/>
              </w:rPr>
            </w:pPr>
            <w:r>
              <w:rPr>
                <w:rFonts w:ascii="Arial" w:cs="Arial" w:eastAsia="Arial" w:hAnsi="Arial"/>
                <w:sz w:val="18"/>
                <w:szCs w:val="18"/>
                <w:color w:val="auto"/>
              </w:rPr>
              <w:t>2003</w:t>
            </w:r>
          </w:p>
        </w:tc>
        <w:tc>
          <w:tcPr>
            <w:tcW w:w="2920" w:type="dxa"/>
            <w:vAlign w:val="bottom"/>
          </w:tcPr>
          <w:p>
            <w:pPr>
              <w:jc w:val="center"/>
              <w:ind w:left="252"/>
              <w:spacing w:after="0"/>
              <w:rPr>
                <w:sz w:val="20"/>
                <w:szCs w:val="20"/>
                <w:color w:val="auto"/>
              </w:rPr>
            </w:pPr>
            <w:r>
              <w:rPr>
                <w:rFonts w:ascii="Arial" w:cs="Arial" w:eastAsia="Arial" w:hAnsi="Arial"/>
                <w:sz w:val="18"/>
                <w:szCs w:val="18"/>
                <w:color w:val="auto"/>
                <w:w w:val="98"/>
              </w:rPr>
              <w:t>Former Vice President of the</w:t>
            </w:r>
          </w:p>
        </w:tc>
        <w:tc>
          <w:tcPr>
            <w:tcW w:w="320" w:type="dxa"/>
            <w:vAlign w:val="bottom"/>
          </w:tcPr>
          <w:p>
            <w:pPr>
              <w:spacing w:after="0"/>
              <w:rPr>
                <w:sz w:val="20"/>
                <w:szCs w:val="20"/>
                <w:color w:val="auto"/>
              </w:rPr>
            </w:pPr>
          </w:p>
        </w:tc>
        <w:tc>
          <w:tcPr>
            <w:tcW w:w="1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8"/>
              </w:rPr>
              <w:t>NCGC</w:t>
            </w: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8"/>
              </w:rPr>
              <w:t>Dell/Perot Systems business unit of</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160"/>
              <w:spacing w:after="0" w:line="201" w:lineRule="exact"/>
              <w:rPr>
                <w:sz w:val="20"/>
                <w:szCs w:val="20"/>
                <w:color w:val="auto"/>
              </w:rPr>
            </w:pPr>
            <w:r>
              <w:rPr>
                <w:rFonts w:ascii="Arial" w:cs="Arial" w:eastAsia="Arial" w:hAnsi="Arial"/>
                <w:sz w:val="18"/>
                <w:szCs w:val="18"/>
                <w:color w:val="auto"/>
                <w:w w:val="98"/>
              </w:rPr>
              <w:t>(Chair)</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tcPr>
          <w:p>
            <w:pPr>
              <w:jc w:val="center"/>
              <w:ind w:left="232"/>
              <w:spacing w:after="0"/>
              <w:rPr>
                <w:sz w:val="20"/>
                <w:szCs w:val="20"/>
                <w:color w:val="auto"/>
              </w:rPr>
            </w:pPr>
            <w:r>
              <w:rPr>
                <w:rFonts w:ascii="Arial" w:cs="Arial" w:eastAsia="Arial" w:hAnsi="Arial"/>
                <w:sz w:val="18"/>
                <w:szCs w:val="18"/>
                <w:color w:val="auto"/>
                <w:w w:val="97"/>
              </w:rPr>
              <w:t>Dell, Inc.</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shd w:val="clear" w:color="auto" w:fill="E8EDF4"/>
          </w:tcPr>
          <w:p>
            <w:pPr>
              <w:ind w:left="60"/>
              <w:spacing w:after="0"/>
              <w:rPr>
                <w:sz w:val="20"/>
                <w:szCs w:val="20"/>
                <w:color w:val="auto"/>
              </w:rPr>
            </w:pPr>
            <w:r>
              <w:rPr>
                <w:rFonts w:ascii="Arial" w:cs="Arial" w:eastAsia="Arial" w:hAnsi="Arial"/>
                <w:sz w:val="18"/>
                <w:szCs w:val="18"/>
                <w:color w:val="auto"/>
              </w:rPr>
              <w:t>Anantha P. Chandrakasan</w:t>
            </w:r>
          </w:p>
        </w:tc>
        <w:tc>
          <w:tcPr>
            <w:tcW w:w="540" w:type="dxa"/>
            <w:vAlign w:val="bottom"/>
            <w:shd w:val="clear" w:color="auto" w:fill="E8EDF4"/>
          </w:tcPr>
          <w:p>
            <w:pPr>
              <w:jc w:val="center"/>
              <w:ind w:left="13"/>
              <w:spacing w:after="0"/>
              <w:rPr>
                <w:sz w:val="20"/>
                <w:szCs w:val="20"/>
                <w:color w:val="auto"/>
              </w:rPr>
            </w:pPr>
            <w:r>
              <w:rPr>
                <w:rFonts w:ascii="Arial" w:cs="Arial" w:eastAsia="Arial" w:hAnsi="Arial"/>
                <w:sz w:val="18"/>
                <w:szCs w:val="18"/>
                <w:color w:val="auto"/>
                <w:w w:val="99"/>
              </w:rPr>
              <w:t>50</w:t>
            </w:r>
          </w:p>
        </w:tc>
        <w:tc>
          <w:tcPr>
            <w:tcW w:w="740" w:type="dxa"/>
            <w:vAlign w:val="bottom"/>
            <w:shd w:val="clear" w:color="auto" w:fill="E8EDF4"/>
          </w:tcPr>
          <w:p>
            <w:pPr>
              <w:ind w:left="180"/>
              <w:spacing w:after="0"/>
              <w:rPr>
                <w:sz w:val="20"/>
                <w:szCs w:val="20"/>
                <w:color w:val="auto"/>
              </w:rPr>
            </w:pPr>
            <w:r>
              <w:rPr>
                <w:rFonts w:ascii="Arial" w:cs="Arial" w:eastAsia="Arial" w:hAnsi="Arial"/>
                <w:sz w:val="18"/>
                <w:szCs w:val="18"/>
                <w:color w:val="auto"/>
              </w:rPr>
              <w:t>2019</w:t>
            </w:r>
          </w:p>
        </w:tc>
        <w:tc>
          <w:tcPr>
            <w:tcW w:w="32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8"/>
              </w:rPr>
              <w:t>Dean of MIT’s School of Engineering</w:t>
            </w:r>
          </w:p>
        </w:tc>
        <w:tc>
          <w:tcPr>
            <w:tcW w:w="1040" w:type="dxa"/>
            <w:vAlign w:val="bottom"/>
            <w:shd w:val="clear" w:color="auto" w:fill="E8EDF4"/>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shd w:val="clear" w:color="auto" w:fill="E8EDF4"/>
          </w:tcPr>
          <w:p>
            <w:pPr>
              <w:spacing w:after="0"/>
              <w:rPr>
                <w:sz w:val="17"/>
                <w:szCs w:val="17"/>
                <w:color w:val="auto"/>
              </w:rPr>
            </w:pPr>
          </w:p>
        </w:tc>
        <w:tc>
          <w:tcPr>
            <w:tcW w:w="54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2920" w:type="dxa"/>
            <w:vAlign w:val="bottom"/>
            <w:shd w:val="clear" w:color="auto" w:fill="E8EDF4"/>
          </w:tcPr>
          <w:p>
            <w:pPr>
              <w:jc w:val="center"/>
              <w:ind w:left="232"/>
              <w:spacing w:after="0" w:line="201" w:lineRule="exact"/>
              <w:rPr>
                <w:sz w:val="20"/>
                <w:szCs w:val="20"/>
                <w:color w:val="auto"/>
              </w:rPr>
            </w:pPr>
            <w:r>
              <w:rPr>
                <w:rFonts w:ascii="Arial" w:cs="Arial" w:eastAsia="Arial" w:hAnsi="Arial"/>
                <w:sz w:val="18"/>
                <w:szCs w:val="18"/>
                <w:color w:val="auto"/>
                <w:w w:val="98"/>
              </w:rPr>
              <w:t>and Vannevar Bush Professor of</w:t>
            </w:r>
          </w:p>
        </w:tc>
        <w:tc>
          <w:tcPr>
            <w:tcW w:w="32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shd w:val="clear" w:color="auto" w:fill="E8EDF4"/>
          </w:tcPr>
          <w:p>
            <w:pPr>
              <w:spacing w:after="0"/>
              <w:rPr>
                <w:sz w:val="17"/>
                <w:szCs w:val="17"/>
                <w:color w:val="auto"/>
              </w:rPr>
            </w:pPr>
          </w:p>
        </w:tc>
        <w:tc>
          <w:tcPr>
            <w:tcW w:w="54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240" w:type="dxa"/>
            <w:vAlign w:val="bottom"/>
            <w:gridSpan w:val="2"/>
            <w:shd w:val="clear" w:color="auto" w:fill="E8EDF4"/>
          </w:tcPr>
          <w:p>
            <w:pPr>
              <w:jc w:val="center"/>
              <w:spacing w:after="0" w:line="201" w:lineRule="exact"/>
              <w:rPr>
                <w:sz w:val="20"/>
                <w:szCs w:val="20"/>
                <w:color w:val="auto"/>
              </w:rPr>
            </w:pPr>
            <w:r>
              <w:rPr>
                <w:rFonts w:ascii="Arial" w:cs="Arial" w:eastAsia="Arial" w:hAnsi="Arial"/>
                <w:sz w:val="18"/>
                <w:szCs w:val="18"/>
                <w:color w:val="auto"/>
                <w:w w:val="98"/>
              </w:rPr>
              <w:t>Electrical Engineering and Computer</w:t>
            </w:r>
          </w:p>
        </w:tc>
        <w:tc>
          <w:tcPr>
            <w:tcW w:w="104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shd w:val="clear" w:color="auto" w:fill="E8EDF4"/>
          </w:tcPr>
          <w:p>
            <w:pPr>
              <w:spacing w:after="0"/>
              <w:rPr>
                <w:sz w:val="19"/>
                <w:szCs w:val="19"/>
                <w:color w:val="auto"/>
              </w:rPr>
            </w:pPr>
          </w:p>
        </w:tc>
        <w:tc>
          <w:tcPr>
            <w:tcW w:w="540" w:type="dxa"/>
            <w:vAlign w:val="bottom"/>
            <w:shd w:val="clear" w:color="auto" w:fill="E8EDF4"/>
          </w:tcPr>
          <w:p>
            <w:pPr>
              <w:spacing w:after="0"/>
              <w:rPr>
                <w:sz w:val="19"/>
                <w:szCs w:val="19"/>
                <w:color w:val="auto"/>
              </w:rPr>
            </w:pPr>
          </w:p>
        </w:tc>
        <w:tc>
          <w:tcPr>
            <w:tcW w:w="740" w:type="dxa"/>
            <w:vAlign w:val="bottom"/>
            <w:shd w:val="clear" w:color="auto" w:fill="E8EDF4"/>
          </w:tcPr>
          <w:p>
            <w:pPr>
              <w:spacing w:after="0"/>
              <w:rPr>
                <w:sz w:val="19"/>
                <w:szCs w:val="19"/>
                <w:color w:val="auto"/>
              </w:rPr>
            </w:pPr>
          </w:p>
        </w:tc>
        <w:tc>
          <w:tcPr>
            <w:tcW w:w="2920" w:type="dxa"/>
            <w:vAlign w:val="bottom"/>
            <w:shd w:val="clear" w:color="auto" w:fill="E8EDF4"/>
          </w:tcPr>
          <w:p>
            <w:pPr>
              <w:jc w:val="center"/>
              <w:ind w:left="232"/>
              <w:spacing w:after="0"/>
              <w:rPr>
                <w:sz w:val="20"/>
                <w:szCs w:val="20"/>
                <w:color w:val="auto"/>
              </w:rPr>
            </w:pPr>
            <w:r>
              <w:rPr>
                <w:rFonts w:ascii="Arial" w:cs="Arial" w:eastAsia="Arial" w:hAnsi="Arial"/>
                <w:sz w:val="18"/>
                <w:szCs w:val="18"/>
                <w:color w:val="auto"/>
                <w:w w:val="99"/>
              </w:rPr>
              <w:t>Science</w:t>
            </w:r>
          </w:p>
        </w:tc>
        <w:tc>
          <w:tcPr>
            <w:tcW w:w="32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106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ind w:left="60"/>
              <w:spacing w:after="0"/>
              <w:rPr>
                <w:sz w:val="20"/>
                <w:szCs w:val="20"/>
                <w:color w:val="auto"/>
              </w:rPr>
            </w:pPr>
            <w:r>
              <w:rPr>
                <w:rFonts w:ascii="Arial" w:cs="Arial" w:eastAsia="Arial" w:hAnsi="Arial"/>
                <w:sz w:val="18"/>
                <w:szCs w:val="18"/>
                <w:color w:val="auto"/>
              </w:rPr>
              <w:t>Bruce R. Evans</w:t>
            </w:r>
          </w:p>
        </w:tc>
        <w:tc>
          <w:tcPr>
            <w:tcW w:w="540" w:type="dxa"/>
            <w:vAlign w:val="bottom"/>
          </w:tcPr>
          <w:p>
            <w:pPr>
              <w:jc w:val="center"/>
              <w:ind w:left="13"/>
              <w:spacing w:after="0"/>
              <w:rPr>
                <w:sz w:val="20"/>
                <w:szCs w:val="20"/>
                <w:color w:val="auto"/>
              </w:rPr>
            </w:pPr>
            <w:r>
              <w:rPr>
                <w:rFonts w:ascii="Arial" w:cs="Arial" w:eastAsia="Arial" w:hAnsi="Arial"/>
                <w:sz w:val="18"/>
                <w:szCs w:val="18"/>
                <w:color w:val="auto"/>
                <w:w w:val="99"/>
              </w:rPr>
              <w:t>59</w:t>
            </w:r>
          </w:p>
        </w:tc>
        <w:tc>
          <w:tcPr>
            <w:tcW w:w="740" w:type="dxa"/>
            <w:vAlign w:val="bottom"/>
          </w:tcPr>
          <w:p>
            <w:pPr>
              <w:ind w:left="180"/>
              <w:spacing w:after="0"/>
              <w:rPr>
                <w:sz w:val="20"/>
                <w:szCs w:val="20"/>
                <w:color w:val="auto"/>
              </w:rPr>
            </w:pPr>
            <w:r>
              <w:rPr>
                <w:rFonts w:ascii="Arial" w:cs="Arial" w:eastAsia="Arial" w:hAnsi="Arial"/>
                <w:sz w:val="18"/>
                <w:szCs w:val="18"/>
                <w:color w:val="auto"/>
              </w:rPr>
              <w:t>2015</w:t>
            </w:r>
          </w:p>
        </w:tc>
        <w:tc>
          <w:tcPr>
            <w:tcW w:w="3240" w:type="dxa"/>
            <w:vAlign w:val="bottom"/>
            <w:gridSpan w:val="2"/>
          </w:tcPr>
          <w:p>
            <w:pPr>
              <w:jc w:val="center"/>
              <w:spacing w:after="0"/>
              <w:rPr>
                <w:sz w:val="20"/>
                <w:szCs w:val="20"/>
                <w:color w:val="auto"/>
              </w:rPr>
            </w:pPr>
            <w:r>
              <w:rPr>
                <w:rFonts w:ascii="Arial" w:cs="Arial" w:eastAsia="Arial" w:hAnsi="Arial"/>
                <w:sz w:val="18"/>
                <w:szCs w:val="18"/>
                <w:color w:val="auto"/>
                <w:w w:val="98"/>
              </w:rPr>
              <w:t>Chairman of the Board of Summit</w:t>
            </w:r>
          </w:p>
        </w:tc>
        <w:tc>
          <w:tcPr>
            <w:tcW w:w="1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AC</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tcPr>
          <w:p>
            <w:pPr>
              <w:jc w:val="center"/>
              <w:ind w:left="232"/>
              <w:spacing w:after="0"/>
              <w:rPr>
                <w:sz w:val="20"/>
                <w:szCs w:val="20"/>
                <w:color w:val="auto"/>
              </w:rPr>
            </w:pPr>
            <w:r>
              <w:rPr>
                <w:rFonts w:ascii="Arial" w:cs="Arial" w:eastAsia="Arial" w:hAnsi="Arial"/>
                <w:sz w:val="18"/>
                <w:szCs w:val="18"/>
                <w:color w:val="auto"/>
                <w:w w:val="99"/>
              </w:rPr>
              <w:t>Partners and Senior Advisor</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shd w:val="clear" w:color="auto" w:fill="E8EDF4"/>
          </w:tcPr>
          <w:p>
            <w:pPr>
              <w:ind w:left="60"/>
              <w:spacing w:after="0"/>
              <w:rPr>
                <w:sz w:val="20"/>
                <w:szCs w:val="20"/>
                <w:color w:val="auto"/>
              </w:rPr>
            </w:pPr>
            <w:r>
              <w:rPr>
                <w:rFonts w:ascii="Arial" w:cs="Arial" w:eastAsia="Arial" w:hAnsi="Arial"/>
                <w:sz w:val="18"/>
                <w:szCs w:val="18"/>
                <w:color w:val="auto"/>
              </w:rPr>
              <w:t>Edward H. Frank</w:t>
            </w:r>
          </w:p>
        </w:tc>
        <w:tc>
          <w:tcPr>
            <w:tcW w:w="540" w:type="dxa"/>
            <w:vAlign w:val="bottom"/>
            <w:shd w:val="clear" w:color="auto" w:fill="E8EDF4"/>
          </w:tcPr>
          <w:p>
            <w:pPr>
              <w:jc w:val="center"/>
              <w:ind w:left="13"/>
              <w:spacing w:after="0"/>
              <w:rPr>
                <w:sz w:val="20"/>
                <w:szCs w:val="20"/>
                <w:color w:val="auto"/>
              </w:rPr>
            </w:pPr>
            <w:r>
              <w:rPr>
                <w:rFonts w:ascii="Arial" w:cs="Arial" w:eastAsia="Arial" w:hAnsi="Arial"/>
                <w:sz w:val="18"/>
                <w:szCs w:val="18"/>
                <w:color w:val="auto"/>
                <w:w w:val="99"/>
              </w:rPr>
              <w:t>62</w:t>
            </w:r>
          </w:p>
        </w:tc>
        <w:tc>
          <w:tcPr>
            <w:tcW w:w="740" w:type="dxa"/>
            <w:vAlign w:val="bottom"/>
            <w:shd w:val="clear" w:color="auto" w:fill="E8EDF4"/>
          </w:tcPr>
          <w:p>
            <w:pPr>
              <w:ind w:left="180"/>
              <w:spacing w:after="0"/>
              <w:rPr>
                <w:sz w:val="20"/>
                <w:szCs w:val="20"/>
                <w:color w:val="auto"/>
              </w:rPr>
            </w:pPr>
            <w:r>
              <w:rPr>
                <w:rFonts w:ascii="Arial" w:cs="Arial" w:eastAsia="Arial" w:hAnsi="Arial"/>
                <w:sz w:val="18"/>
                <w:szCs w:val="18"/>
                <w:color w:val="auto"/>
              </w:rPr>
              <w:t>2014</w:t>
            </w:r>
          </w:p>
        </w:tc>
        <w:tc>
          <w:tcPr>
            <w:tcW w:w="32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8"/>
              </w:rPr>
              <w:t>Co-Founder and former CEO of Cloud</w:t>
            </w:r>
          </w:p>
        </w:tc>
        <w:tc>
          <w:tcPr>
            <w:tcW w:w="1040" w:type="dxa"/>
            <w:vAlign w:val="bottom"/>
            <w:shd w:val="clear" w:color="auto" w:fill="E8EDF4"/>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2</w:t>
            </w:r>
          </w:p>
        </w:tc>
        <w:tc>
          <w:tcPr>
            <w:tcW w:w="104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8"/>
              </w:rPr>
              <w:t>CC, NCGC</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shd w:val="clear" w:color="auto" w:fill="E8EDF4"/>
          </w:tcPr>
          <w:p>
            <w:pPr>
              <w:spacing w:after="0"/>
              <w:rPr>
                <w:sz w:val="19"/>
                <w:szCs w:val="19"/>
                <w:color w:val="auto"/>
              </w:rPr>
            </w:pPr>
          </w:p>
        </w:tc>
        <w:tc>
          <w:tcPr>
            <w:tcW w:w="540" w:type="dxa"/>
            <w:vAlign w:val="bottom"/>
            <w:shd w:val="clear" w:color="auto" w:fill="E8EDF4"/>
          </w:tcPr>
          <w:p>
            <w:pPr>
              <w:spacing w:after="0"/>
              <w:rPr>
                <w:sz w:val="19"/>
                <w:szCs w:val="19"/>
                <w:color w:val="auto"/>
              </w:rPr>
            </w:pPr>
          </w:p>
        </w:tc>
        <w:tc>
          <w:tcPr>
            <w:tcW w:w="740" w:type="dxa"/>
            <w:vAlign w:val="bottom"/>
            <w:shd w:val="clear" w:color="auto" w:fill="E8EDF4"/>
          </w:tcPr>
          <w:p>
            <w:pPr>
              <w:spacing w:after="0"/>
              <w:rPr>
                <w:sz w:val="19"/>
                <w:szCs w:val="19"/>
                <w:color w:val="auto"/>
              </w:rPr>
            </w:pPr>
          </w:p>
        </w:tc>
        <w:tc>
          <w:tcPr>
            <w:tcW w:w="2920" w:type="dxa"/>
            <w:vAlign w:val="bottom"/>
            <w:shd w:val="clear" w:color="auto" w:fill="E8EDF4"/>
          </w:tcPr>
          <w:p>
            <w:pPr>
              <w:jc w:val="center"/>
              <w:ind w:left="232"/>
              <w:spacing w:after="0"/>
              <w:rPr>
                <w:sz w:val="20"/>
                <w:szCs w:val="20"/>
                <w:color w:val="auto"/>
              </w:rPr>
            </w:pPr>
            <w:r>
              <w:rPr>
                <w:rFonts w:ascii="Arial" w:cs="Arial" w:eastAsia="Arial" w:hAnsi="Arial"/>
                <w:sz w:val="18"/>
                <w:szCs w:val="18"/>
                <w:color w:val="auto"/>
                <w:w w:val="95"/>
              </w:rPr>
              <w:t>Parity</w:t>
            </w:r>
          </w:p>
        </w:tc>
        <w:tc>
          <w:tcPr>
            <w:tcW w:w="32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106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ind w:left="60"/>
              <w:spacing w:after="0"/>
              <w:rPr>
                <w:sz w:val="20"/>
                <w:szCs w:val="20"/>
                <w:color w:val="auto"/>
              </w:rPr>
            </w:pPr>
            <w:r>
              <w:rPr>
                <w:rFonts w:ascii="Arial" w:cs="Arial" w:eastAsia="Arial" w:hAnsi="Arial"/>
                <w:sz w:val="18"/>
                <w:szCs w:val="18"/>
                <w:color w:val="auto"/>
              </w:rPr>
              <w:t>Karen M. Golz</w:t>
            </w:r>
          </w:p>
        </w:tc>
        <w:tc>
          <w:tcPr>
            <w:tcW w:w="540" w:type="dxa"/>
            <w:vAlign w:val="bottom"/>
          </w:tcPr>
          <w:p>
            <w:pPr>
              <w:jc w:val="center"/>
              <w:ind w:left="13"/>
              <w:spacing w:after="0"/>
              <w:rPr>
                <w:sz w:val="20"/>
                <w:szCs w:val="20"/>
                <w:color w:val="auto"/>
              </w:rPr>
            </w:pPr>
            <w:r>
              <w:rPr>
                <w:rFonts w:ascii="Arial" w:cs="Arial" w:eastAsia="Arial" w:hAnsi="Arial"/>
                <w:sz w:val="18"/>
                <w:szCs w:val="18"/>
                <w:color w:val="auto"/>
                <w:w w:val="99"/>
              </w:rPr>
              <w:t>64</w:t>
            </w:r>
          </w:p>
        </w:tc>
        <w:tc>
          <w:tcPr>
            <w:tcW w:w="740" w:type="dxa"/>
            <w:vAlign w:val="bottom"/>
          </w:tcPr>
          <w:p>
            <w:pPr>
              <w:ind w:left="180"/>
              <w:spacing w:after="0"/>
              <w:rPr>
                <w:sz w:val="20"/>
                <w:szCs w:val="20"/>
                <w:color w:val="auto"/>
              </w:rPr>
            </w:pPr>
            <w:r>
              <w:rPr>
                <w:rFonts w:ascii="Arial" w:cs="Arial" w:eastAsia="Arial" w:hAnsi="Arial"/>
                <w:sz w:val="18"/>
                <w:szCs w:val="18"/>
                <w:color w:val="auto"/>
              </w:rPr>
              <w:t>2018</w:t>
            </w:r>
          </w:p>
        </w:tc>
        <w:tc>
          <w:tcPr>
            <w:tcW w:w="2920" w:type="dxa"/>
            <w:vAlign w:val="bottom"/>
          </w:tcPr>
          <w:p>
            <w:pPr>
              <w:jc w:val="center"/>
              <w:ind w:left="232"/>
              <w:spacing w:after="0"/>
              <w:rPr>
                <w:sz w:val="20"/>
                <w:szCs w:val="20"/>
                <w:color w:val="auto"/>
              </w:rPr>
            </w:pPr>
            <w:r>
              <w:rPr>
                <w:rFonts w:ascii="Arial" w:cs="Arial" w:eastAsia="Arial" w:hAnsi="Arial"/>
                <w:sz w:val="18"/>
                <w:szCs w:val="18"/>
                <w:color w:val="auto"/>
                <w:w w:val="98"/>
              </w:rPr>
              <w:t>Former Global Vice Chair</w:t>
            </w:r>
          </w:p>
        </w:tc>
        <w:tc>
          <w:tcPr>
            <w:tcW w:w="320" w:type="dxa"/>
            <w:vAlign w:val="bottom"/>
          </w:tcPr>
          <w:p>
            <w:pPr>
              <w:spacing w:after="0"/>
              <w:rPr>
                <w:sz w:val="20"/>
                <w:szCs w:val="20"/>
                <w:color w:val="auto"/>
              </w:rPr>
            </w:pPr>
          </w:p>
        </w:tc>
        <w:tc>
          <w:tcPr>
            <w:tcW w:w="1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rPr>
              <w:t>AC</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20" w:type="dxa"/>
            <w:vAlign w:val="bottom"/>
          </w:tcPr>
          <w:p>
            <w:pPr>
              <w:jc w:val="center"/>
              <w:ind w:left="232"/>
              <w:spacing w:after="0"/>
              <w:rPr>
                <w:sz w:val="20"/>
                <w:szCs w:val="20"/>
                <w:color w:val="auto"/>
              </w:rPr>
            </w:pPr>
            <w:r>
              <w:rPr>
                <w:rFonts w:ascii="Arial" w:cs="Arial" w:eastAsia="Arial" w:hAnsi="Arial"/>
                <w:sz w:val="18"/>
                <w:szCs w:val="18"/>
                <w:color w:val="auto"/>
                <w:w w:val="96"/>
              </w:rPr>
              <w:t>Ernst &amp; Young</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shd w:val="clear" w:color="auto" w:fill="E8EDF4"/>
          </w:tcPr>
          <w:p>
            <w:pPr>
              <w:ind w:left="60"/>
              <w:spacing w:after="0"/>
              <w:rPr>
                <w:sz w:val="20"/>
                <w:szCs w:val="20"/>
                <w:color w:val="auto"/>
              </w:rPr>
            </w:pPr>
            <w:r>
              <w:rPr>
                <w:rFonts w:ascii="Arial" w:cs="Arial" w:eastAsia="Arial" w:hAnsi="Arial"/>
                <w:sz w:val="18"/>
                <w:szCs w:val="18"/>
                <w:color w:val="auto"/>
              </w:rPr>
              <w:t>Mark M. Little</w:t>
            </w:r>
          </w:p>
        </w:tc>
        <w:tc>
          <w:tcPr>
            <w:tcW w:w="540" w:type="dxa"/>
            <w:vAlign w:val="bottom"/>
            <w:shd w:val="clear" w:color="auto" w:fill="E8EDF4"/>
          </w:tcPr>
          <w:p>
            <w:pPr>
              <w:jc w:val="center"/>
              <w:ind w:left="13"/>
              <w:spacing w:after="0"/>
              <w:rPr>
                <w:sz w:val="20"/>
                <w:szCs w:val="20"/>
                <w:color w:val="auto"/>
              </w:rPr>
            </w:pPr>
            <w:r>
              <w:rPr>
                <w:rFonts w:ascii="Arial" w:cs="Arial" w:eastAsia="Arial" w:hAnsi="Arial"/>
                <w:sz w:val="18"/>
                <w:szCs w:val="18"/>
                <w:color w:val="auto"/>
                <w:w w:val="99"/>
              </w:rPr>
              <w:t>66</w:t>
            </w:r>
          </w:p>
        </w:tc>
        <w:tc>
          <w:tcPr>
            <w:tcW w:w="740" w:type="dxa"/>
            <w:vAlign w:val="bottom"/>
            <w:shd w:val="clear" w:color="auto" w:fill="E8EDF4"/>
          </w:tcPr>
          <w:p>
            <w:pPr>
              <w:ind w:left="180"/>
              <w:spacing w:after="0"/>
              <w:rPr>
                <w:sz w:val="20"/>
                <w:szCs w:val="20"/>
                <w:color w:val="auto"/>
              </w:rPr>
            </w:pPr>
            <w:r>
              <w:rPr>
                <w:rFonts w:ascii="Arial" w:cs="Arial" w:eastAsia="Arial" w:hAnsi="Arial"/>
                <w:sz w:val="18"/>
                <w:szCs w:val="18"/>
                <w:color w:val="auto"/>
              </w:rPr>
              <w:t>2017</w:t>
            </w:r>
          </w:p>
        </w:tc>
        <w:tc>
          <w:tcPr>
            <w:tcW w:w="32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7"/>
              </w:rPr>
              <w:t>Former SVP, GE Global Research &amp;</w:t>
            </w:r>
          </w:p>
        </w:tc>
        <w:tc>
          <w:tcPr>
            <w:tcW w:w="1040" w:type="dxa"/>
            <w:vAlign w:val="bottom"/>
            <w:shd w:val="clear" w:color="auto" w:fill="E8EDF4"/>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AC</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shd w:val="clear" w:color="auto" w:fill="E8EDF4"/>
          </w:tcPr>
          <w:p>
            <w:pPr>
              <w:spacing w:after="0"/>
              <w:rPr>
                <w:sz w:val="17"/>
                <w:szCs w:val="17"/>
                <w:color w:val="auto"/>
              </w:rPr>
            </w:pPr>
          </w:p>
        </w:tc>
        <w:tc>
          <w:tcPr>
            <w:tcW w:w="540" w:type="dxa"/>
            <w:vAlign w:val="bottom"/>
            <w:shd w:val="clear" w:color="auto" w:fill="E8EDF4"/>
          </w:tcPr>
          <w:p>
            <w:pPr>
              <w:spacing w:after="0"/>
              <w:rPr>
                <w:sz w:val="17"/>
                <w:szCs w:val="17"/>
                <w:color w:val="auto"/>
              </w:rPr>
            </w:pPr>
          </w:p>
        </w:tc>
        <w:tc>
          <w:tcPr>
            <w:tcW w:w="740" w:type="dxa"/>
            <w:vAlign w:val="bottom"/>
            <w:shd w:val="clear" w:color="auto" w:fill="E8EDF4"/>
          </w:tcPr>
          <w:p>
            <w:pPr>
              <w:spacing w:after="0"/>
              <w:rPr>
                <w:sz w:val="17"/>
                <w:szCs w:val="17"/>
                <w:color w:val="auto"/>
              </w:rPr>
            </w:pPr>
          </w:p>
        </w:tc>
        <w:tc>
          <w:tcPr>
            <w:tcW w:w="3240" w:type="dxa"/>
            <w:vAlign w:val="bottom"/>
            <w:gridSpan w:val="2"/>
            <w:shd w:val="clear" w:color="auto" w:fill="E8EDF4"/>
          </w:tcPr>
          <w:p>
            <w:pPr>
              <w:jc w:val="center"/>
              <w:spacing w:after="0" w:line="201" w:lineRule="exact"/>
              <w:rPr>
                <w:sz w:val="20"/>
                <w:szCs w:val="20"/>
                <w:color w:val="auto"/>
              </w:rPr>
            </w:pPr>
            <w:r>
              <w:rPr>
                <w:rFonts w:ascii="Arial" w:cs="Arial" w:eastAsia="Arial" w:hAnsi="Arial"/>
                <w:sz w:val="18"/>
                <w:szCs w:val="18"/>
                <w:color w:val="auto"/>
                <w:w w:val="97"/>
              </w:rPr>
              <w:t>Chief Technology Officer of General</w:t>
            </w:r>
          </w:p>
        </w:tc>
        <w:tc>
          <w:tcPr>
            <w:tcW w:w="1040" w:type="dxa"/>
            <w:vAlign w:val="bottom"/>
            <w:shd w:val="clear" w:color="auto" w:fill="E8EDF4"/>
          </w:tcPr>
          <w:p>
            <w:pPr>
              <w:spacing w:after="0"/>
              <w:rPr>
                <w:sz w:val="17"/>
                <w:szCs w:val="17"/>
                <w:color w:val="auto"/>
              </w:rPr>
            </w:pPr>
          </w:p>
        </w:tc>
        <w:tc>
          <w:tcPr>
            <w:tcW w:w="1060" w:type="dxa"/>
            <w:vAlign w:val="bottom"/>
            <w:shd w:val="clear" w:color="auto" w:fill="E8EDF4"/>
          </w:tcPr>
          <w:p>
            <w:pPr>
              <w:spacing w:after="0"/>
              <w:rPr>
                <w:sz w:val="17"/>
                <w:szCs w:val="17"/>
                <w:color w:val="auto"/>
              </w:rPr>
            </w:pPr>
          </w:p>
        </w:tc>
        <w:tc>
          <w:tcPr>
            <w:tcW w:w="1040" w:type="dxa"/>
            <w:vAlign w:val="bottom"/>
            <w:shd w:val="clear" w:color="auto" w:fill="E8EDF4"/>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shd w:val="clear" w:color="auto" w:fill="E8EDF4"/>
          </w:tcPr>
          <w:p>
            <w:pPr>
              <w:spacing w:after="0"/>
              <w:rPr>
                <w:sz w:val="19"/>
                <w:szCs w:val="19"/>
                <w:color w:val="auto"/>
              </w:rPr>
            </w:pPr>
          </w:p>
        </w:tc>
        <w:tc>
          <w:tcPr>
            <w:tcW w:w="540" w:type="dxa"/>
            <w:vAlign w:val="bottom"/>
            <w:shd w:val="clear" w:color="auto" w:fill="E8EDF4"/>
          </w:tcPr>
          <w:p>
            <w:pPr>
              <w:spacing w:after="0"/>
              <w:rPr>
                <w:sz w:val="19"/>
                <w:szCs w:val="19"/>
                <w:color w:val="auto"/>
              </w:rPr>
            </w:pPr>
          </w:p>
        </w:tc>
        <w:tc>
          <w:tcPr>
            <w:tcW w:w="740" w:type="dxa"/>
            <w:vAlign w:val="bottom"/>
            <w:shd w:val="clear" w:color="auto" w:fill="E8EDF4"/>
          </w:tcPr>
          <w:p>
            <w:pPr>
              <w:spacing w:after="0"/>
              <w:rPr>
                <w:sz w:val="19"/>
                <w:szCs w:val="19"/>
                <w:color w:val="auto"/>
              </w:rPr>
            </w:pPr>
          </w:p>
        </w:tc>
        <w:tc>
          <w:tcPr>
            <w:tcW w:w="2920" w:type="dxa"/>
            <w:vAlign w:val="bottom"/>
            <w:shd w:val="clear" w:color="auto" w:fill="E8EDF4"/>
          </w:tcPr>
          <w:p>
            <w:pPr>
              <w:jc w:val="center"/>
              <w:ind w:left="232"/>
              <w:spacing w:after="0"/>
              <w:rPr>
                <w:sz w:val="20"/>
                <w:szCs w:val="20"/>
                <w:color w:val="auto"/>
              </w:rPr>
            </w:pPr>
            <w:r>
              <w:rPr>
                <w:rFonts w:ascii="Arial" w:cs="Arial" w:eastAsia="Arial" w:hAnsi="Arial"/>
                <w:sz w:val="18"/>
                <w:szCs w:val="18"/>
                <w:color w:val="auto"/>
                <w:w w:val="99"/>
              </w:rPr>
              <w:t>Electric Company</w:t>
            </w:r>
          </w:p>
        </w:tc>
        <w:tc>
          <w:tcPr>
            <w:tcW w:w="32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106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ind w:left="60"/>
              <w:spacing w:after="0"/>
              <w:rPr>
                <w:sz w:val="20"/>
                <w:szCs w:val="20"/>
                <w:color w:val="auto"/>
              </w:rPr>
            </w:pPr>
            <w:r>
              <w:rPr>
                <w:rFonts w:ascii="Arial" w:cs="Arial" w:eastAsia="Arial" w:hAnsi="Arial"/>
                <w:sz w:val="18"/>
                <w:szCs w:val="18"/>
                <w:color w:val="auto"/>
              </w:rPr>
              <w:t>Neil Novich</w:t>
            </w:r>
          </w:p>
        </w:tc>
        <w:tc>
          <w:tcPr>
            <w:tcW w:w="540" w:type="dxa"/>
            <w:vAlign w:val="bottom"/>
          </w:tcPr>
          <w:p>
            <w:pPr>
              <w:jc w:val="center"/>
              <w:ind w:left="13"/>
              <w:spacing w:after="0"/>
              <w:rPr>
                <w:sz w:val="20"/>
                <w:szCs w:val="20"/>
                <w:color w:val="auto"/>
              </w:rPr>
            </w:pPr>
            <w:r>
              <w:rPr>
                <w:rFonts w:ascii="Arial" w:cs="Arial" w:eastAsia="Arial" w:hAnsi="Arial"/>
                <w:sz w:val="18"/>
                <w:szCs w:val="18"/>
                <w:color w:val="auto"/>
                <w:w w:val="99"/>
              </w:rPr>
              <w:t>64</w:t>
            </w:r>
          </w:p>
        </w:tc>
        <w:tc>
          <w:tcPr>
            <w:tcW w:w="740" w:type="dxa"/>
            <w:vAlign w:val="bottom"/>
          </w:tcPr>
          <w:p>
            <w:pPr>
              <w:ind w:left="180"/>
              <w:spacing w:after="0"/>
              <w:rPr>
                <w:sz w:val="20"/>
                <w:szCs w:val="20"/>
                <w:color w:val="auto"/>
              </w:rPr>
            </w:pPr>
            <w:r>
              <w:rPr>
                <w:rFonts w:ascii="Arial" w:cs="Arial" w:eastAsia="Arial" w:hAnsi="Arial"/>
                <w:sz w:val="18"/>
                <w:szCs w:val="18"/>
                <w:color w:val="auto"/>
              </w:rPr>
              <w:t>2008</w:t>
            </w:r>
          </w:p>
        </w:tc>
        <w:tc>
          <w:tcPr>
            <w:tcW w:w="3240" w:type="dxa"/>
            <w:vAlign w:val="bottom"/>
            <w:gridSpan w:val="2"/>
          </w:tcPr>
          <w:p>
            <w:pPr>
              <w:jc w:val="center"/>
              <w:spacing w:after="0"/>
              <w:rPr>
                <w:sz w:val="20"/>
                <w:szCs w:val="20"/>
                <w:color w:val="auto"/>
              </w:rPr>
            </w:pPr>
            <w:r>
              <w:rPr>
                <w:rFonts w:ascii="Arial" w:cs="Arial" w:eastAsia="Arial" w:hAnsi="Arial"/>
                <w:sz w:val="18"/>
                <w:szCs w:val="18"/>
                <w:color w:val="auto"/>
                <w:w w:val="98"/>
              </w:rPr>
              <w:t>Former Chairman, President and Chief</w:t>
            </w:r>
          </w:p>
        </w:tc>
        <w:tc>
          <w:tcPr>
            <w:tcW w:w="1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CC (Chair)</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920" w:type="dxa"/>
            <w:vAlign w:val="bottom"/>
          </w:tcPr>
          <w:p>
            <w:pPr>
              <w:jc w:val="center"/>
              <w:ind w:left="232"/>
              <w:spacing w:after="0"/>
              <w:rPr>
                <w:sz w:val="20"/>
                <w:szCs w:val="20"/>
                <w:color w:val="auto"/>
              </w:rPr>
            </w:pPr>
            <w:r>
              <w:rPr>
                <w:rFonts w:ascii="Arial" w:cs="Arial" w:eastAsia="Arial" w:hAnsi="Arial"/>
                <w:sz w:val="18"/>
                <w:szCs w:val="18"/>
                <w:color w:val="auto"/>
                <w:w w:val="99"/>
              </w:rPr>
              <w:t>Executive Officer of Ryerson Inc.</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shd w:val="clear" w:color="auto" w:fill="E8EDF4"/>
          </w:tcPr>
          <w:p>
            <w:pPr>
              <w:ind w:left="60"/>
              <w:spacing w:after="0"/>
              <w:rPr>
                <w:sz w:val="20"/>
                <w:szCs w:val="20"/>
                <w:color w:val="auto"/>
              </w:rPr>
            </w:pPr>
            <w:r>
              <w:rPr>
                <w:rFonts w:ascii="Arial" w:cs="Arial" w:eastAsia="Arial" w:hAnsi="Arial"/>
                <w:sz w:val="18"/>
                <w:szCs w:val="18"/>
                <w:color w:val="auto"/>
              </w:rPr>
              <w:t>Kenton J. Sicchitano</w:t>
            </w:r>
          </w:p>
        </w:tc>
        <w:tc>
          <w:tcPr>
            <w:tcW w:w="540" w:type="dxa"/>
            <w:vAlign w:val="bottom"/>
            <w:shd w:val="clear" w:color="auto" w:fill="E8EDF4"/>
          </w:tcPr>
          <w:p>
            <w:pPr>
              <w:jc w:val="center"/>
              <w:ind w:left="13"/>
              <w:spacing w:after="0"/>
              <w:rPr>
                <w:sz w:val="20"/>
                <w:szCs w:val="20"/>
                <w:color w:val="auto"/>
              </w:rPr>
            </w:pPr>
            <w:r>
              <w:rPr>
                <w:rFonts w:ascii="Arial" w:cs="Arial" w:eastAsia="Arial" w:hAnsi="Arial"/>
                <w:sz w:val="18"/>
                <w:szCs w:val="18"/>
                <w:color w:val="auto"/>
                <w:w w:val="99"/>
              </w:rPr>
              <w:t>74</w:t>
            </w:r>
          </w:p>
        </w:tc>
        <w:tc>
          <w:tcPr>
            <w:tcW w:w="740" w:type="dxa"/>
            <w:vAlign w:val="bottom"/>
            <w:shd w:val="clear" w:color="auto" w:fill="E8EDF4"/>
          </w:tcPr>
          <w:p>
            <w:pPr>
              <w:ind w:left="180"/>
              <w:spacing w:after="0"/>
              <w:rPr>
                <w:sz w:val="20"/>
                <w:szCs w:val="20"/>
                <w:color w:val="auto"/>
              </w:rPr>
            </w:pPr>
            <w:r>
              <w:rPr>
                <w:rFonts w:ascii="Arial" w:cs="Arial" w:eastAsia="Arial" w:hAnsi="Arial"/>
                <w:sz w:val="18"/>
                <w:szCs w:val="18"/>
                <w:color w:val="auto"/>
              </w:rPr>
              <w:t>2003</w:t>
            </w:r>
          </w:p>
        </w:tc>
        <w:tc>
          <w:tcPr>
            <w:tcW w:w="3240" w:type="dxa"/>
            <w:vAlign w:val="bottom"/>
            <w:gridSpan w:val="2"/>
            <w:shd w:val="clear" w:color="auto" w:fill="E8EDF4"/>
          </w:tcPr>
          <w:p>
            <w:pPr>
              <w:jc w:val="center"/>
              <w:spacing w:after="0"/>
              <w:rPr>
                <w:sz w:val="20"/>
                <w:szCs w:val="20"/>
                <w:color w:val="auto"/>
              </w:rPr>
            </w:pPr>
            <w:r>
              <w:rPr>
                <w:rFonts w:ascii="Arial" w:cs="Arial" w:eastAsia="Arial" w:hAnsi="Arial"/>
                <w:sz w:val="18"/>
                <w:szCs w:val="18"/>
                <w:color w:val="auto"/>
                <w:w w:val="98"/>
              </w:rPr>
              <w:t>Former Global Managing Partner of</w:t>
            </w:r>
          </w:p>
        </w:tc>
        <w:tc>
          <w:tcPr>
            <w:tcW w:w="1040" w:type="dxa"/>
            <w:vAlign w:val="bottom"/>
            <w:shd w:val="clear" w:color="auto" w:fill="E8EDF4"/>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8"/>
              </w:rPr>
              <w:t>AC (Chair)</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shd w:val="clear" w:color="auto" w:fill="E8EDF4"/>
          </w:tcPr>
          <w:p>
            <w:pPr>
              <w:spacing w:after="0"/>
              <w:rPr>
                <w:sz w:val="19"/>
                <w:szCs w:val="19"/>
                <w:color w:val="auto"/>
              </w:rPr>
            </w:pPr>
          </w:p>
        </w:tc>
        <w:tc>
          <w:tcPr>
            <w:tcW w:w="540" w:type="dxa"/>
            <w:vAlign w:val="bottom"/>
            <w:shd w:val="clear" w:color="auto" w:fill="E8EDF4"/>
          </w:tcPr>
          <w:p>
            <w:pPr>
              <w:spacing w:after="0"/>
              <w:rPr>
                <w:sz w:val="19"/>
                <w:szCs w:val="19"/>
                <w:color w:val="auto"/>
              </w:rPr>
            </w:pPr>
          </w:p>
        </w:tc>
        <w:tc>
          <w:tcPr>
            <w:tcW w:w="740" w:type="dxa"/>
            <w:vAlign w:val="bottom"/>
            <w:shd w:val="clear" w:color="auto" w:fill="E8EDF4"/>
          </w:tcPr>
          <w:p>
            <w:pPr>
              <w:spacing w:after="0"/>
              <w:rPr>
                <w:sz w:val="19"/>
                <w:szCs w:val="19"/>
                <w:color w:val="auto"/>
              </w:rPr>
            </w:pPr>
          </w:p>
        </w:tc>
        <w:tc>
          <w:tcPr>
            <w:tcW w:w="2920" w:type="dxa"/>
            <w:vAlign w:val="bottom"/>
            <w:shd w:val="clear" w:color="auto" w:fill="E8EDF4"/>
          </w:tcPr>
          <w:p>
            <w:pPr>
              <w:jc w:val="center"/>
              <w:ind w:left="232"/>
              <w:spacing w:after="0"/>
              <w:rPr>
                <w:sz w:val="20"/>
                <w:szCs w:val="20"/>
                <w:color w:val="auto"/>
              </w:rPr>
            </w:pPr>
            <w:r>
              <w:rPr>
                <w:rFonts w:ascii="Arial" w:cs="Arial" w:eastAsia="Arial" w:hAnsi="Arial"/>
                <w:sz w:val="18"/>
                <w:szCs w:val="18"/>
                <w:color w:val="auto"/>
                <w:w w:val="98"/>
              </w:rPr>
              <w:t>PricewaterhouseCoopers LLP</w:t>
            </w:r>
          </w:p>
        </w:tc>
        <w:tc>
          <w:tcPr>
            <w:tcW w:w="32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1060" w:type="dxa"/>
            <w:vAlign w:val="bottom"/>
            <w:shd w:val="clear" w:color="auto" w:fill="E8EDF4"/>
          </w:tcPr>
          <w:p>
            <w:pPr>
              <w:spacing w:after="0"/>
              <w:rPr>
                <w:sz w:val="19"/>
                <w:szCs w:val="19"/>
                <w:color w:val="auto"/>
              </w:rPr>
            </w:pPr>
          </w:p>
        </w:tc>
        <w:tc>
          <w:tcPr>
            <w:tcW w:w="1040" w:type="dxa"/>
            <w:vAlign w:val="bottom"/>
            <w:shd w:val="clear" w:color="auto" w:fill="E8EDF4"/>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ind w:left="60"/>
              <w:spacing w:after="0"/>
              <w:rPr>
                <w:sz w:val="20"/>
                <w:szCs w:val="20"/>
                <w:color w:val="auto"/>
              </w:rPr>
            </w:pPr>
            <w:r>
              <w:rPr>
                <w:rFonts w:ascii="Arial" w:cs="Arial" w:eastAsia="Arial" w:hAnsi="Arial"/>
                <w:sz w:val="18"/>
                <w:szCs w:val="18"/>
                <w:color w:val="auto"/>
              </w:rPr>
              <w:t>Lisa T. Su</w:t>
            </w:r>
          </w:p>
        </w:tc>
        <w:tc>
          <w:tcPr>
            <w:tcW w:w="540" w:type="dxa"/>
            <w:vAlign w:val="bottom"/>
          </w:tcPr>
          <w:p>
            <w:pPr>
              <w:jc w:val="center"/>
              <w:ind w:left="13"/>
              <w:spacing w:after="0"/>
              <w:rPr>
                <w:sz w:val="20"/>
                <w:szCs w:val="20"/>
                <w:color w:val="auto"/>
              </w:rPr>
            </w:pPr>
            <w:r>
              <w:rPr>
                <w:rFonts w:ascii="Arial" w:cs="Arial" w:eastAsia="Arial" w:hAnsi="Arial"/>
                <w:sz w:val="18"/>
                <w:szCs w:val="18"/>
                <w:color w:val="auto"/>
                <w:w w:val="99"/>
              </w:rPr>
              <w:t>49</w:t>
            </w:r>
          </w:p>
        </w:tc>
        <w:tc>
          <w:tcPr>
            <w:tcW w:w="740" w:type="dxa"/>
            <w:vAlign w:val="bottom"/>
          </w:tcPr>
          <w:p>
            <w:pPr>
              <w:ind w:left="180"/>
              <w:spacing w:after="0"/>
              <w:rPr>
                <w:sz w:val="20"/>
                <w:szCs w:val="20"/>
                <w:color w:val="auto"/>
              </w:rPr>
            </w:pPr>
            <w:r>
              <w:rPr>
                <w:rFonts w:ascii="Arial" w:cs="Arial" w:eastAsia="Arial" w:hAnsi="Arial"/>
                <w:sz w:val="18"/>
                <w:szCs w:val="18"/>
                <w:color w:val="auto"/>
              </w:rPr>
              <w:t>2012</w:t>
            </w:r>
          </w:p>
        </w:tc>
        <w:tc>
          <w:tcPr>
            <w:tcW w:w="3240" w:type="dxa"/>
            <w:vAlign w:val="bottom"/>
            <w:gridSpan w:val="2"/>
          </w:tcPr>
          <w:p>
            <w:pPr>
              <w:jc w:val="center"/>
              <w:spacing w:after="0"/>
              <w:rPr>
                <w:sz w:val="20"/>
                <w:szCs w:val="20"/>
                <w:color w:val="auto"/>
              </w:rPr>
            </w:pPr>
            <w:r>
              <w:rPr>
                <w:rFonts w:ascii="Arial" w:cs="Arial" w:eastAsia="Arial" w:hAnsi="Arial"/>
                <w:sz w:val="18"/>
                <w:szCs w:val="18"/>
                <w:color w:val="auto"/>
                <w:w w:val="98"/>
              </w:rPr>
              <w:t>President and Chief Executive Officer</w:t>
            </w:r>
          </w:p>
        </w:tc>
        <w:tc>
          <w:tcPr>
            <w:tcW w:w="1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CC</w:t>
            </w: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20" w:type="dxa"/>
            <w:vAlign w:val="bottom"/>
          </w:tcPr>
          <w:p>
            <w:pPr>
              <w:jc w:val="center"/>
              <w:ind w:left="252"/>
              <w:spacing w:after="0"/>
              <w:rPr>
                <w:sz w:val="20"/>
                <w:szCs w:val="20"/>
                <w:color w:val="auto"/>
              </w:rPr>
            </w:pPr>
            <w:r>
              <w:rPr>
                <w:rFonts w:ascii="Arial" w:cs="Arial" w:eastAsia="Arial" w:hAnsi="Arial"/>
                <w:sz w:val="18"/>
                <w:szCs w:val="18"/>
                <w:color w:val="auto"/>
                <w:w w:val="98"/>
              </w:rPr>
              <w:t>of Advanced Micro Devices, Inc.</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AC = Audit Committee</w:t>
            </w:r>
          </w:p>
        </w:tc>
        <w:tc>
          <w:tcPr>
            <w:tcW w:w="540" w:type="dxa"/>
            <w:vAlign w:val="bottom"/>
          </w:tcPr>
          <w:p>
            <w:pPr>
              <w:spacing w:after="0"/>
              <w:rPr>
                <w:sz w:val="24"/>
                <w:szCs w:val="24"/>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CC = Compensation Committee</w:t>
            </w:r>
          </w:p>
        </w:tc>
        <w:tc>
          <w:tcPr>
            <w:tcW w:w="368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NCGC =   Nominating and Corporate</w:t>
            </w: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97"/>
              </w:rPr>
              <w:t>Governance Committee</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3040" w:type="dxa"/>
            <w:vAlign w:val="bottom"/>
            <w:gridSpan w:val="3"/>
          </w:tcPr>
          <w:p>
            <w:pPr>
              <w:spacing w:after="0"/>
              <w:rPr>
                <w:sz w:val="20"/>
                <w:szCs w:val="20"/>
                <w:color w:val="auto"/>
              </w:rPr>
            </w:pPr>
            <w:r>
              <w:rPr>
                <w:rFonts w:ascii="Arial" w:cs="Arial" w:eastAsia="Arial" w:hAnsi="Arial"/>
                <w:sz w:val="18"/>
                <w:szCs w:val="18"/>
                <w:color w:val="999999"/>
              </w:rPr>
              <w:t xml:space="preserve">6  </w:t>
            </w:r>
            <w:r>
              <w:rPr>
                <w:rFonts w:ascii="Arial" w:cs="Arial" w:eastAsia="Arial" w:hAnsi="Arial"/>
                <w:sz w:val="14"/>
                <w:szCs w:val="14"/>
                <w:b w:val="1"/>
                <w:bCs w:val="1"/>
                <w:color w:val="052B82"/>
              </w:rPr>
              <w:t>Analog Devices, Inc.</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3"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6724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1500" cy="672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Composition of Board Nominees</w:t>
      </w:r>
    </w:p>
    <w:p>
      <w:pPr>
        <w:spacing w:after="0" w:line="102" w:lineRule="exact"/>
        <w:rPr>
          <w:sz w:val="20"/>
          <w:szCs w:val="20"/>
          <w:color w:val="auto"/>
        </w:rPr>
      </w:pPr>
    </w:p>
    <w:p>
      <w:pPr>
        <w:ind w:left="440" w:right="240" w:firstLine="421"/>
        <w:spacing w:after="0" w:line="239" w:lineRule="auto"/>
        <w:rPr>
          <w:sz w:val="20"/>
          <w:szCs w:val="20"/>
          <w:color w:val="auto"/>
        </w:rPr>
      </w:pPr>
      <w:r>
        <w:rPr>
          <w:rFonts w:ascii="Arial" w:cs="Arial" w:eastAsia="Arial" w:hAnsi="Arial"/>
          <w:sz w:val="18"/>
          <w:szCs w:val="18"/>
          <w:color w:val="auto"/>
        </w:rPr>
        <w:t>The Board of Directors and the Nominating and Corporate Governance Committee are committed to ensuring that the Board is comprised of a highly capable group of directors who collectively provide a significant breadth of experience, knowledge and ability to effectively represent the interest of shareholders, drive shareholder value and reflect our corporate values of integrity, honesty and adherence to high ethical standards. The Board also believes that having directors with a mix of tenure helps transition the institutional knowledge of the more experienced directors while providing a broad, fresh set of perspectives. The following charts reflect the broad experience, gender diversity and tenure of our eleven director nominees.</w:t>
      </w:r>
    </w:p>
    <w:p>
      <w:pPr>
        <w:spacing w:after="0" w:line="203" w:lineRule="exact"/>
        <w:rPr>
          <w:sz w:val="20"/>
          <w:szCs w:val="20"/>
          <w:color w:val="auto"/>
        </w:rPr>
      </w:pPr>
    </w:p>
    <w:p>
      <w:pPr>
        <w:ind w:left="2520"/>
        <w:spacing w:after="0"/>
        <w:tabs>
          <w:tab w:leader="none" w:pos="7660" w:val="left"/>
        </w:tabs>
        <w:rPr>
          <w:sz w:val="20"/>
          <w:szCs w:val="20"/>
          <w:color w:val="auto"/>
        </w:rPr>
      </w:pPr>
      <w:r>
        <w:rPr>
          <w:rFonts w:ascii="Arial" w:cs="Arial" w:eastAsia="Arial" w:hAnsi="Arial"/>
          <w:sz w:val="18"/>
          <w:szCs w:val="18"/>
          <w:b w:val="1"/>
          <w:bCs w:val="1"/>
          <w:color w:val="auto"/>
        </w:rPr>
        <w:t>Board Tenure</w:t>
      </w:r>
      <w:r>
        <w:rPr>
          <w:sz w:val="20"/>
          <w:szCs w:val="20"/>
          <w:color w:val="auto"/>
        </w:rPr>
        <w:tab/>
      </w:r>
      <w:r>
        <w:rPr>
          <w:rFonts w:ascii="Arial" w:cs="Arial" w:eastAsia="Arial" w:hAnsi="Arial"/>
          <w:sz w:val="17"/>
          <w:szCs w:val="17"/>
          <w:b w:val="1"/>
          <w:bCs w:val="1"/>
          <w:color w:val="auto"/>
        </w:rPr>
        <w:t>Gender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Director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w:t>
      </w:r>
    </w:p>
    <w:p>
      <w:pPr>
        <w:sectPr>
          <w:pgSz w:w="11900" w:h="16838" w:orient="portrait"/>
          <w:cols w:equalWidth="0" w:num="1">
            <w:col w:w="11160"/>
          </w:cols>
          <w:pgMar w:left="240" w:top="453" w:right="4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203200</wp:posOffset>
            </wp:positionV>
            <wp:extent cx="6921500" cy="2943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1500"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52B82"/>
        </w:rPr>
        <w:t>CORPORATE GOVERNANCE HIGHLIGHTS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Company’s governance practices include:</w:t>
      </w:r>
    </w:p>
    <w:p>
      <w:pPr>
        <w:spacing w:after="0" w:line="200" w:lineRule="exact"/>
        <w:rPr>
          <w:sz w:val="20"/>
          <w:szCs w:val="20"/>
          <w:color w:val="auto"/>
        </w:rPr>
      </w:pPr>
    </w:p>
    <w:p>
      <w:pPr>
        <w:spacing w:after="0" w:line="21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191919"/>
        </w:rPr>
        <w:t>WHAT WE DO</w:t>
      </w:r>
    </w:p>
    <w:p>
      <w:pPr>
        <w:spacing w:after="0" w:line="14"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80" w:type="dxa"/>
            <w:vAlign w:val="bottom"/>
            <w:tcBorders>
              <w:top w:val="single" w:sz="8" w:color="4C4C4C"/>
            </w:tcBorders>
          </w:tcPr>
          <w:p>
            <w:pPr>
              <w:spacing w:after="0"/>
              <w:rPr>
                <w:sz w:val="13"/>
                <w:szCs w:val="13"/>
                <w:color w:val="auto"/>
              </w:rPr>
            </w:pPr>
          </w:p>
        </w:tc>
        <w:tc>
          <w:tcPr>
            <w:tcW w:w="360" w:type="dxa"/>
            <w:vAlign w:val="bottom"/>
            <w:tcBorders>
              <w:top w:val="single" w:sz="8" w:color="4C4C4C"/>
            </w:tcBorders>
            <w:vMerge w:val="restart"/>
          </w:tcPr>
          <w:p>
            <w:pPr>
              <w:ind w:left="20"/>
              <w:spacing w:after="0" w:line="321" w:lineRule="exact"/>
              <w:rPr>
                <w:sz w:val="20"/>
                <w:szCs w:val="20"/>
                <w:color w:val="auto"/>
              </w:rPr>
            </w:pPr>
            <w:r>
              <w:rPr>
                <w:rFonts w:ascii="MS PGothic" w:cs="MS PGothic" w:eastAsia="MS PGothic" w:hAnsi="MS PGothic"/>
                <w:sz w:val="32"/>
                <w:szCs w:val="32"/>
                <w:color w:val="1E408E"/>
                <w:w w:val="99"/>
              </w:rPr>
              <w:t>✓</w:t>
            </w:r>
          </w:p>
        </w:tc>
        <w:tc>
          <w:tcPr>
            <w:tcW w:w="5020" w:type="dxa"/>
            <w:vAlign w:val="bottom"/>
            <w:tcBorders>
              <w:top w:val="single" w:sz="8" w:color="4C4C4C"/>
            </w:tcBorders>
          </w:tcPr>
          <w:p>
            <w:pPr>
              <w:ind w:left="60"/>
              <w:spacing w:after="0" w:line="154" w:lineRule="exact"/>
              <w:rPr>
                <w:sz w:val="20"/>
                <w:szCs w:val="20"/>
                <w:color w:val="auto"/>
              </w:rPr>
            </w:pPr>
            <w:r>
              <w:rPr>
                <w:rFonts w:ascii="Arial" w:cs="Arial" w:eastAsia="Arial" w:hAnsi="Arial"/>
                <w:sz w:val="17"/>
                <w:szCs w:val="17"/>
                <w:color w:val="auto"/>
              </w:rPr>
              <w:t>Majority of directors are independent</w:t>
            </w:r>
          </w:p>
        </w:tc>
        <w:tc>
          <w:tcPr>
            <w:tcW w:w="80" w:type="dxa"/>
            <w:vAlign w:val="bottom"/>
            <w:tcBorders>
              <w:top w:val="single" w:sz="8" w:color="4C4C4C"/>
            </w:tcBorders>
          </w:tcPr>
          <w:p>
            <w:pPr>
              <w:spacing w:after="0"/>
              <w:rPr>
                <w:sz w:val="13"/>
                <w:szCs w:val="13"/>
                <w:color w:val="auto"/>
              </w:rPr>
            </w:pPr>
          </w:p>
        </w:tc>
        <w:tc>
          <w:tcPr>
            <w:tcW w:w="300" w:type="dxa"/>
            <w:vAlign w:val="bottom"/>
            <w:tcBorders>
              <w:top w:val="single" w:sz="8" w:color="4C4C4C"/>
            </w:tcBorders>
          </w:tcPr>
          <w:p>
            <w:pPr>
              <w:spacing w:after="0"/>
              <w:rPr>
                <w:sz w:val="13"/>
                <w:szCs w:val="13"/>
                <w:color w:val="auto"/>
              </w:rPr>
            </w:pPr>
          </w:p>
        </w:tc>
        <w:tc>
          <w:tcPr>
            <w:tcW w:w="4440" w:type="dxa"/>
            <w:vAlign w:val="bottom"/>
            <w:tcBorders>
              <w:top w:val="single" w:sz="8" w:color="4C4C4C"/>
            </w:tcBorders>
          </w:tcPr>
          <w:p>
            <w:pPr>
              <w:ind w:left="40"/>
              <w:spacing w:after="0" w:line="154" w:lineRule="exact"/>
              <w:rPr>
                <w:sz w:val="20"/>
                <w:szCs w:val="20"/>
                <w:color w:val="auto"/>
              </w:rPr>
            </w:pPr>
            <w:r>
              <w:rPr>
                <w:rFonts w:ascii="Arial" w:cs="Arial" w:eastAsia="Arial" w:hAnsi="Arial"/>
                <w:sz w:val="17"/>
                <w:szCs w:val="17"/>
                <w:color w:val="auto"/>
              </w:rPr>
              <w:t>Share ownership guidelines for executive officers and</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360" w:type="dxa"/>
            <w:vAlign w:val="bottom"/>
            <w:tcBorders>
              <w:bottom w:val="single" w:sz="8" w:color="4C4C4C"/>
            </w:tcBorders>
            <w:vMerge w:val="continue"/>
          </w:tcPr>
          <w:p>
            <w:pPr>
              <w:spacing w:after="0"/>
              <w:rPr>
                <w:sz w:val="20"/>
                <w:szCs w:val="20"/>
                <w:color w:val="auto"/>
              </w:rPr>
            </w:pPr>
          </w:p>
        </w:tc>
        <w:tc>
          <w:tcPr>
            <w:tcW w:w="5020" w:type="dxa"/>
            <w:vAlign w:val="bottom"/>
            <w:tcBorders>
              <w:bottom w:val="single" w:sz="8" w:color="4C4C4C"/>
            </w:tcBorders>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tcBorders>
              <w:bottom w:val="single" w:sz="8" w:color="4C4C4C"/>
            </w:tcBorders>
            <w:gridSpan w:val="2"/>
          </w:tcPr>
          <w:p>
            <w:pPr>
              <w:spacing w:after="0" w:line="240" w:lineRule="exact"/>
              <w:rPr>
                <w:sz w:val="20"/>
                <w:szCs w:val="20"/>
                <w:color w:val="auto"/>
              </w:rPr>
            </w:pPr>
            <w:r>
              <w:rPr>
                <w:rFonts w:ascii="MS PGothic" w:cs="MS PGothic" w:eastAsia="MS PGothic" w:hAnsi="MS PGothic"/>
                <w:sz w:val="27"/>
                <w:szCs w:val="27"/>
                <w:color w:val="1E408E"/>
                <w:vertAlign w:val="superscript"/>
              </w:rPr>
              <w:t>✓</w:t>
            </w:r>
            <w:r>
              <w:rPr>
                <w:rFonts w:ascii="Arial" w:cs="Arial" w:eastAsia="Arial" w:hAnsi="Arial"/>
                <w:sz w:val="14"/>
                <w:szCs w:val="14"/>
                <w:color w:val="auto"/>
              </w:rPr>
              <w:t xml:space="preserve"> non-employee directors</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360" w:type="dxa"/>
            <w:vAlign w:val="bottom"/>
            <w:vMerge w:val="restart"/>
          </w:tcPr>
          <w:p>
            <w:pPr>
              <w:ind w:left="20"/>
              <w:spacing w:after="0" w:line="321" w:lineRule="exact"/>
              <w:rPr>
                <w:sz w:val="20"/>
                <w:szCs w:val="20"/>
                <w:color w:val="auto"/>
              </w:rPr>
            </w:pPr>
            <w:r>
              <w:rPr>
                <w:rFonts w:ascii="MS PGothic" w:cs="MS PGothic" w:eastAsia="MS PGothic" w:hAnsi="MS PGothic"/>
                <w:sz w:val="32"/>
                <w:szCs w:val="32"/>
                <w:color w:val="1E408E"/>
                <w:w w:val="99"/>
              </w:rPr>
              <w:t>✓</w:t>
            </w:r>
          </w:p>
        </w:tc>
        <w:tc>
          <w:tcPr>
            <w:tcW w:w="5020" w:type="dxa"/>
            <w:vAlign w:val="bottom"/>
          </w:tcPr>
          <w:p>
            <w:pPr>
              <w:ind w:left="60"/>
              <w:spacing w:after="0" w:line="167" w:lineRule="exact"/>
              <w:rPr>
                <w:sz w:val="20"/>
                <w:szCs w:val="20"/>
                <w:color w:val="auto"/>
              </w:rPr>
            </w:pPr>
            <w:r>
              <w:rPr>
                <w:rFonts w:ascii="Arial" w:cs="Arial" w:eastAsia="Arial" w:hAnsi="Arial"/>
                <w:sz w:val="18"/>
                <w:szCs w:val="18"/>
                <w:color w:val="auto"/>
              </w:rPr>
              <w:t>Annual election of directors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40" w:type="dxa"/>
            <w:vAlign w:val="bottom"/>
          </w:tcPr>
          <w:p>
            <w:pPr>
              <w:ind w:left="40"/>
              <w:spacing w:after="0" w:line="167" w:lineRule="exact"/>
              <w:rPr>
                <w:sz w:val="20"/>
                <w:szCs w:val="20"/>
                <w:color w:val="auto"/>
              </w:rPr>
            </w:pPr>
            <w:r>
              <w:rPr>
                <w:rFonts w:ascii="Arial" w:cs="Arial" w:eastAsia="Arial" w:hAnsi="Arial"/>
                <w:sz w:val="18"/>
                <w:szCs w:val="18"/>
                <w:color w:val="auto"/>
                <w:w w:val="99"/>
              </w:rPr>
              <w:t>Active Board engagement in managing talent and long-</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360" w:type="dxa"/>
            <w:vAlign w:val="bottom"/>
            <w:tcBorders>
              <w:bottom w:val="single" w:sz="8" w:color="4C4C4C"/>
            </w:tcBorders>
            <w:vMerge w:val="continue"/>
          </w:tcPr>
          <w:p>
            <w:pPr>
              <w:spacing w:after="0"/>
              <w:rPr>
                <w:sz w:val="20"/>
                <w:szCs w:val="20"/>
                <w:color w:val="auto"/>
              </w:rPr>
            </w:pPr>
          </w:p>
        </w:tc>
        <w:tc>
          <w:tcPr>
            <w:tcW w:w="5020" w:type="dxa"/>
            <w:vAlign w:val="bottom"/>
            <w:tcBorders>
              <w:bottom w:val="single" w:sz="8" w:color="4C4C4C"/>
            </w:tcBorders>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tcBorders>
              <w:bottom w:val="single" w:sz="8" w:color="4C4C4C"/>
            </w:tcBorders>
            <w:gridSpan w:val="2"/>
          </w:tcPr>
          <w:p>
            <w:pPr>
              <w:spacing w:after="0" w:line="240" w:lineRule="exact"/>
              <w:rPr>
                <w:sz w:val="20"/>
                <w:szCs w:val="20"/>
                <w:color w:val="auto"/>
              </w:rPr>
            </w:pPr>
            <w:r>
              <w:rPr>
                <w:rFonts w:ascii="MS PGothic" w:cs="MS PGothic" w:eastAsia="MS PGothic" w:hAnsi="MS PGothic"/>
                <w:sz w:val="27"/>
                <w:szCs w:val="27"/>
                <w:color w:val="1E408E"/>
                <w:vertAlign w:val="superscript"/>
              </w:rPr>
              <w:t>✓</w:t>
            </w:r>
            <w:r>
              <w:rPr>
                <w:rFonts w:ascii="Arial" w:cs="Arial" w:eastAsia="Arial" w:hAnsi="Arial"/>
                <w:sz w:val="14"/>
                <w:szCs w:val="14"/>
                <w:color w:val="auto"/>
              </w:rPr>
              <w:t xml:space="preserve"> term succession planning for executives</w:t>
            </w:r>
          </w:p>
        </w:tc>
        <w:tc>
          <w:tcPr>
            <w:tcW w:w="0" w:type="dxa"/>
            <w:vAlign w:val="bottom"/>
          </w:tcPr>
          <w:p>
            <w:pPr>
              <w:spacing w:after="0"/>
              <w:rPr>
                <w:sz w:val="1"/>
                <w:szCs w:val="1"/>
                <w:color w:val="auto"/>
              </w:rPr>
            </w:pPr>
          </w:p>
        </w:tc>
      </w:tr>
      <w:tr>
        <w:trPr>
          <w:trHeight w:val="381"/>
        </w:trPr>
        <w:tc>
          <w:tcPr>
            <w:tcW w:w="80" w:type="dxa"/>
            <w:vAlign w:val="bottom"/>
          </w:tcPr>
          <w:p>
            <w:pPr>
              <w:spacing w:after="0"/>
              <w:rPr>
                <w:sz w:val="24"/>
                <w:szCs w:val="24"/>
                <w:color w:val="auto"/>
              </w:rPr>
            </w:pPr>
          </w:p>
        </w:tc>
        <w:tc>
          <w:tcPr>
            <w:tcW w:w="5380" w:type="dxa"/>
            <w:vAlign w:val="bottom"/>
            <w:tcBorders>
              <w:bottom w:val="single" w:sz="8" w:color="4C4C4C"/>
            </w:tcBorders>
            <w:gridSpan w:val="2"/>
          </w:tcPr>
          <w:p>
            <w:pPr>
              <w:ind w:left="20"/>
              <w:spacing w:after="0" w:line="380" w:lineRule="exact"/>
              <w:rPr>
                <w:sz w:val="20"/>
                <w:szCs w:val="20"/>
                <w:color w:val="auto"/>
              </w:rPr>
            </w:pPr>
            <w:r>
              <w:rPr>
                <w:rFonts w:ascii="MS PGothic" w:cs="MS PGothic" w:eastAsia="MS PGothic" w:hAnsi="MS PGothic"/>
                <w:sz w:val="44"/>
                <w:szCs w:val="44"/>
                <w:color w:val="1E408E"/>
                <w:vertAlign w:val="subscript"/>
              </w:rPr>
              <w:t>✓</w:t>
            </w:r>
            <w:r>
              <w:rPr>
                <w:rFonts w:ascii="Arial" w:cs="Arial" w:eastAsia="Arial" w:hAnsi="Arial"/>
                <w:sz w:val="16"/>
                <w:szCs w:val="16"/>
                <w:color w:val="auto"/>
              </w:rPr>
              <w:t xml:space="preserve"> Majority voting for directors in uncontested director elections</w:t>
            </w:r>
          </w:p>
        </w:tc>
        <w:tc>
          <w:tcPr>
            <w:tcW w:w="80" w:type="dxa"/>
            <w:vAlign w:val="bottom"/>
          </w:tcPr>
          <w:p>
            <w:pPr>
              <w:spacing w:after="0"/>
              <w:rPr>
                <w:sz w:val="24"/>
                <w:szCs w:val="24"/>
                <w:color w:val="auto"/>
              </w:rPr>
            </w:pPr>
          </w:p>
        </w:tc>
        <w:tc>
          <w:tcPr>
            <w:tcW w:w="4740" w:type="dxa"/>
            <w:vAlign w:val="bottom"/>
            <w:tcBorders>
              <w:bottom w:val="single" w:sz="8" w:color="4C4C4C"/>
            </w:tcBorders>
            <w:gridSpan w:val="2"/>
          </w:tcPr>
          <w:p>
            <w:pPr>
              <w:spacing w:after="0" w:line="380" w:lineRule="exact"/>
              <w:rPr>
                <w:sz w:val="20"/>
                <w:szCs w:val="20"/>
                <w:color w:val="auto"/>
              </w:rPr>
            </w:pPr>
            <w:r>
              <w:rPr>
                <w:rFonts w:ascii="MS PGothic" w:cs="MS PGothic" w:eastAsia="MS PGothic" w:hAnsi="MS PGothic"/>
                <w:sz w:val="44"/>
                <w:szCs w:val="44"/>
                <w:color w:val="1E408E"/>
                <w:vertAlign w:val="subscript"/>
              </w:rPr>
              <w:t>✓</w:t>
            </w:r>
            <w:r>
              <w:rPr>
                <w:rFonts w:ascii="Arial" w:cs="Arial" w:eastAsia="Arial" w:hAnsi="Arial"/>
                <w:sz w:val="16"/>
                <w:szCs w:val="16"/>
                <w:color w:val="auto"/>
              </w:rPr>
              <w:t xml:space="preserve"> No supermajority voting provisions</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20" w:type="dxa"/>
            <w:vAlign w:val="bottom"/>
          </w:tcPr>
          <w:p>
            <w:pPr>
              <w:ind w:left="60"/>
              <w:spacing w:after="0" w:line="167" w:lineRule="exact"/>
              <w:rPr>
                <w:sz w:val="20"/>
                <w:szCs w:val="20"/>
                <w:color w:val="auto"/>
              </w:rPr>
            </w:pPr>
            <w:r>
              <w:rPr>
                <w:rFonts w:ascii="Arial" w:cs="Arial" w:eastAsia="Arial" w:hAnsi="Arial"/>
                <w:sz w:val="18"/>
                <w:szCs w:val="18"/>
                <w:color w:val="auto"/>
              </w:rPr>
              <w:t>Average tenure of independent directors standing for</w:t>
            </w:r>
          </w:p>
        </w:tc>
        <w:tc>
          <w:tcPr>
            <w:tcW w:w="80" w:type="dxa"/>
            <w:vAlign w:val="bottom"/>
          </w:tcPr>
          <w:p>
            <w:pPr>
              <w:spacing w:after="0"/>
              <w:rPr>
                <w:sz w:val="14"/>
                <w:szCs w:val="14"/>
                <w:color w:val="auto"/>
              </w:rPr>
            </w:pPr>
          </w:p>
        </w:tc>
        <w:tc>
          <w:tcPr>
            <w:tcW w:w="300" w:type="dxa"/>
            <w:vAlign w:val="bottom"/>
            <w:vMerge w:val="restart"/>
          </w:tcPr>
          <w:p>
            <w:pPr>
              <w:spacing w:after="0" w:line="321" w:lineRule="exact"/>
              <w:rPr>
                <w:sz w:val="20"/>
                <w:szCs w:val="20"/>
                <w:color w:val="auto"/>
              </w:rPr>
            </w:pPr>
            <w:r>
              <w:rPr>
                <w:rFonts w:ascii="MS PGothic" w:cs="MS PGothic" w:eastAsia="MS PGothic" w:hAnsi="MS PGothic"/>
                <w:sz w:val="32"/>
                <w:szCs w:val="32"/>
                <w:color w:val="1E408E"/>
                <w:w w:val="87"/>
              </w:rPr>
              <w:t>✓</w:t>
            </w:r>
          </w:p>
        </w:tc>
        <w:tc>
          <w:tcPr>
            <w:tcW w:w="4440" w:type="dxa"/>
            <w:vAlign w:val="bottom"/>
          </w:tcPr>
          <w:p>
            <w:pPr>
              <w:ind w:left="40"/>
              <w:spacing w:after="0" w:line="167" w:lineRule="exact"/>
              <w:rPr>
                <w:sz w:val="20"/>
                <w:szCs w:val="20"/>
                <w:color w:val="auto"/>
              </w:rPr>
            </w:pPr>
            <w:r>
              <w:rPr>
                <w:rFonts w:ascii="Arial" w:cs="Arial" w:eastAsia="Arial" w:hAnsi="Arial"/>
                <w:sz w:val="18"/>
                <w:szCs w:val="18"/>
                <w:color w:val="auto"/>
              </w:rPr>
              <w:t>Annual Board and Committee self-evaluations</w:t>
            </w: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5380" w:type="dxa"/>
            <w:vAlign w:val="bottom"/>
            <w:tcBorders>
              <w:bottom w:val="single" w:sz="8" w:color="4C4C4C"/>
            </w:tcBorders>
            <w:gridSpan w:val="2"/>
          </w:tcPr>
          <w:p>
            <w:pPr>
              <w:ind w:left="20"/>
              <w:spacing w:after="0" w:line="240" w:lineRule="exact"/>
              <w:rPr>
                <w:sz w:val="20"/>
                <w:szCs w:val="20"/>
                <w:color w:val="auto"/>
              </w:rPr>
            </w:pPr>
            <w:r>
              <w:rPr>
                <w:rFonts w:ascii="MS PGothic" w:cs="MS PGothic" w:eastAsia="MS PGothic" w:hAnsi="MS PGothic"/>
                <w:sz w:val="27"/>
                <w:szCs w:val="27"/>
                <w:color w:val="1E408E"/>
                <w:vertAlign w:val="superscript"/>
              </w:rPr>
              <w:t>✓</w:t>
            </w:r>
            <w:r>
              <w:rPr>
                <w:rFonts w:ascii="Arial" w:cs="Arial" w:eastAsia="Arial" w:hAnsi="Arial"/>
                <w:sz w:val="14"/>
                <w:szCs w:val="14"/>
                <w:color w:val="auto"/>
              </w:rPr>
              <w:t xml:space="preserve"> re-election is approximately 7 years</w:t>
            </w:r>
          </w:p>
        </w:tc>
        <w:tc>
          <w:tcPr>
            <w:tcW w:w="80" w:type="dxa"/>
            <w:vAlign w:val="bottom"/>
          </w:tcPr>
          <w:p>
            <w:pPr>
              <w:spacing w:after="0"/>
              <w:rPr>
                <w:sz w:val="20"/>
                <w:szCs w:val="20"/>
                <w:color w:val="auto"/>
              </w:rPr>
            </w:pPr>
          </w:p>
        </w:tc>
        <w:tc>
          <w:tcPr>
            <w:tcW w:w="300" w:type="dxa"/>
            <w:vAlign w:val="bottom"/>
            <w:tcBorders>
              <w:bottom w:val="single" w:sz="8" w:color="4C4C4C"/>
            </w:tcBorders>
            <w:vMerge w:val="continue"/>
          </w:tcPr>
          <w:p>
            <w:pPr>
              <w:spacing w:after="0"/>
              <w:rPr>
                <w:sz w:val="20"/>
                <w:szCs w:val="20"/>
                <w:color w:val="auto"/>
              </w:rPr>
            </w:pPr>
          </w:p>
        </w:tc>
        <w:tc>
          <w:tcPr>
            <w:tcW w:w="4440" w:type="dxa"/>
            <w:vAlign w:val="bottom"/>
            <w:tcBorders>
              <w:bottom w:val="single" w:sz="8" w:color="4C4C4C"/>
            </w:tcBorders>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4C4C4C"/>
            </w:tcBorders>
          </w:tcPr>
          <w:p>
            <w:pPr>
              <w:spacing w:after="0"/>
              <w:rPr>
                <w:sz w:val="24"/>
                <w:szCs w:val="24"/>
                <w:color w:val="auto"/>
              </w:rPr>
            </w:pPr>
          </w:p>
        </w:tc>
        <w:tc>
          <w:tcPr>
            <w:tcW w:w="5380" w:type="dxa"/>
            <w:vAlign w:val="bottom"/>
            <w:tcBorders>
              <w:bottom w:val="single" w:sz="8" w:color="4C4C4C"/>
            </w:tcBorders>
            <w:gridSpan w:val="2"/>
          </w:tcPr>
          <w:p>
            <w:pPr>
              <w:ind w:left="20"/>
              <w:spacing w:after="0" w:line="380" w:lineRule="exact"/>
              <w:rPr>
                <w:sz w:val="20"/>
                <w:szCs w:val="20"/>
                <w:color w:val="auto"/>
              </w:rPr>
            </w:pPr>
            <w:r>
              <w:rPr>
                <w:rFonts w:ascii="MS PGothic" w:cs="MS PGothic" w:eastAsia="MS PGothic" w:hAnsi="MS PGothic"/>
                <w:sz w:val="44"/>
                <w:szCs w:val="44"/>
                <w:color w:val="1E408E"/>
                <w:vertAlign w:val="subscript"/>
              </w:rPr>
              <w:t>✓</w:t>
            </w:r>
            <w:r>
              <w:rPr>
                <w:rFonts w:ascii="Arial" w:cs="Arial" w:eastAsia="Arial" w:hAnsi="Arial"/>
                <w:sz w:val="16"/>
                <w:szCs w:val="16"/>
                <w:color w:val="auto"/>
              </w:rPr>
              <w:t xml:space="preserve"> Regular executive sessions of independent directors</w:t>
            </w:r>
          </w:p>
        </w:tc>
        <w:tc>
          <w:tcPr>
            <w:tcW w:w="80" w:type="dxa"/>
            <w:vAlign w:val="bottom"/>
            <w:tcBorders>
              <w:bottom w:val="single" w:sz="8" w:color="4C4C4C"/>
            </w:tcBorders>
          </w:tcPr>
          <w:p>
            <w:pPr>
              <w:spacing w:after="0"/>
              <w:rPr>
                <w:sz w:val="24"/>
                <w:szCs w:val="24"/>
                <w:color w:val="auto"/>
              </w:rPr>
            </w:pPr>
          </w:p>
        </w:tc>
        <w:tc>
          <w:tcPr>
            <w:tcW w:w="4740" w:type="dxa"/>
            <w:vAlign w:val="bottom"/>
            <w:tcBorders>
              <w:bottom w:val="single" w:sz="8" w:color="4C4C4C"/>
            </w:tcBorders>
            <w:gridSpan w:val="2"/>
          </w:tcPr>
          <w:p>
            <w:pPr>
              <w:spacing w:after="0" w:line="380" w:lineRule="exact"/>
              <w:rPr>
                <w:sz w:val="20"/>
                <w:szCs w:val="20"/>
                <w:color w:val="auto"/>
              </w:rPr>
            </w:pPr>
            <w:r>
              <w:rPr>
                <w:rFonts w:ascii="MS PGothic" w:cs="MS PGothic" w:eastAsia="MS PGothic" w:hAnsi="MS PGothic"/>
                <w:sz w:val="44"/>
                <w:szCs w:val="44"/>
                <w:color w:val="1E408E"/>
                <w:vertAlign w:val="subscript"/>
              </w:rPr>
              <w:t>✓</w:t>
            </w:r>
            <w:r>
              <w:rPr>
                <w:rFonts w:ascii="Arial" w:cs="Arial" w:eastAsia="Arial" w:hAnsi="Arial"/>
                <w:sz w:val="16"/>
                <w:szCs w:val="16"/>
                <w:color w:val="auto"/>
              </w:rPr>
              <w:t xml:space="preserve"> Implemented proxy access bylaw</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Arial" w:cs="Arial" w:eastAsia="Arial" w:hAnsi="Arial"/>
          <w:sz w:val="32"/>
          <w:szCs w:val="32"/>
          <w:color w:val="052B82"/>
        </w:rPr>
        <w:t>FORWARD-LOOKING STATEMENTS</w:t>
      </w:r>
    </w:p>
    <w:p>
      <w:pPr>
        <w:spacing w:after="0" w:line="128" w:lineRule="exact"/>
        <w:rPr>
          <w:sz w:val="20"/>
          <w:szCs w:val="20"/>
          <w:color w:val="auto"/>
        </w:rPr>
      </w:pPr>
    </w:p>
    <w:p>
      <w:pPr>
        <w:ind w:left="440"/>
        <w:spacing w:after="0" w:line="234" w:lineRule="auto"/>
        <w:rPr>
          <w:sz w:val="20"/>
          <w:szCs w:val="20"/>
          <w:color w:val="auto"/>
        </w:rPr>
      </w:pPr>
      <w:r>
        <w:rPr>
          <w:rFonts w:ascii="Arial" w:cs="Arial" w:eastAsia="Arial" w:hAnsi="Arial"/>
          <w:sz w:val="18"/>
          <w:szCs w:val="18"/>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expected benefits and synergies of the acquisition of Linear Technology Corporation, including expected growth rates of the combined companies and expected product offerings, product development, marketing position and technical advances resulting from the transaction; our future market position and expected competitive changes in the marketplace for our products;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336" w:lineRule="exact"/>
        <w:rPr>
          <w:sz w:val="20"/>
          <w:szCs w:val="20"/>
          <w:color w:val="auto"/>
        </w:rPr>
      </w:pPr>
    </w:p>
    <w:p>
      <w:pPr>
        <w:ind w:left="560" w:hanging="293"/>
        <w:spacing w:after="0"/>
        <w:tabs>
          <w:tab w:leader="none" w:pos="560" w:val="left"/>
        </w:tabs>
        <w:numPr>
          <w:ilvl w:val="0"/>
          <w:numId w:val="1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0940"/>
          </w:cols>
          <w:pgMar w:left="240" w:top="453" w:right="7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1"/>
          <w:szCs w:val="31"/>
          <w:color w:val="052B82"/>
        </w:rPr>
        <w:t>INFORMATION ABOUT THE ANNUAL MEETING AND VOTING</w:t>
      </w:r>
    </w:p>
    <w:p>
      <w:pPr>
        <w:sectPr>
          <w:pgSz w:w="11900" w:h="16838" w:orient="portrait"/>
          <w:cols w:equalWidth="0" w:num="1">
            <w:col w:w="11160"/>
          </w:cols>
          <w:pgMar w:left="240" w:top="453" w:right="499" w:bottom="1440" w:gutter="0" w:footer="0" w:header="0"/>
        </w:sectPr>
      </w:pPr>
    </w:p>
    <w:p>
      <w:pPr>
        <w:spacing w:after="0" w:line="204"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What is the purpose of the Annual Meeting?</w:t>
      </w:r>
    </w:p>
    <w:p>
      <w:pPr>
        <w:spacing w:after="0" w:line="115" w:lineRule="exact"/>
        <w:rPr>
          <w:sz w:val="20"/>
          <w:szCs w:val="20"/>
          <w:color w:val="auto"/>
        </w:rPr>
      </w:pPr>
    </w:p>
    <w:p>
      <w:pPr>
        <w:ind w:left="620" w:right="220" w:hanging="346"/>
        <w:spacing w:after="0" w:line="269"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Annual Meeting, shareholders will consider and vote on the following matters:</w:t>
      </w:r>
    </w:p>
    <w:p>
      <w:pPr>
        <w:spacing w:after="0" w:line="43" w:lineRule="exact"/>
        <w:rPr>
          <w:rFonts w:ascii="Arial" w:cs="Arial" w:eastAsia="Arial" w:hAnsi="Arial"/>
          <w:sz w:val="18"/>
          <w:szCs w:val="18"/>
          <w:color w:val="auto"/>
        </w:rPr>
      </w:pPr>
    </w:p>
    <w:p>
      <w:pPr>
        <w:ind w:left="620" w:right="120" w:firstLine="3"/>
        <w:spacing w:after="0" w:line="250"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election of the eleven nominees named in this proxy statement to our Board of Directors, each for a term expiring at the next annual meeting of shareholders.</w:t>
      </w:r>
    </w:p>
    <w:p>
      <w:pPr>
        <w:spacing w:after="0" w:line="60" w:lineRule="exact"/>
        <w:rPr>
          <w:rFonts w:ascii="Arial" w:cs="Arial" w:eastAsia="Arial" w:hAnsi="Arial"/>
          <w:sz w:val="18"/>
          <w:szCs w:val="18"/>
          <w:color w:val="auto"/>
        </w:rPr>
      </w:pPr>
    </w:p>
    <w:p>
      <w:pPr>
        <w:ind w:left="620" w:firstLine="3"/>
        <w:spacing w:after="0" w:line="241"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68" w:lineRule="exact"/>
        <w:rPr>
          <w:rFonts w:ascii="Arial" w:cs="Arial" w:eastAsia="Arial" w:hAnsi="Arial"/>
          <w:sz w:val="18"/>
          <w:szCs w:val="18"/>
          <w:color w:val="auto"/>
        </w:rPr>
      </w:pPr>
    </w:p>
    <w:p>
      <w:pPr>
        <w:ind w:left="620" w:right="260" w:firstLine="3"/>
        <w:spacing w:after="0" w:line="250"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our independent registered public accounting firm for the fiscal year ending November 2, 2019, or fiscal 2019.</w:t>
      </w:r>
    </w:p>
    <w:p>
      <w:pPr>
        <w:spacing w:after="0" w:line="60" w:lineRule="exact"/>
        <w:rPr>
          <w:rFonts w:ascii="Arial" w:cs="Arial" w:eastAsia="Arial" w:hAnsi="Arial"/>
          <w:sz w:val="18"/>
          <w:szCs w:val="18"/>
          <w:color w:val="auto"/>
        </w:rPr>
      </w:pPr>
    </w:p>
    <w:p>
      <w:pPr>
        <w:ind w:left="620" w:right="160" w:firstLine="3"/>
        <w:spacing w:after="0" w:line="250" w:lineRule="auto"/>
        <w:tabs>
          <w:tab w:leader="none" w:pos="8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consideration of a shareholder proposal described in this proxy statement, if properly presented at the Annual Meeting.</w:t>
      </w:r>
    </w:p>
    <w:p>
      <w:pPr>
        <w:spacing w:after="0" w:line="61" w:lineRule="exact"/>
        <w:rPr>
          <w:sz w:val="20"/>
          <w:szCs w:val="20"/>
          <w:color w:val="auto"/>
        </w:rPr>
      </w:pPr>
    </w:p>
    <w:p>
      <w:pPr>
        <w:ind w:left="620"/>
        <w:spacing w:after="0" w:line="272" w:lineRule="auto"/>
        <w:rPr>
          <w:sz w:val="20"/>
          <w:szCs w:val="20"/>
          <w:color w:val="auto"/>
        </w:rPr>
      </w:pPr>
      <w:r>
        <w:rPr>
          <w:rFonts w:ascii="Arial" w:cs="Arial" w:eastAsia="Arial" w:hAnsi="Arial"/>
          <w:sz w:val="17"/>
          <w:szCs w:val="17"/>
          <w:color w:val="auto"/>
        </w:rPr>
        <w:t>The shareholders will also act on any other business that may properly come before the meeting or any postponement, adjournment, rescheduling or continuation of the meeting.</w:t>
      </w:r>
    </w:p>
    <w:p>
      <w:pPr>
        <w:spacing w:after="0" w:line="54"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Who can vote?</w:t>
      </w:r>
    </w:p>
    <w:p>
      <w:pPr>
        <w:spacing w:after="0" w:line="115" w:lineRule="exact"/>
        <w:rPr>
          <w:sz w:val="20"/>
          <w:szCs w:val="20"/>
          <w:color w:val="auto"/>
        </w:rPr>
      </w:pPr>
    </w:p>
    <w:p>
      <w:pPr>
        <w:ind w:left="620" w:right="120" w:hanging="346"/>
        <w:spacing w:after="0" w:line="254"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be able to vote, you must have been an Analog Devices shareholder of record at the close of business on January 7, 2019. This date is the record date for the Annual Meeting.</w:t>
      </w:r>
    </w:p>
    <w:p>
      <w:pPr>
        <w:spacing w:after="0" w:line="2" w:lineRule="exact"/>
        <w:rPr>
          <w:rFonts w:ascii="Arial" w:cs="Arial" w:eastAsia="Arial" w:hAnsi="Arial"/>
          <w:sz w:val="17"/>
          <w:szCs w:val="17"/>
          <w:color w:val="auto"/>
        </w:rPr>
      </w:pPr>
    </w:p>
    <w:p>
      <w:pPr>
        <w:ind w:left="620" w:right="80"/>
        <w:spacing w:after="0" w:line="238" w:lineRule="auto"/>
        <w:rPr>
          <w:rFonts w:ascii="Arial" w:cs="Arial" w:eastAsia="Arial" w:hAnsi="Arial"/>
          <w:sz w:val="17"/>
          <w:szCs w:val="17"/>
          <w:color w:val="auto"/>
        </w:rPr>
      </w:pPr>
      <w:r>
        <w:rPr>
          <w:rFonts w:ascii="Arial" w:cs="Arial" w:eastAsia="Arial" w:hAnsi="Arial"/>
          <w:sz w:val="18"/>
          <w:szCs w:val="18"/>
          <w:color w:val="auto"/>
        </w:rPr>
        <w:t>The number of outstanding shares entitled to vote on each proposal at the Annual Meeting is 369,299,821 shares of our common stock.</w:t>
      </w:r>
    </w:p>
    <w:p>
      <w:pPr>
        <w:spacing w:after="0" w:line="81"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many votes do I have?</w:t>
      </w:r>
    </w:p>
    <w:p>
      <w:pPr>
        <w:spacing w:after="0" w:line="115" w:lineRule="exact"/>
        <w:rPr>
          <w:sz w:val="20"/>
          <w:szCs w:val="20"/>
          <w:color w:val="auto"/>
        </w:rPr>
      </w:pPr>
    </w:p>
    <w:p>
      <w:pPr>
        <w:jc w:val="both"/>
        <w:ind w:left="620" w:right="80" w:hanging="346"/>
        <w:spacing w:after="0" w:line="299"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share of our common stock that you own on the record date entitles you to one vote on each matter that is voted on.</w:t>
      </w:r>
    </w:p>
    <w:p>
      <w:pPr>
        <w:spacing w:after="0" w:line="32"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Is my vote important?</w:t>
      </w:r>
    </w:p>
    <w:p>
      <w:pPr>
        <w:spacing w:after="0" w:line="115" w:lineRule="exact"/>
        <w:rPr>
          <w:sz w:val="20"/>
          <w:szCs w:val="20"/>
          <w:color w:val="auto"/>
        </w:rPr>
      </w:pPr>
    </w:p>
    <w:p>
      <w:pPr>
        <w:ind w:left="620" w:hanging="346"/>
        <w:spacing w:after="0" w:line="241"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80"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do I vote?</w:t>
      </w:r>
    </w:p>
    <w:p>
      <w:pPr>
        <w:spacing w:after="0" w:line="115" w:lineRule="exact"/>
        <w:rPr>
          <w:sz w:val="20"/>
          <w:szCs w:val="20"/>
          <w:color w:val="auto"/>
        </w:rPr>
      </w:pPr>
    </w:p>
    <w:p>
      <w:pPr>
        <w:ind w:left="620" w:right="300" w:hanging="346"/>
        <w:spacing w:after="0" w:line="269"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are the “record holder” of your shares, meaning that you own your shares in your own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60" w:right="260"/>
        <w:spacing w:after="0" w:line="269" w:lineRule="auto"/>
        <w:rPr>
          <w:sz w:val="20"/>
          <w:szCs w:val="20"/>
          <w:color w:val="auto"/>
        </w:rPr>
      </w:pPr>
      <w:r>
        <w:rPr>
          <w:rFonts w:ascii="Arial" w:cs="Arial" w:eastAsia="Arial" w:hAnsi="Arial"/>
          <w:sz w:val="18"/>
          <w:szCs w:val="18"/>
          <w:color w:val="auto"/>
        </w:rPr>
        <w:t>name and not through a bank, broker or other nominee, you may vote in one of four ways.</w:t>
      </w:r>
    </w:p>
    <w:p>
      <w:pPr>
        <w:spacing w:after="0" w:line="43" w:lineRule="exact"/>
        <w:rPr>
          <w:sz w:val="20"/>
          <w:szCs w:val="20"/>
          <w:color w:val="auto"/>
        </w:rPr>
      </w:pPr>
    </w:p>
    <w:p>
      <w:pPr>
        <w:ind w:left="360" w:hanging="1"/>
        <w:spacing w:after="0" w:line="259" w:lineRule="auto"/>
        <w:tabs>
          <w:tab w:leader="none" w:pos="627"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You may vote over the Internet. </w:t>
      </w:r>
      <w:r>
        <w:rPr>
          <w:rFonts w:ascii="Arial" w:cs="Arial" w:eastAsia="Arial" w:hAnsi="Arial"/>
          <w:sz w:val="17"/>
          <w:szCs w:val="17"/>
          <w:color w:val="auto"/>
        </w:rPr>
        <w:t>If you have Internet access,</w:t>
      </w:r>
      <w:r>
        <w:rPr>
          <w:rFonts w:ascii="Arial" w:cs="Arial" w:eastAsia="Arial" w:hAnsi="Arial"/>
          <w:sz w:val="17"/>
          <w:szCs w:val="17"/>
          <w:i w:val="1"/>
          <w:iCs w:val="1"/>
          <w:color w:val="auto"/>
        </w:rPr>
        <w:t xml:space="preserve"> </w:t>
      </w:r>
      <w:r>
        <w:rPr>
          <w:rFonts w:ascii="Arial" w:cs="Arial" w:eastAsia="Arial" w:hAnsi="Arial"/>
          <w:sz w:val="17"/>
          <w:szCs w:val="17"/>
          <w:color w:val="auto"/>
        </w:rPr>
        <w:t>you may vote your shares from any location in the world by following the Internet voting instructions on the Notice or the proxy card. Proxies submitted via the Internet must be received by 11:59 p.m. Eastern Time on March 12, 2019.</w:t>
      </w:r>
    </w:p>
    <w:p>
      <w:pPr>
        <w:spacing w:after="0" w:line="53" w:lineRule="exact"/>
        <w:rPr>
          <w:rFonts w:ascii="Arial" w:cs="Arial" w:eastAsia="Arial" w:hAnsi="Arial"/>
          <w:sz w:val="17"/>
          <w:szCs w:val="17"/>
          <w:i w:val="1"/>
          <w:iCs w:val="1"/>
          <w:color w:val="auto"/>
        </w:rPr>
      </w:pPr>
    </w:p>
    <w:p>
      <w:pPr>
        <w:ind w:left="360" w:right="160" w:hanging="1"/>
        <w:spacing w:after="0" w:line="239" w:lineRule="auto"/>
        <w:tabs>
          <w:tab w:leader="none" w:pos="627"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telephone. </w:t>
      </w:r>
      <w:r>
        <w:rPr>
          <w:rFonts w:ascii="Arial" w:cs="Arial" w:eastAsia="Arial" w:hAnsi="Arial"/>
          <w:sz w:val="18"/>
          <w:szCs w:val="18"/>
          <w:color w:val="auto"/>
        </w:rPr>
        <w:t>You may vote your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1-800-690-6903 toll-free within the United States, U.S. territories and Canada and following the instructions provided by the recorded message. Proxies submitted via telephone must be received by 11:59 p.m. Eastern Time, on March 12, 2019.</w:t>
      </w:r>
    </w:p>
    <w:p>
      <w:pPr>
        <w:spacing w:after="0" w:line="71" w:lineRule="exact"/>
        <w:rPr>
          <w:rFonts w:ascii="Arial" w:cs="Arial" w:eastAsia="Arial" w:hAnsi="Arial"/>
          <w:sz w:val="18"/>
          <w:szCs w:val="18"/>
          <w:i w:val="1"/>
          <w:iCs w:val="1"/>
          <w:color w:val="auto"/>
        </w:rPr>
      </w:pPr>
    </w:p>
    <w:p>
      <w:pPr>
        <w:ind w:left="360" w:right="20" w:hanging="1"/>
        <w:spacing w:after="0" w:line="235" w:lineRule="auto"/>
        <w:tabs>
          <w:tab w:leader="none" w:pos="627"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by mail. </w:t>
      </w:r>
      <w:r>
        <w:rPr>
          <w:rFonts w:ascii="Arial" w:cs="Arial" w:eastAsia="Arial" w:hAnsi="Arial"/>
          <w:sz w:val="18"/>
          <w:szCs w:val="18"/>
          <w:color w:val="auto"/>
        </w:rPr>
        <w:t>If you received a printed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you may vote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8"/>
          <w:szCs w:val="18"/>
          <w:b w:val="1"/>
          <w:bCs w:val="1"/>
          <w:color w:val="auto"/>
        </w:rPr>
        <w:t>If you return the proxy card, but do not give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instructions on a particular matter described in this proxy statement, the shares you own will be voted in accordance with the recommendations of our Board of Directors.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recommends that you vote FOR each director nominee, FOR Proposals 2 and 3 and AGAINST Proposal 4.</w:t>
      </w:r>
    </w:p>
    <w:p>
      <w:pPr>
        <w:spacing w:after="0" w:line="75" w:lineRule="exact"/>
        <w:rPr>
          <w:rFonts w:ascii="Arial" w:cs="Arial" w:eastAsia="Arial" w:hAnsi="Arial"/>
          <w:sz w:val="18"/>
          <w:szCs w:val="18"/>
          <w:i w:val="1"/>
          <w:iCs w:val="1"/>
          <w:color w:val="auto"/>
        </w:rPr>
      </w:pPr>
    </w:p>
    <w:p>
      <w:pPr>
        <w:ind w:left="360" w:right="40" w:hanging="1"/>
        <w:spacing w:after="0" w:line="244" w:lineRule="auto"/>
        <w:tabs>
          <w:tab w:leader="none" w:pos="627"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You may vote in person. </w:t>
      </w:r>
      <w:r>
        <w:rPr>
          <w:rFonts w:ascii="Arial" w:cs="Arial" w:eastAsia="Arial" w:hAnsi="Arial"/>
          <w:sz w:val="18"/>
          <w:szCs w:val="18"/>
          <w:color w:val="auto"/>
        </w:rPr>
        <w:t>If you attend the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vote by delivering your completed proxy card in person or by completing a ballot. Ballots will be available at the Annual Meeting.</w:t>
      </w:r>
    </w:p>
    <w:p>
      <w:pPr>
        <w:spacing w:after="0" w:line="64" w:lineRule="exact"/>
        <w:rPr>
          <w:sz w:val="20"/>
          <w:szCs w:val="20"/>
          <w:color w:val="auto"/>
        </w:rPr>
      </w:pPr>
    </w:p>
    <w:p>
      <w:pPr>
        <w:ind w:left="360"/>
        <w:spacing w:after="0" w:line="249" w:lineRule="auto"/>
        <w:rPr>
          <w:sz w:val="20"/>
          <w:szCs w:val="20"/>
          <w:color w:val="auto"/>
        </w:rPr>
      </w:pPr>
      <w:r>
        <w:rPr>
          <w:rFonts w:ascii="Arial" w:cs="Arial" w:eastAsia="Arial" w:hAnsi="Arial"/>
          <w:sz w:val="18"/>
          <w:szCs w:val="18"/>
          <w:b w:val="1"/>
          <w:bCs w:val="1"/>
          <w:color w:val="auto"/>
        </w:rPr>
        <w:t>Please note that you cannot vote by marking up the Notice of Internet Availability of the Proxy Materials and mailing the Notice back. Any votes returned in that manner will not be counted.</w:t>
      </w:r>
    </w:p>
    <w:p>
      <w:pPr>
        <w:spacing w:after="0" w:line="6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Can I vote if my shares are held in “street name”?</w:t>
      </w:r>
    </w:p>
    <w:p>
      <w:pPr>
        <w:spacing w:after="0" w:line="115" w:lineRule="exact"/>
        <w:rPr>
          <w:sz w:val="20"/>
          <w:szCs w:val="20"/>
          <w:color w:val="auto"/>
        </w:rPr>
      </w:pPr>
    </w:p>
    <w:p>
      <w:pPr>
        <w:ind w:left="360" w:right="220" w:hanging="353"/>
        <w:spacing w:after="0" w:line="269"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Analog Devices shares that you own are held in “street name” by a bank, broker or</w:t>
      </w:r>
    </w:p>
    <w:p>
      <w:pPr>
        <w:spacing w:after="0" w:line="1441" w:lineRule="exact"/>
        <w:rPr>
          <w:sz w:val="20"/>
          <w:szCs w:val="20"/>
          <w:color w:val="auto"/>
        </w:rPr>
      </w:pPr>
    </w:p>
    <w:p>
      <w:pPr>
        <w:sectPr>
          <w:pgSz w:w="11900" w:h="16838" w:orient="portrait"/>
          <w:cols w:equalWidth="0" w:num="2">
            <w:col w:w="5480" w:space="340"/>
            <w:col w:w="5340"/>
          </w:cols>
          <w:pgMar w:left="240" w:top="453" w:right="499" w:bottom="1440" w:gutter="0" w:footer="0" w:header="0"/>
          <w:type w:val="continuous"/>
        </w:sectPr>
      </w:pPr>
    </w:p>
    <w:p>
      <w:pPr>
        <w:spacing w:after="0" w:line="30" w:lineRule="exact"/>
        <w:rPr>
          <w:sz w:val="20"/>
          <w:szCs w:val="20"/>
          <w:color w:val="auto"/>
        </w:rPr>
      </w:pPr>
    </w:p>
    <w:p>
      <w:pPr>
        <w:ind w:left="9380"/>
        <w:spacing w:after="0"/>
        <w:tabs>
          <w:tab w:leader="none" w:pos="110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9</w:t>
      </w:r>
    </w:p>
    <w:p>
      <w:pPr>
        <w:sectPr>
          <w:pgSz w:w="11900" w:h="16838" w:orient="portrait"/>
          <w:cols w:equalWidth="0" w:num="1">
            <w:col w:w="11160"/>
          </w:cols>
          <w:pgMar w:left="240" w:top="453" w:right="49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right="20"/>
        <w:spacing w:after="0" w:line="236" w:lineRule="auto"/>
        <w:rPr>
          <w:sz w:val="20"/>
          <w:szCs w:val="20"/>
          <w:color w:val="auto"/>
        </w:rPr>
      </w:pPr>
      <w:r>
        <w:rPr>
          <w:rFonts w:ascii="Arial" w:cs="Arial" w:eastAsia="Arial" w:hAnsi="Arial"/>
          <w:sz w:val="18"/>
          <w:szCs w:val="18"/>
          <w:color w:val="auto"/>
        </w:rPr>
        <w:t>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spacing w:after="0" w:line="74" w:lineRule="exact"/>
        <w:rPr>
          <w:sz w:val="20"/>
          <w:szCs w:val="20"/>
          <w:color w:val="auto"/>
        </w:rPr>
      </w:pPr>
    </w:p>
    <w:p>
      <w:pPr>
        <w:ind w:left="620" w:right="40"/>
        <w:spacing w:after="0" w:line="248" w:lineRule="auto"/>
        <w:rPr>
          <w:sz w:val="20"/>
          <w:szCs w:val="20"/>
          <w:color w:val="auto"/>
        </w:rPr>
      </w:pPr>
      <w:r>
        <w:rPr>
          <w:rFonts w:ascii="Arial" w:cs="Arial" w:eastAsia="Arial" w:hAnsi="Arial"/>
          <w:sz w:val="17"/>
          <w:szCs w:val="17"/>
          <w:color w:val="auto"/>
        </w:rPr>
        <w:t xml:space="preserve">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2019 (Proposal 3) is considered a “routine” matter and your broker will be able to vote on that proposal even if it does not receive instructions from you, so long as it holds your shares in its name. </w:t>
      </w:r>
      <w:r>
        <w:rPr>
          <w:rFonts w:ascii="Arial" w:cs="Arial" w:eastAsia="Arial" w:hAnsi="Arial"/>
          <w:sz w:val="17"/>
          <w:szCs w:val="17"/>
          <w:b w:val="1"/>
          <w:bCs w:val="1"/>
          <w:color w:val="auto"/>
        </w:rPr>
        <w:t>The election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directors (Proposal 1), the “say on pay” advisory vote (Proposal 2) and the shareholder proposal (Proposal 4) are “non-routine” matters. If you do not instruct your bank, broker or other nominee how to vote with respect to these proposals, your bank, broker or other nominee may not vote with respect to these proposals and those votes will be counted as “broker non-votes.” </w:t>
      </w:r>
      <w:r>
        <w:rPr>
          <w:rFonts w:ascii="Arial" w:cs="Arial" w:eastAsia="Arial" w:hAnsi="Arial"/>
          <w:sz w:val="17"/>
          <w:szCs w:val="17"/>
          <w:color w:val="auto"/>
        </w:rPr>
        <w:t>“Broker</w:t>
      </w:r>
      <w:r>
        <w:rPr>
          <w:rFonts w:ascii="Arial" w:cs="Arial" w:eastAsia="Arial" w:hAnsi="Arial"/>
          <w:sz w:val="17"/>
          <w:szCs w:val="17"/>
          <w:b w:val="1"/>
          <w:bCs w:val="1"/>
          <w:color w:val="auto"/>
        </w:rPr>
        <w:t xml:space="preserve"> </w:t>
      </w:r>
      <w:r>
        <w:rPr>
          <w:rFonts w:ascii="Arial" w:cs="Arial" w:eastAsia="Arial" w:hAnsi="Arial"/>
          <w:sz w:val="17"/>
          <w:szCs w:val="17"/>
          <w:color w:val="auto"/>
        </w:rPr>
        <w:t>non-votes” are shares that are held in “street name” by a bank, broker or other nominee that indicates on its proxy that it does not have or did not exercise discretionary authority to vote on a particular proposal.</w:t>
      </w:r>
    </w:p>
    <w:p>
      <w:pPr>
        <w:spacing w:after="0" w:line="267" w:lineRule="exact"/>
        <w:rPr>
          <w:sz w:val="20"/>
          <w:szCs w:val="20"/>
          <w:color w:val="auto"/>
        </w:rPr>
      </w:pPr>
    </w:p>
    <w:p>
      <w:pPr>
        <w:ind w:left="620"/>
        <w:spacing w:after="0" w:line="237" w:lineRule="auto"/>
        <w:rPr>
          <w:sz w:val="20"/>
          <w:szCs w:val="20"/>
          <w:color w:val="auto"/>
        </w:rPr>
      </w:pPr>
      <w:r>
        <w:rPr>
          <w:rFonts w:ascii="Arial" w:cs="Arial" w:eastAsia="Arial" w:hAnsi="Arial"/>
          <w:sz w:val="18"/>
          <w:szCs w:val="18"/>
          <w:color w:val="auto"/>
        </w:rPr>
        <w:t>If your shares are held in “street name,” you must bring an account statement or letter from your broker or other nominee, showing that you are the beneficial owner of the shares as of the record date (January 7, 2019) in order to be admitted to the Annual Meeting on March 13, 2019. To be able to vote your shares held in “street name” at the Annual Meeting, you will need to obtain a legal proxy from your bank, broker or other nominee, issued in your name giving you the right to vote your shares.</w:t>
      </w:r>
    </w:p>
    <w:p>
      <w:pPr>
        <w:spacing w:after="0" w:line="325" w:lineRule="exact"/>
        <w:rPr>
          <w:sz w:val="20"/>
          <w:szCs w:val="20"/>
          <w:color w:val="auto"/>
        </w:rPr>
      </w:pPr>
    </w:p>
    <w:p>
      <w:pPr>
        <w:ind w:left="660" w:hanging="393"/>
        <w:spacing w:after="0"/>
        <w:tabs>
          <w:tab w:leader="none" w:pos="660" w:val="left"/>
        </w:tabs>
        <w:numPr>
          <w:ilvl w:val="0"/>
          <w:numId w:val="2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3" w:right="60" w:hanging="353"/>
        <w:spacing w:after="0" w:line="257" w:lineRule="auto"/>
        <w:tabs>
          <w:tab w:leader="none" w:pos="353" w:val="left"/>
        </w:tabs>
        <w:numPr>
          <w:ilvl w:val="0"/>
          <w:numId w:val="26"/>
        </w:numPr>
        <w:rPr>
          <w:rFonts w:ascii="Arial" w:cs="Arial" w:eastAsia="Arial" w:hAnsi="Arial"/>
          <w:sz w:val="18"/>
          <w:szCs w:val="18"/>
          <w:b w:val="1"/>
          <w:bCs w:val="1"/>
          <w:color w:val="052B82"/>
        </w:rPr>
      </w:pPr>
      <w:r>
        <w:rPr>
          <w:rFonts w:ascii="Arial" w:cs="Arial" w:eastAsia="Arial" w:hAnsi="Arial"/>
          <w:sz w:val="18"/>
          <w:szCs w:val="18"/>
          <w:b w:val="1"/>
          <w:bCs w:val="1"/>
          <w:color w:val="052B82"/>
        </w:rPr>
        <w:t>Can I change my vote after I have mailed my proxy card or after I have voted my shares over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-1202690</wp:posOffset>
            </wp:positionV>
            <wp:extent cx="72904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38" w:lineRule="exact"/>
        <w:rPr>
          <w:sz w:val="20"/>
          <w:szCs w:val="20"/>
          <w:color w:val="auto"/>
        </w:rPr>
      </w:pPr>
    </w:p>
    <w:p>
      <w:pPr>
        <w:ind w:left="353" w:right="160" w:hanging="353"/>
        <w:spacing w:after="0" w:line="244" w:lineRule="auto"/>
        <w:tabs>
          <w:tab w:leader="none" w:pos="3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If you are the “record holder” of your shares, you can revoke your proxy or change your vote at any time before the polls close at the Annual Meeting by doing any one of the following things:</w:t>
      </w:r>
    </w:p>
    <w:p>
      <w:pPr>
        <w:spacing w:after="0" w:line="79" w:lineRule="exact"/>
        <w:rPr>
          <w:rFonts w:ascii="Arial" w:cs="Arial" w:eastAsia="Arial" w:hAnsi="Arial"/>
          <w:sz w:val="18"/>
          <w:szCs w:val="18"/>
          <w:color w:val="auto"/>
        </w:rPr>
      </w:pPr>
    </w:p>
    <w:p>
      <w:pPr>
        <w:ind w:left="753" w:right="420" w:hanging="303"/>
        <w:spacing w:after="0" w:line="250" w:lineRule="auto"/>
        <w:tabs>
          <w:tab w:leader="none" w:pos="7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voting over the Internet or by telephone as instructed above (only your latest Internet or telephone vote is counted);</w:t>
      </w:r>
    </w:p>
    <w:p>
      <w:pPr>
        <w:spacing w:after="0" w:line="74" w:lineRule="exact"/>
        <w:rPr>
          <w:rFonts w:ascii="Arial" w:cs="Arial" w:eastAsia="Arial" w:hAnsi="Arial"/>
          <w:sz w:val="18"/>
          <w:szCs w:val="18"/>
          <w:color w:val="auto"/>
        </w:rPr>
      </w:pPr>
    </w:p>
    <w:p>
      <w:pPr>
        <w:ind w:left="753" w:hanging="303"/>
        <w:spacing w:after="0"/>
        <w:tabs>
          <w:tab w:leader="none" w:pos="753" w:val="left"/>
        </w:tabs>
        <w:numPr>
          <w:ilvl w:val="1"/>
          <w:numId w:val="27"/>
        </w:numPr>
        <w:rPr>
          <w:rFonts w:ascii="Arial" w:cs="Arial" w:eastAsia="Arial" w:hAnsi="Arial"/>
          <w:sz w:val="17"/>
          <w:szCs w:val="17"/>
          <w:color w:val="auto"/>
        </w:rPr>
      </w:pPr>
      <w:r>
        <w:rPr>
          <w:rFonts w:ascii="Arial" w:cs="Arial" w:eastAsia="Arial" w:hAnsi="Arial"/>
          <w:sz w:val="17"/>
          <w:szCs w:val="17"/>
          <w:color w:val="auto"/>
        </w:rPr>
        <w:t>signing and returning another proxy card with a later date;</w:t>
      </w:r>
    </w:p>
    <w:p>
      <w:pPr>
        <w:spacing w:after="0" w:line="124" w:lineRule="exact"/>
        <w:rPr>
          <w:rFonts w:ascii="Arial" w:cs="Arial" w:eastAsia="Arial" w:hAnsi="Arial"/>
          <w:sz w:val="17"/>
          <w:szCs w:val="17"/>
          <w:color w:val="auto"/>
        </w:rPr>
      </w:pPr>
    </w:p>
    <w:p>
      <w:pPr>
        <w:ind w:left="753" w:right="500" w:hanging="303"/>
        <w:spacing w:after="0" w:line="269" w:lineRule="auto"/>
        <w:tabs>
          <w:tab w:leader="none" w:pos="7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giving our Secretary a written notice before or at the meeting that you want to revoke your proxy; or</w:t>
      </w:r>
    </w:p>
    <w:p>
      <w:pPr>
        <w:spacing w:after="0" w:line="56" w:lineRule="exact"/>
        <w:rPr>
          <w:rFonts w:ascii="Arial" w:cs="Arial" w:eastAsia="Arial" w:hAnsi="Arial"/>
          <w:sz w:val="18"/>
          <w:szCs w:val="18"/>
          <w:color w:val="auto"/>
        </w:rPr>
      </w:pPr>
    </w:p>
    <w:p>
      <w:pPr>
        <w:ind w:left="753" w:right="100" w:hanging="303"/>
        <w:spacing w:after="0" w:line="299" w:lineRule="auto"/>
        <w:tabs>
          <w:tab w:leader="none" w:pos="75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attending the Annual Meeting, requesting that your proxy be revoked and voting in person as instructed above.</w:t>
      </w:r>
    </w:p>
    <w:p>
      <w:pPr>
        <w:spacing w:after="0" w:line="20" w:lineRule="exact"/>
        <w:rPr>
          <w:sz w:val="20"/>
          <w:szCs w:val="20"/>
          <w:color w:val="auto"/>
        </w:rPr>
      </w:pPr>
    </w:p>
    <w:p>
      <w:pPr>
        <w:ind w:left="353" w:right="460"/>
        <w:spacing w:after="0" w:line="269" w:lineRule="auto"/>
        <w:rPr>
          <w:sz w:val="20"/>
          <w:szCs w:val="20"/>
          <w:color w:val="auto"/>
        </w:rPr>
      </w:pPr>
      <w:r>
        <w:rPr>
          <w:rFonts w:ascii="Arial" w:cs="Arial" w:eastAsia="Arial" w:hAnsi="Arial"/>
          <w:sz w:val="18"/>
          <w:szCs w:val="18"/>
          <w:color w:val="auto"/>
        </w:rPr>
        <w:t>Your attendance at the meeting alone will not revoke your proxy.</w:t>
      </w:r>
    </w:p>
    <w:p>
      <w:pPr>
        <w:spacing w:after="0" w:line="43" w:lineRule="exact"/>
        <w:rPr>
          <w:sz w:val="20"/>
          <w:szCs w:val="20"/>
          <w:color w:val="auto"/>
        </w:rPr>
      </w:pPr>
    </w:p>
    <w:p>
      <w:pPr>
        <w:ind w:left="353"/>
        <w:spacing w:after="0" w:line="239" w:lineRule="auto"/>
        <w:rPr>
          <w:sz w:val="20"/>
          <w:szCs w:val="20"/>
          <w:color w:val="auto"/>
        </w:rPr>
      </w:pPr>
      <w:r>
        <w:rPr>
          <w:rFonts w:ascii="Arial" w:cs="Arial" w:eastAsia="Arial" w:hAnsi="Arial"/>
          <w:sz w:val="18"/>
          <w:szCs w:val="18"/>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above entitled “Can I vote if my shares are held in ‘street name’”?</w:t>
      </w:r>
    </w:p>
    <w:p>
      <w:pPr>
        <w:spacing w:after="0" w:line="83" w:lineRule="exact"/>
        <w:rPr>
          <w:sz w:val="20"/>
          <w:szCs w:val="20"/>
          <w:color w:val="auto"/>
        </w:rPr>
      </w:pPr>
    </w:p>
    <w:p>
      <w:pPr>
        <w:ind w:left="353" w:right="20" w:hanging="353"/>
        <w:spacing w:after="0" w:line="283" w:lineRule="auto"/>
        <w:tabs>
          <w:tab w:leader="none" w:pos="353" w:val="left"/>
        </w:tabs>
        <w:numPr>
          <w:ilvl w:val="0"/>
          <w:numId w:val="28"/>
        </w:numPr>
        <w:rPr>
          <w:rFonts w:ascii="Arial" w:cs="Arial" w:eastAsia="Arial" w:hAnsi="Arial"/>
          <w:sz w:val="18"/>
          <w:szCs w:val="18"/>
          <w:b w:val="1"/>
          <w:bCs w:val="1"/>
          <w:color w:val="052B82"/>
        </w:rPr>
      </w:pPr>
      <w:r>
        <w:rPr>
          <w:rFonts w:ascii="Arial" w:cs="Arial" w:eastAsia="Arial" w:hAnsi="Arial"/>
          <w:sz w:val="18"/>
          <w:szCs w:val="18"/>
          <w:b w:val="1"/>
          <w:bCs w:val="1"/>
          <w:color w:val="052B82"/>
        </w:rPr>
        <w:t>How do I vote my shares held in trust in the Analog Ireland Success Sharing Share Plan?</w:t>
      </w:r>
    </w:p>
    <w:p>
      <w:pPr>
        <w:spacing w:after="0" w:line="35" w:lineRule="exact"/>
        <w:rPr>
          <w:sz w:val="20"/>
          <w:szCs w:val="20"/>
          <w:color w:val="auto"/>
        </w:rPr>
      </w:pPr>
    </w:p>
    <w:p>
      <w:pPr>
        <w:ind w:left="353" w:right="20" w:hanging="353"/>
        <w:spacing w:after="0" w:line="235" w:lineRule="auto"/>
        <w:tabs>
          <w:tab w:leader="none" w:pos="3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participate in the Analog Ireland Success Sharing Share Plan, which we refer to as the Ireland share plan, you may instruct Irish Pensions Trust Limited, which serves as the trustee of the Ireland share plan, to vote the amount of shares of common stock that they hold on your behalf as of the record date. You will receive a voting card that you may use to direct Mercer Ireland Limited, or Mercer, which administers the Irish share plan on behalf of Irish Pensions Trust Limited, how to vote your shares. You should sign the voting card and return it to Mercer in the envelope provided. Mercer will vote the shares in the manner that you direct on the voting card. If Mercer does not receive your voting card by 5:00 p.m. Greenwich Mean Time (GMT) on March 6, 2019, Mercer will not vote your shares.</w:t>
      </w:r>
    </w:p>
    <w:p>
      <w:pPr>
        <w:sectPr>
          <w:pgSz w:w="11900" w:h="16838" w:orient="portrait"/>
          <w:cols w:equalWidth="0" w:num="2">
            <w:col w:w="5460" w:space="367"/>
            <w:col w:w="5333"/>
          </w:cols>
          <w:pgMar w:left="240" w:top="453"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What constitutes a quorum?</w:t>
      </w:r>
    </w:p>
    <w:p>
      <w:pPr>
        <w:spacing w:after="0" w:line="115" w:lineRule="exact"/>
        <w:rPr>
          <w:sz w:val="20"/>
          <w:szCs w:val="20"/>
          <w:color w:val="auto"/>
        </w:rPr>
      </w:pPr>
    </w:p>
    <w:p>
      <w:pPr>
        <w:ind w:left="620" w:right="80" w:hanging="346"/>
        <w:spacing w:after="0" w:line="238"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7, 2019, the record date, or at least 184,649,911 shares.</w:t>
      </w:r>
    </w:p>
    <w:p>
      <w:pPr>
        <w:spacing w:after="0" w:line="71" w:lineRule="exact"/>
        <w:rPr>
          <w:rFonts w:ascii="Arial" w:cs="Arial" w:eastAsia="Arial" w:hAnsi="Arial"/>
          <w:sz w:val="18"/>
          <w:szCs w:val="18"/>
          <w:color w:val="auto"/>
        </w:rPr>
      </w:pPr>
    </w:p>
    <w:p>
      <w:pPr>
        <w:ind w:left="620"/>
        <w:spacing w:after="0" w:line="241" w:lineRule="auto"/>
        <w:rPr>
          <w:rFonts w:ascii="Arial" w:cs="Arial" w:eastAsia="Arial" w:hAnsi="Arial"/>
          <w:sz w:val="18"/>
          <w:szCs w:val="18"/>
          <w:color w:val="auto"/>
        </w:rPr>
      </w:pPr>
      <w:r>
        <w:rPr>
          <w:rFonts w:ascii="Arial" w:cs="Arial" w:eastAsia="Arial" w:hAnsi="Arial"/>
          <w:sz w:val="18"/>
          <w:szCs w:val="18"/>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w:t>
      </w:r>
    </w:p>
    <w:p>
      <w:pPr>
        <w:spacing w:after="0" w:line="68" w:lineRule="exact"/>
        <w:rPr>
          <w:rFonts w:ascii="Arial" w:cs="Arial" w:eastAsia="Arial" w:hAnsi="Arial"/>
          <w:sz w:val="18"/>
          <w:szCs w:val="18"/>
          <w:color w:val="auto"/>
        </w:rPr>
      </w:pPr>
    </w:p>
    <w:p>
      <w:pPr>
        <w:ind w:left="620" w:right="660"/>
        <w:spacing w:after="0" w:line="269" w:lineRule="auto"/>
        <w:rPr>
          <w:rFonts w:ascii="Arial" w:cs="Arial" w:eastAsia="Arial" w:hAnsi="Arial"/>
          <w:sz w:val="18"/>
          <w:szCs w:val="18"/>
          <w:color w:val="auto"/>
        </w:rPr>
      </w:pPr>
      <w:r>
        <w:rPr>
          <w:rFonts w:ascii="Arial" w:cs="Arial" w:eastAsia="Arial" w:hAnsi="Arial"/>
          <w:sz w:val="18"/>
          <w:szCs w:val="18"/>
          <w:color w:val="auto"/>
        </w:rPr>
        <w:t>If a quorum is not present, the Annual Meeting will be adjourned until a quorum is obtained.</w:t>
      </w:r>
    </w:p>
    <w:p>
      <w:pPr>
        <w:spacing w:after="0" w:line="55"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What vote is required for each proposal?</w:t>
      </w:r>
    </w:p>
    <w:p>
      <w:pPr>
        <w:spacing w:after="0" w:line="115" w:lineRule="exact"/>
        <w:rPr>
          <w:sz w:val="20"/>
          <w:szCs w:val="20"/>
          <w:color w:val="auto"/>
        </w:rPr>
      </w:pPr>
    </w:p>
    <w:p>
      <w:pPr>
        <w:ind w:left="620" w:right="20" w:hanging="346"/>
        <w:spacing w:after="0" w:line="248"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Election of directors</w:t>
      </w:r>
      <w:r>
        <w:rPr>
          <w:rFonts w:ascii="Arial" w:cs="Arial" w:eastAsia="Arial" w:hAnsi="Arial"/>
          <w:sz w:val="17"/>
          <w:szCs w:val="17"/>
          <w:color w:val="auto"/>
        </w:rPr>
        <w:t>. Under our bylaws, a nominee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elected to the Board of Directors if the votes cast “for” the 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w:t>
      </w:r>
      <w:r>
        <w:rPr>
          <w:rFonts w:ascii="Arial" w:cs="Arial" w:eastAsia="Arial" w:hAnsi="Arial"/>
          <w:sz w:val="17"/>
          <w:szCs w:val="17"/>
          <w:b w:val="1"/>
          <w:bCs w:val="1"/>
          <w:color w:val="auto"/>
        </w:rPr>
        <w:t>If you do not instruct your bank, broker 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other nominee how to vote with respect to this proposal, your bank, broker or other nominee may not vote your shares with respect to the election of directors. </w:t>
      </w:r>
      <w:r>
        <w:rPr>
          <w:rFonts w:ascii="Arial" w:cs="Arial" w:eastAsia="Arial" w:hAnsi="Arial"/>
          <w:sz w:val="17"/>
          <w:szCs w:val="17"/>
          <w:color w:val="auto"/>
        </w:rPr>
        <w:t>If an</w:t>
      </w:r>
      <w:r>
        <w:rPr>
          <w:rFonts w:ascii="Arial" w:cs="Arial" w:eastAsia="Arial" w:hAnsi="Arial"/>
          <w:sz w:val="17"/>
          <w:szCs w:val="17"/>
          <w:b w:val="1"/>
          <w:bCs w:val="1"/>
          <w:color w:val="auto"/>
        </w:rPr>
        <w:t xml:space="preserve"> </w:t>
      </w:r>
      <w:r>
        <w:rPr>
          <w:rFonts w:ascii="Arial" w:cs="Arial" w:eastAsia="Arial" w:hAnsi="Arial"/>
          <w:sz w:val="17"/>
          <w:szCs w:val="17"/>
          <w:color w:val="auto"/>
        </w:rPr>
        <w:t>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70" w:lineRule="exact"/>
        <w:rPr>
          <w:rFonts w:ascii="Arial" w:cs="Arial" w:eastAsia="Arial" w:hAnsi="Arial"/>
          <w:sz w:val="17"/>
          <w:szCs w:val="17"/>
          <w:color w:val="auto"/>
        </w:rPr>
      </w:pPr>
    </w:p>
    <w:p>
      <w:pPr>
        <w:ind w:left="620"/>
        <w:spacing w:after="0" w:line="250" w:lineRule="auto"/>
        <w:rPr>
          <w:rFonts w:ascii="Arial" w:cs="Arial" w:eastAsia="Arial" w:hAnsi="Arial"/>
          <w:sz w:val="17"/>
          <w:szCs w:val="17"/>
          <w:color w:val="auto"/>
        </w:rPr>
      </w:pPr>
      <w:r>
        <w:rPr>
          <w:rFonts w:ascii="Arial" w:cs="Arial" w:eastAsia="Arial" w:hAnsi="Arial"/>
          <w:sz w:val="18"/>
          <w:szCs w:val="18"/>
          <w:i w:val="1"/>
          <w:iCs w:val="1"/>
          <w:color w:val="auto"/>
        </w:rPr>
        <w:t xml:space="preserve">“Say on Pay.” </w:t>
      </w:r>
      <w:r>
        <w:rPr>
          <w:rFonts w:ascii="Arial" w:cs="Arial" w:eastAsia="Arial" w:hAnsi="Arial"/>
          <w:sz w:val="18"/>
          <w:szCs w:val="18"/>
          <w:color w:val="auto"/>
        </w:rPr>
        <w:t>Our Board of Directors is seeking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vote regarding the compensation of our named executive officers, as described in the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 xml:space="preserve">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w:t>
      </w:r>
      <w:r>
        <w:rPr>
          <w:rFonts w:ascii="Arial" w:cs="Arial" w:eastAsia="Arial" w:hAnsi="Arial"/>
          <w:sz w:val="18"/>
          <w:szCs w:val="18"/>
          <w:b w:val="1"/>
          <w:bCs w:val="1"/>
          <w:color w:val="auto"/>
        </w:rPr>
        <w:t>If you do not instruct</w:t>
      </w:r>
      <w:r>
        <w:rPr>
          <w:rFonts w:ascii="Arial" w:cs="Arial" w:eastAsia="Arial" w:hAnsi="Arial"/>
          <w:sz w:val="18"/>
          <w:szCs w:val="18"/>
          <w:color w:val="auto"/>
        </w:rPr>
        <w:t xml:space="preserve"> </w:t>
      </w:r>
      <w:r>
        <w:rPr>
          <w:rFonts w:ascii="Arial" w:cs="Arial" w:eastAsia="Arial" w:hAnsi="Arial"/>
          <w:sz w:val="18"/>
          <w:szCs w:val="18"/>
          <w:b w:val="1"/>
          <w:bCs w:val="1"/>
          <w:color w:val="auto"/>
        </w:rPr>
        <w:t>your bank, broker or other nominee how to vote with respect to this proposal, your bank, broker or other nominee may not vote your shares with respect to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-2332355</wp:posOffset>
            </wp:positionV>
            <wp:extent cx="72904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-1798320</wp:posOffset>
            </wp:positionV>
            <wp:extent cx="2619375" cy="13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49" w:lineRule="exact"/>
        <w:rPr>
          <w:sz w:val="20"/>
          <w:szCs w:val="20"/>
          <w:color w:val="auto"/>
        </w:rPr>
      </w:pPr>
    </w:p>
    <w:p>
      <w:pPr>
        <w:ind w:left="360" w:right="100"/>
        <w:spacing w:after="0" w:line="238" w:lineRule="auto"/>
        <w:rPr>
          <w:sz w:val="20"/>
          <w:szCs w:val="20"/>
          <w:color w:val="auto"/>
        </w:rPr>
      </w:pPr>
      <w:r>
        <w:rPr>
          <w:rFonts w:ascii="Arial" w:cs="Arial" w:eastAsia="Arial" w:hAnsi="Arial"/>
          <w:sz w:val="18"/>
          <w:szCs w:val="18"/>
          <w:i w:val="1"/>
          <w:iCs w:val="1"/>
          <w:color w:val="auto"/>
        </w:rPr>
        <w:t xml:space="preserve">Ratification of independent registered public accounting firm. </w:t>
      </w:r>
      <w:r>
        <w:rPr>
          <w:rFonts w:ascii="Arial" w:cs="Arial" w:eastAsia="Arial" w:hAnsi="Arial"/>
          <w:sz w:val="18"/>
          <w:szCs w:val="18"/>
          <w:color w:val="auto"/>
        </w:rPr>
        <w:t xml:space="preserve">Under our bylaws, the affirmative vote of a majority of the total number of votes cast on the proposal is needed to ratify the selection of Ernst &amp; Young LLP as our independent registered public accounting firm for fiscal 2019. </w:t>
      </w:r>
      <w:r>
        <w:rPr>
          <w:rFonts w:ascii="Arial" w:cs="Arial" w:eastAsia="Arial" w:hAnsi="Arial"/>
          <w:sz w:val="18"/>
          <w:szCs w:val="18"/>
          <w:b w:val="1"/>
          <w:bCs w:val="1"/>
          <w:color w:val="auto"/>
        </w:rPr>
        <w:t>Even 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 your bank, broker or other nominee how to vote with respect to this proposal, your bank, broker or other nominee may vote your shares with respect to this proposal.</w:t>
      </w:r>
    </w:p>
    <w:p>
      <w:pPr>
        <w:spacing w:after="0" w:line="60" w:lineRule="exact"/>
        <w:rPr>
          <w:sz w:val="20"/>
          <w:szCs w:val="20"/>
          <w:color w:val="auto"/>
        </w:rPr>
      </w:pPr>
    </w:p>
    <w:p>
      <w:pPr>
        <w:ind w:left="360" w:right="140"/>
        <w:spacing w:after="0"/>
        <w:rPr>
          <w:sz w:val="20"/>
          <w:szCs w:val="20"/>
          <w:color w:val="auto"/>
        </w:rPr>
      </w:pPr>
      <w:r>
        <w:rPr>
          <w:rFonts w:ascii="Arial" w:cs="Arial" w:eastAsia="Arial" w:hAnsi="Arial"/>
          <w:sz w:val="18"/>
          <w:szCs w:val="18"/>
          <w:i w:val="1"/>
          <w:iCs w:val="1"/>
          <w:color w:val="auto"/>
        </w:rPr>
        <w:t>Shareholder Proposal</w:t>
      </w:r>
      <w:r>
        <w:rPr>
          <w:rFonts w:ascii="Arial" w:cs="Arial" w:eastAsia="Arial" w:hAnsi="Arial"/>
          <w:sz w:val="18"/>
          <w:szCs w:val="18"/>
          <w:color w:val="auto"/>
        </w:rPr>
        <w:t>. Under our bylaws, the affirmative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a majority of the total number of votes cast on the proposal is needed to approve the shareholder proposal. </w:t>
      </w:r>
      <w:r>
        <w:rPr>
          <w:rFonts w:ascii="Arial" w:cs="Arial" w:eastAsia="Arial" w:hAnsi="Arial"/>
          <w:sz w:val="18"/>
          <w:szCs w:val="18"/>
          <w:b w:val="1"/>
          <w:bCs w:val="1"/>
          <w:color w:val="auto"/>
        </w:rPr>
        <w:t>If you do not</w:t>
      </w:r>
      <w:r>
        <w:rPr>
          <w:rFonts w:ascii="Arial" w:cs="Arial" w:eastAsia="Arial" w:hAnsi="Arial"/>
          <w:sz w:val="18"/>
          <w:szCs w:val="18"/>
          <w:color w:val="auto"/>
        </w:rPr>
        <w:t xml:space="preserve"> </w:t>
      </w:r>
      <w:r>
        <w:rPr>
          <w:rFonts w:ascii="Arial" w:cs="Arial" w:eastAsia="Arial" w:hAnsi="Arial"/>
          <w:sz w:val="18"/>
          <w:szCs w:val="18"/>
          <w:b w:val="1"/>
          <w:bCs w:val="1"/>
          <w:color w:val="auto"/>
        </w:rPr>
        <w:t>instruct your bank, broker or other nominee how to vote with respect to this proposal, your bank, broker or other nominee may not vote your shares with respect to this proposal.</w:t>
      </w:r>
    </w:p>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will votes be counted?</w:t>
      </w:r>
    </w:p>
    <w:p>
      <w:pPr>
        <w:spacing w:after="0" w:line="115" w:lineRule="exact"/>
        <w:rPr>
          <w:sz w:val="20"/>
          <w:szCs w:val="20"/>
          <w:color w:val="auto"/>
        </w:rPr>
      </w:pPr>
    </w:p>
    <w:p>
      <w:pPr>
        <w:ind w:left="360" w:right="20" w:hanging="353"/>
        <w:spacing w:after="0" w:line="250" w:lineRule="auto"/>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share of common stock will be counted as one vote according to the instructions contained on a properly completed proxy card, whether submitted in person, by mail, over the Internet or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4 will not be allowed to vote these shares, and all such shares will be “broker non-votes” rather than votes “for” or “against.” Accordingly, assuming</w:t>
      </w:r>
    </w:p>
    <w:p>
      <w:pPr>
        <w:spacing w:after="0" w:line="28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6"/>
          <w:szCs w:val="16"/>
          <w:color w:val="999999"/>
        </w:rPr>
        <w:t>11</w:t>
      </w:r>
    </w:p>
    <w:p>
      <w:pPr>
        <w:sectPr>
          <w:pgSz w:w="11900" w:h="16838" w:orient="portrait"/>
          <w:cols w:equalWidth="0" w:num="2">
            <w:col w:w="5480" w:space="340"/>
            <w:col w:w="5340"/>
          </w:cols>
          <w:pgMar w:left="240" w:top="453"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right="80"/>
        <w:spacing w:after="0" w:line="250" w:lineRule="auto"/>
        <w:rPr>
          <w:sz w:val="20"/>
          <w:szCs w:val="20"/>
          <w:color w:val="auto"/>
        </w:rPr>
      </w:pPr>
      <w:r>
        <w:rPr>
          <w:rFonts w:ascii="Arial" w:cs="Arial" w:eastAsia="Arial" w:hAnsi="Arial"/>
          <w:sz w:val="18"/>
          <w:szCs w:val="18"/>
          <w:color w:val="auto"/>
        </w:rPr>
        <w:t>the presence of a quorum, abstentions and “broker non-votes” for a particular proposal will not be counted as votes cast to determine the outcome of a particular proposal.</w:t>
      </w:r>
    </w:p>
    <w:p>
      <w:pPr>
        <w:spacing w:after="0" w:line="72"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Who will count the votes?</w:t>
      </w:r>
    </w:p>
    <w:p>
      <w:pPr>
        <w:spacing w:after="0" w:line="115" w:lineRule="exact"/>
        <w:rPr>
          <w:sz w:val="20"/>
          <w:szCs w:val="20"/>
          <w:color w:val="auto"/>
        </w:rPr>
      </w:pPr>
    </w:p>
    <w:p>
      <w:pPr>
        <w:ind w:left="620" w:right="760" w:hanging="346"/>
        <w:spacing w:after="0" w:line="26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votes will be counted, tabulated and certified by Broadridge.</w:t>
      </w:r>
    </w:p>
    <w:p>
      <w:pPr>
        <w:spacing w:after="0" w:line="55"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Will my vote be kept confidential?</w:t>
      </w:r>
    </w:p>
    <w:p>
      <w:pPr>
        <w:spacing w:after="0" w:line="115" w:lineRule="exact"/>
        <w:rPr>
          <w:sz w:val="20"/>
          <w:szCs w:val="20"/>
          <w:color w:val="auto"/>
        </w:rPr>
      </w:pPr>
    </w:p>
    <w:p>
      <w:pPr>
        <w:ind w:left="620" w:right="20" w:hanging="346"/>
        <w:spacing w:after="0" w:line="237"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85" w:lineRule="exact"/>
        <w:rPr>
          <w:sz w:val="20"/>
          <w:szCs w:val="20"/>
          <w:color w:val="auto"/>
        </w:rPr>
      </w:pPr>
    </w:p>
    <w:p>
      <w:pPr>
        <w:ind w:left="620" w:right="140" w:hanging="346"/>
        <w:spacing w:after="0" w:line="283" w:lineRule="auto"/>
        <w:tabs>
          <w:tab w:leader="none" w:pos="620" w:val="left"/>
        </w:tabs>
        <w:numPr>
          <w:ilvl w:val="0"/>
          <w:numId w:val="35"/>
        </w:numPr>
        <w:rPr>
          <w:rFonts w:ascii="Arial" w:cs="Arial" w:eastAsia="Arial" w:hAnsi="Arial"/>
          <w:sz w:val="18"/>
          <w:szCs w:val="18"/>
          <w:b w:val="1"/>
          <w:bCs w:val="1"/>
          <w:color w:val="052B82"/>
        </w:rPr>
      </w:pPr>
      <w:r>
        <w:rPr>
          <w:rFonts w:ascii="Arial" w:cs="Arial" w:eastAsia="Arial" w:hAnsi="Arial"/>
          <w:sz w:val="18"/>
          <w:szCs w:val="18"/>
          <w:b w:val="1"/>
          <w:bCs w:val="1"/>
          <w:color w:val="052B82"/>
        </w:rPr>
        <w:t>How does the Board of Directors recommend that I vote on the proposals?</w:t>
      </w:r>
    </w:p>
    <w:p>
      <w:pPr>
        <w:spacing w:after="0" w:line="35" w:lineRule="exact"/>
        <w:rPr>
          <w:sz w:val="20"/>
          <w:szCs w:val="20"/>
          <w:color w:val="auto"/>
        </w:rPr>
      </w:pPr>
    </w:p>
    <w:p>
      <w:pPr>
        <w:ind w:left="620" w:hanging="346"/>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Board of Directors recommends that you vote:</w:t>
      </w:r>
    </w:p>
    <w:p>
      <w:pPr>
        <w:spacing w:after="0" w:line="98" w:lineRule="exact"/>
        <w:rPr>
          <w:rFonts w:ascii="Arial" w:cs="Arial" w:eastAsia="Arial" w:hAnsi="Arial"/>
          <w:sz w:val="18"/>
          <w:szCs w:val="18"/>
          <w:color w:val="auto"/>
        </w:rPr>
      </w:pPr>
    </w:p>
    <w:p>
      <w:pPr>
        <w:ind w:left="620" w:right="80"/>
        <w:spacing w:after="0" w:line="273" w:lineRule="auto"/>
        <w:rPr>
          <w:rFonts w:ascii="Arial" w:cs="Arial" w:eastAsia="Arial" w:hAnsi="Arial"/>
          <w:sz w:val="18"/>
          <w:szCs w:val="18"/>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the eleven nominees to serve as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on the Board of Directors, each for a term expiring at the next annual meeting of shareholders (Proposal 1);</w:t>
      </w:r>
    </w:p>
    <w:p>
      <w:pPr>
        <w:spacing w:after="0" w:line="40" w:lineRule="exact"/>
        <w:rPr>
          <w:rFonts w:ascii="Arial" w:cs="Arial" w:eastAsia="Arial" w:hAnsi="Arial"/>
          <w:sz w:val="18"/>
          <w:szCs w:val="18"/>
          <w:color w:val="auto"/>
        </w:rPr>
      </w:pPr>
    </w:p>
    <w:p>
      <w:pPr>
        <w:ind w:left="620"/>
        <w:spacing w:after="0" w:line="242"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by non-binding “say on pay” vote,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our named executive officers, as described in the Compensation Discussion and Analysis, executive compensation tables and accompanying narrative disclosures contained in this proxy statement (Proposal 2);</w:t>
      </w:r>
    </w:p>
    <w:p>
      <w:pPr>
        <w:spacing w:after="0" w:line="64" w:lineRule="exact"/>
        <w:rPr>
          <w:rFonts w:ascii="Arial" w:cs="Arial" w:eastAsia="Arial" w:hAnsi="Arial"/>
          <w:sz w:val="18"/>
          <w:szCs w:val="18"/>
          <w:color w:val="auto"/>
        </w:rPr>
      </w:pPr>
    </w:p>
    <w:p>
      <w:pPr>
        <w:ind w:left="620" w:right="100"/>
        <w:spacing w:after="0" w:line="251"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fiscal 2019 (Proposal 3); and</w:t>
      </w:r>
    </w:p>
    <w:p>
      <w:pPr>
        <w:spacing w:after="0" w:line="58" w:lineRule="exact"/>
        <w:rPr>
          <w:rFonts w:ascii="Arial" w:cs="Arial" w:eastAsia="Arial" w:hAnsi="Arial"/>
          <w:sz w:val="18"/>
          <w:szCs w:val="18"/>
          <w:color w:val="auto"/>
        </w:rPr>
      </w:pPr>
    </w:p>
    <w:p>
      <w:pPr>
        <w:ind w:left="620" w:right="360"/>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AGAINST </w:t>
      </w:r>
      <w:r>
        <w:rPr>
          <w:rFonts w:ascii="Arial" w:cs="Arial" w:eastAsia="Arial" w:hAnsi="Arial"/>
          <w:sz w:val="18"/>
          <w:szCs w:val="18"/>
          <w:color w:val="auto"/>
        </w:rPr>
        <w:t>the shareholder proposal relating to a diversity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(Proposal 4).</w:t>
      </w:r>
    </w:p>
    <w:p>
      <w:pPr>
        <w:spacing w:after="0" w:line="53"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Will any other matters be voted on at this meeting?</w:t>
      </w:r>
    </w:p>
    <w:p>
      <w:pPr>
        <w:spacing w:after="0" w:line="115" w:lineRule="exact"/>
        <w:rPr>
          <w:sz w:val="20"/>
          <w:szCs w:val="20"/>
          <w:color w:val="auto"/>
        </w:rPr>
      </w:pPr>
    </w:p>
    <w:p>
      <w:pPr>
        <w:ind w:left="620" w:right="200" w:hanging="346"/>
        <w:spacing w:after="0" w:line="239"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 Under the laws of Massachusetts, where we are incorporated, an item may not be brought before our shareholders at a meeting unless it appears in the notice of the meeting. Our bylaws establish the process for a shareholder to bring a matter before a meeting. See </w:t>
      </w:r>
      <w:r>
        <w:rPr>
          <w:rFonts w:ascii="Arial" w:cs="Arial" w:eastAsia="Arial" w:hAnsi="Arial"/>
          <w:sz w:val="18"/>
          <w:szCs w:val="18"/>
          <w:b w:val="1"/>
          <w:bCs w:val="1"/>
          <w:i w:val="1"/>
          <w:iCs w:val="1"/>
          <w:color w:val="auto"/>
        </w:rPr>
        <w:t>“How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and when may I submit a shareholder proposal, including a shareholder nomination for director, for the 2020 annual meeting of shareholders?” </w:t>
      </w:r>
      <w:r>
        <w:rPr>
          <w:rFonts w:ascii="Arial" w:cs="Arial" w:eastAsia="Arial" w:hAnsi="Arial"/>
          <w:sz w:val="18"/>
          <w:szCs w:val="18"/>
          <w:color w:val="auto"/>
        </w:rPr>
        <w:t>below.</w:t>
      </w:r>
    </w:p>
    <w:p>
      <w:pPr>
        <w:spacing w:after="0" w:line="275" w:lineRule="exact"/>
        <w:rPr>
          <w:sz w:val="20"/>
          <w:szCs w:val="20"/>
          <w:color w:val="auto"/>
        </w:rPr>
      </w:pPr>
    </w:p>
    <w:p>
      <w:pPr>
        <w:ind w:left="660" w:hanging="393"/>
        <w:spacing w:after="0"/>
        <w:tabs>
          <w:tab w:leader="none" w:pos="660" w:val="left"/>
        </w:tabs>
        <w:numPr>
          <w:ilvl w:val="0"/>
          <w:numId w:val="3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-911860</wp:posOffset>
            </wp:positionV>
            <wp:extent cx="72904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95" w:lineRule="exact"/>
        <w:rPr>
          <w:sz w:val="20"/>
          <w:szCs w:val="20"/>
          <w:color w:val="auto"/>
        </w:rPr>
      </w:pPr>
    </w:p>
    <w:p>
      <w:pPr>
        <w:ind w:left="360" w:right="320" w:hanging="353"/>
        <w:spacing w:after="0" w:line="250"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report the voting results in a Form 8-K filed with the SEC within four business days after the conclusion of the Annual Meeting.</w:t>
      </w:r>
    </w:p>
    <w:p>
      <w:pPr>
        <w:spacing w:after="0" w:line="72" w:lineRule="exact"/>
        <w:rPr>
          <w:sz w:val="20"/>
          <w:szCs w:val="20"/>
          <w:color w:val="auto"/>
        </w:rPr>
      </w:pPr>
    </w:p>
    <w:p>
      <w:pPr>
        <w:ind w:left="360" w:right="300" w:hanging="353"/>
        <w:spacing w:after="0" w:line="257" w:lineRule="auto"/>
        <w:tabs>
          <w:tab w:leader="none" w:pos="360" w:val="left"/>
        </w:tabs>
        <w:numPr>
          <w:ilvl w:val="0"/>
          <w:numId w:val="40"/>
        </w:numPr>
        <w:rPr>
          <w:rFonts w:ascii="Arial" w:cs="Arial" w:eastAsia="Arial" w:hAnsi="Arial"/>
          <w:sz w:val="18"/>
          <w:szCs w:val="18"/>
          <w:b w:val="1"/>
          <w:bCs w:val="1"/>
          <w:color w:val="052B82"/>
        </w:rPr>
      </w:pPr>
      <w:r>
        <w:rPr>
          <w:rFonts w:ascii="Arial" w:cs="Arial" w:eastAsia="Arial" w:hAnsi="Arial"/>
          <w:sz w:val="18"/>
          <w:szCs w:val="18"/>
          <w:b w:val="1"/>
          <w:bCs w:val="1"/>
          <w:color w:val="052B82"/>
        </w:rPr>
        <w:t>How and when may I submit a shareholder proposal, including a shareholder nomination for director, for the 2020 annual meeting of shareholders?</w:t>
      </w:r>
    </w:p>
    <w:p>
      <w:pPr>
        <w:spacing w:after="0" w:line="58" w:lineRule="exact"/>
        <w:rPr>
          <w:sz w:val="20"/>
          <w:szCs w:val="20"/>
          <w:color w:val="auto"/>
        </w:rPr>
      </w:pPr>
    </w:p>
    <w:p>
      <w:pPr>
        <w:ind w:left="360" w:hanging="353"/>
        <w:spacing w:after="0" w:line="237"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Shareholder proposals for inclusion in proxy statement: If you are interested in submitting a proposal for inclusion in our proxy statement for the 2020 annual meeting, you need to follow the procedures outlined in Rule 14a-8 of the Securities Exchange Act of 1934, or the Exchange Act. To be eligible for inclusion, we must receive your shareholder proposal for our proxy statement for the 2020 annual meeting of shareholders at our principal corporate offices in Norwood, Massachusetts at the address below no later than September 27, 2019.</w:t>
      </w:r>
    </w:p>
    <w:p>
      <w:pPr>
        <w:spacing w:after="0" w:line="82" w:lineRule="exact"/>
        <w:rPr>
          <w:rFonts w:ascii="Arial" w:cs="Arial" w:eastAsia="Arial" w:hAnsi="Arial"/>
          <w:sz w:val="18"/>
          <w:szCs w:val="18"/>
          <w:color w:val="auto"/>
        </w:rPr>
      </w:pPr>
    </w:p>
    <w:p>
      <w:pPr>
        <w:ind w:left="360"/>
        <w:spacing w:after="0" w:line="234" w:lineRule="auto"/>
        <w:rPr>
          <w:rFonts w:ascii="Arial" w:cs="Arial" w:eastAsia="Arial" w:hAnsi="Arial"/>
          <w:sz w:val="18"/>
          <w:szCs w:val="18"/>
          <w:color w:val="auto"/>
        </w:rPr>
      </w:pPr>
      <w:r>
        <w:rPr>
          <w:rFonts w:ascii="Arial" w:cs="Arial" w:eastAsia="Arial" w:hAnsi="Arial"/>
          <w:sz w:val="18"/>
          <w:szCs w:val="18"/>
          <w:color w:val="auto"/>
        </w:rPr>
        <w:t>Shareholder director nominations for inclusion in proxy statement: The Board of Directors has implemented a proxy access provision in our amended and restated Bylaws, or Bylaws, which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If a shareholder or group of shareholders wishes to nominate one or more director candidates to be included in our proxy statement pursuant to these proxy access provisions in Article I, Section 1.9(c) of our bylaws, the Secretary must receive advance written notice at the address noted below not less than 120 days nor more than 150 days before the first anniversary of the preceding year’s annual meeting. However, if the date of our annual meeting is advanced by more than 20 days, or delayed by more than 60 days, from the anniversary date, or if no annual meeting was held in the preceding year, then we must receive such notice at the address noted below not earlier than the 150th day before such annual meeting and not later than the close of business on the later of (1) the</w:t>
      </w:r>
    </w:p>
    <w:p>
      <w:pPr>
        <w:sectPr>
          <w:pgSz w:w="11900" w:h="16838" w:orient="portrait"/>
          <w:cols w:equalWidth="0" w:num="2">
            <w:col w:w="5480" w:space="340"/>
            <w:col w:w="5320"/>
          </w:cols>
          <w:pgMar w:left="240" w:top="453" w:right="519" w:bottom="1440" w:gutter="0" w:footer="0" w:header="0"/>
        </w:sectPr>
      </w:pPr>
    </w:p>
    <w:bookmarkStart w:id="17" w:name="page18"/>
    <w:bookmarkEnd w:id="17"/>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210820</wp:posOffset>
            </wp:positionV>
            <wp:extent cx="2619375" cy="135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20"/>
        <w:spacing w:after="0" w:line="237" w:lineRule="auto"/>
        <w:rPr>
          <w:sz w:val="20"/>
          <w:szCs w:val="20"/>
          <w:color w:val="auto"/>
        </w:rPr>
      </w:pPr>
      <w:r>
        <w:rPr>
          <w:rFonts w:ascii="Arial" w:cs="Arial" w:eastAsia="Arial" w:hAnsi="Arial"/>
          <w:sz w:val="18"/>
          <w:szCs w:val="18"/>
          <w:color w:val="auto"/>
        </w:rPr>
        <w:t>120th day prior to such annual meeting and (2) the seventh day after the day on which notice of the meeting date was mailed or public disclosure was made, whichever occurs first. Assuming that the 2020 annual meeting is not advanced by more than 20 days nor delayed by more than 60 days from the anniversary date of the 2020 annual meeting, you would need to give us appropriate notice at the address noted below no earlier than October 15, 2019, and no later than November 14, 2019.</w:t>
      </w:r>
    </w:p>
    <w:p>
      <w:pPr>
        <w:spacing w:after="0" w:line="70" w:lineRule="exact"/>
        <w:rPr>
          <w:sz w:val="20"/>
          <w:szCs w:val="20"/>
          <w:color w:val="auto"/>
        </w:rPr>
      </w:pPr>
    </w:p>
    <w:p>
      <w:pPr>
        <w:ind w:left="620"/>
        <w:spacing w:after="0" w:line="233" w:lineRule="auto"/>
        <w:rPr>
          <w:sz w:val="20"/>
          <w:szCs w:val="20"/>
          <w:color w:val="auto"/>
        </w:rPr>
      </w:pPr>
      <w:r>
        <w:rPr>
          <w:rFonts w:ascii="Arial" w:cs="Arial" w:eastAsia="Arial" w:hAnsi="Arial"/>
          <w:sz w:val="18"/>
          <w:szCs w:val="18"/>
          <w:color w:val="auto"/>
        </w:rPr>
        <w:t>Shareholder director nominations not included in proxy statement: In addition, our bylaws require that we be given advance written notice for nominations for election to our Board of Directors and other matters that shareholders wish to present for action at an annual meeting other than those to be included in our proxy statement under Rule 14a -8. The Secretary must receive such notice at the address noted below not less than 90 days or more than 120 days before the first anniversary of the preceding year’s annual meeting. However, if the date of our annual meeting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and (2) the seventh day after the day on which notice of the meeting date was mailed or public disclosure was made, whichever occurs first. Assuming that the 2020 annual meeting is not advanced by more than 20 days nor delayed by more than 60 days from the anniversary date of the 2019 annual meeting, you would need to give us appropriate notice at the address noted below no earlier than November 14, 2019, and no later than December 14, 2019. If a shareholder does not provide timely notice of a nomination or other matter to be presented at the 2020 annual meeting, under Massachusetts law, it may not be brought before our shareholders at a meeting.</w:t>
      </w:r>
    </w:p>
    <w:p>
      <w:pPr>
        <w:spacing w:after="0" w:line="88" w:lineRule="exact"/>
        <w:rPr>
          <w:sz w:val="20"/>
          <w:szCs w:val="20"/>
          <w:color w:val="auto"/>
        </w:rPr>
      </w:pPr>
    </w:p>
    <w:p>
      <w:pPr>
        <w:ind w:left="620" w:right="40"/>
        <w:spacing w:after="0" w:line="256" w:lineRule="auto"/>
        <w:rPr>
          <w:sz w:val="20"/>
          <w:szCs w:val="20"/>
          <w:color w:val="auto"/>
        </w:rPr>
      </w:pPr>
      <w:r>
        <w:rPr>
          <w:rFonts w:ascii="Arial" w:cs="Arial" w:eastAsia="Arial" w:hAnsi="Arial"/>
          <w:sz w:val="17"/>
          <w:szCs w:val="17"/>
          <w:color w:val="auto"/>
        </w:rPr>
        <w:t>Our bylaws also specify requirements relating to the content of the notice that shareholders must provide to the Secretary of Analog Devices for any matter, including a shareholder proposal or nomination for director, to be properly presented at a shareholder meeting. A copy of the full text of our bylaws is on file with the SEC and publicly available on our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proposals, nominations or notices should be sent to:</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Margaret K. Seif, Secretary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Analog Devices, Inc.</w:t>
      </w:r>
    </w:p>
    <w:p>
      <w:pPr>
        <w:ind w:left="720"/>
        <w:spacing w:after="0" w:line="232" w:lineRule="auto"/>
        <w:rPr>
          <w:sz w:val="20"/>
          <w:szCs w:val="20"/>
          <w:color w:val="auto"/>
        </w:rPr>
      </w:pPr>
      <w:r>
        <w:rPr>
          <w:rFonts w:ascii="Arial" w:cs="Arial" w:eastAsia="Arial" w:hAnsi="Arial"/>
          <w:sz w:val="18"/>
          <w:szCs w:val="18"/>
          <w:color w:val="auto"/>
        </w:rPr>
        <w:t>One Technology Way</w:t>
      </w:r>
    </w:p>
    <w:p>
      <w:pPr>
        <w:ind w:left="720"/>
        <w:spacing w:after="0" w:line="232" w:lineRule="auto"/>
        <w:rPr>
          <w:sz w:val="20"/>
          <w:szCs w:val="20"/>
          <w:color w:val="auto"/>
        </w:rPr>
      </w:pPr>
      <w:r>
        <w:rPr>
          <w:rFonts w:ascii="Arial" w:cs="Arial" w:eastAsia="Arial" w:hAnsi="Arial"/>
          <w:sz w:val="18"/>
          <w:szCs w:val="18"/>
          <w:color w:val="auto"/>
        </w:rPr>
        <w:t>Norwood, Massachusetts 02062</w:t>
      </w:r>
    </w:p>
    <w:p>
      <w:pPr>
        <w:ind w:left="720"/>
        <w:spacing w:after="0" w:line="232" w:lineRule="auto"/>
        <w:rPr>
          <w:sz w:val="20"/>
          <w:szCs w:val="20"/>
          <w:color w:val="auto"/>
        </w:rPr>
      </w:pPr>
      <w:r>
        <w:rPr>
          <w:rFonts w:ascii="Arial" w:cs="Arial" w:eastAsia="Arial" w:hAnsi="Arial"/>
          <w:sz w:val="18"/>
          <w:szCs w:val="18"/>
          <w:color w:val="auto"/>
        </w:rPr>
        <w:t>Phone: 781-461-3367</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 margaret.seif@analog.com</w:t>
      </w:r>
    </w:p>
    <w:p>
      <w:pPr>
        <w:spacing w:after="0" w:line="89" w:lineRule="exact"/>
        <w:rPr>
          <w:sz w:val="20"/>
          <w:szCs w:val="20"/>
          <w:color w:val="auto"/>
        </w:rPr>
      </w:pPr>
    </w:p>
    <w:p>
      <w:pPr>
        <w:ind w:left="360" w:right="40" w:hanging="353"/>
        <w:spacing w:after="0" w:line="283" w:lineRule="auto"/>
        <w:tabs>
          <w:tab w:leader="none" w:pos="360" w:val="left"/>
        </w:tabs>
        <w:numPr>
          <w:ilvl w:val="0"/>
          <w:numId w:val="42"/>
        </w:numPr>
        <w:rPr>
          <w:rFonts w:ascii="Arial" w:cs="Arial" w:eastAsia="Arial" w:hAnsi="Arial"/>
          <w:sz w:val="18"/>
          <w:szCs w:val="18"/>
          <w:b w:val="1"/>
          <w:bCs w:val="1"/>
          <w:color w:val="052B82"/>
        </w:rPr>
      </w:pPr>
      <w:r>
        <w:rPr>
          <w:rFonts w:ascii="Arial" w:cs="Arial" w:eastAsia="Arial" w:hAnsi="Arial"/>
          <w:sz w:val="18"/>
          <w:szCs w:val="18"/>
          <w:b w:val="1"/>
          <w:bCs w:val="1"/>
          <w:color w:val="052B82"/>
        </w:rPr>
        <w:t>What are the costs of soliciting these proxies and who will pay?</w:t>
      </w:r>
    </w:p>
    <w:p>
      <w:pPr>
        <w:spacing w:after="0" w:line="35" w:lineRule="exact"/>
        <w:rPr>
          <w:sz w:val="20"/>
          <w:szCs w:val="20"/>
          <w:color w:val="auto"/>
        </w:rPr>
      </w:pPr>
    </w:p>
    <w:p>
      <w:pPr>
        <w:ind w:left="360" w:right="20" w:hanging="353"/>
        <w:spacing w:after="0" w:line="250"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will bear the costs of solicitation of proxies. We have engaged Alliance Advisors LLC to assist us with the solicitation of proxies and expect to pay Alliance Advisors approximately $11,500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78" w:lineRule="exact"/>
        <w:rPr>
          <w:sz w:val="20"/>
          <w:szCs w:val="20"/>
          <w:color w:val="auto"/>
        </w:rPr>
      </w:pPr>
    </w:p>
    <w:p>
      <w:pPr>
        <w:ind w:left="360" w:right="20" w:hanging="353"/>
        <w:spacing w:after="0" w:line="283" w:lineRule="auto"/>
        <w:tabs>
          <w:tab w:leader="none" w:pos="360" w:val="left"/>
        </w:tabs>
        <w:numPr>
          <w:ilvl w:val="0"/>
          <w:numId w:val="44"/>
        </w:numPr>
        <w:rPr>
          <w:rFonts w:ascii="Arial" w:cs="Arial" w:eastAsia="Arial" w:hAnsi="Arial"/>
          <w:sz w:val="18"/>
          <w:szCs w:val="18"/>
          <w:b w:val="1"/>
          <w:bCs w:val="1"/>
          <w:color w:val="052B82"/>
        </w:rPr>
      </w:pPr>
      <w:r>
        <w:rPr>
          <w:rFonts w:ascii="Arial" w:cs="Arial" w:eastAsia="Arial" w:hAnsi="Arial"/>
          <w:sz w:val="18"/>
          <w:szCs w:val="18"/>
          <w:b w:val="1"/>
          <w:bCs w:val="1"/>
          <w:color w:val="052B82"/>
        </w:rPr>
        <w:t>Why did I receive a “Notice of Internet Availability of Proxy Materials” but no proxy materials?</w:t>
      </w:r>
    </w:p>
    <w:p>
      <w:pPr>
        <w:spacing w:after="0" w:line="35" w:lineRule="exact"/>
        <w:rPr>
          <w:sz w:val="20"/>
          <w:szCs w:val="20"/>
          <w:color w:val="auto"/>
        </w:rPr>
      </w:pPr>
    </w:p>
    <w:p>
      <w:pPr>
        <w:ind w:left="360" w:right="60" w:hanging="353"/>
        <w:spacing w:after="0" w:line="251" w:lineRule="auto"/>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are distributing our proxy materials to stockholders via the Internet under the “Notice and Access” approach permitted by the rules of the U.S. Securities and Exchange Commission, or SEC. This approach expedites stockholders’ receipt of proxy materials while conserving natural resources and reducing our distribution costs. On or about January 25, 2019, we mailed a Notice of Internet Availability of Proxy Materials containing instructions on how to access the proxy materials on the Internet to participating stockholders, and if desired, to request to receive a paper copy of our proxy materials by mail.</w:t>
      </w:r>
    </w:p>
    <w:p>
      <w:pPr>
        <w:spacing w:after="0" w:line="7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How can I obtain an Annual Report on Form 10-K?</w:t>
      </w:r>
    </w:p>
    <w:p>
      <w:pPr>
        <w:spacing w:after="0" w:line="115" w:lineRule="exact"/>
        <w:rPr>
          <w:sz w:val="20"/>
          <w:szCs w:val="20"/>
          <w:color w:val="auto"/>
        </w:rPr>
      </w:pPr>
    </w:p>
    <w:p>
      <w:pPr>
        <w:ind w:left="360" w:right="160" w:hanging="353"/>
        <w:spacing w:after="0" w:line="244" w:lineRule="auto"/>
        <w:tabs>
          <w:tab w:leader="none" w:pos="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November 3, 2018, or fiscal 2018, is available on our website at www.analog.com. If you would like a copy of our Annual Report on Form 10-K for fiscal 2018 and/or any of its</w:t>
      </w: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13</w:t>
      </w:r>
    </w:p>
    <w:p>
      <w:pPr>
        <w:sectPr>
          <w:pgSz w:w="11900" w:h="16838" w:orient="portrait"/>
          <w:cols w:equalWidth="0" w:num="2">
            <w:col w:w="5480" w:space="340"/>
            <w:col w:w="5340"/>
          </w:cols>
          <w:pgMar w:left="240" w:top="453" w:right="49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exhibits, we will send you such materials without charge.</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Please contact:</w:t>
      </w:r>
    </w:p>
    <w:p>
      <w:pPr>
        <w:spacing w:after="0" w:line="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Analog Devices, Inc.</w:t>
      </w:r>
    </w:p>
    <w:p>
      <w:pPr>
        <w:ind w:left="980"/>
        <w:spacing w:after="0" w:line="232" w:lineRule="auto"/>
        <w:rPr>
          <w:sz w:val="20"/>
          <w:szCs w:val="20"/>
          <w:color w:val="auto"/>
        </w:rPr>
      </w:pPr>
      <w:r>
        <w:rPr>
          <w:rFonts w:ascii="Arial" w:cs="Arial" w:eastAsia="Arial" w:hAnsi="Arial"/>
          <w:sz w:val="18"/>
          <w:szCs w:val="18"/>
          <w:color w:val="auto"/>
        </w:rPr>
        <w:t>One Technology Way</w:t>
      </w:r>
    </w:p>
    <w:p>
      <w:pPr>
        <w:ind w:left="980"/>
        <w:spacing w:after="0" w:line="232" w:lineRule="auto"/>
        <w:rPr>
          <w:sz w:val="20"/>
          <w:szCs w:val="20"/>
          <w:color w:val="auto"/>
        </w:rPr>
      </w:pPr>
      <w:r>
        <w:rPr>
          <w:rFonts w:ascii="Arial" w:cs="Arial" w:eastAsia="Arial" w:hAnsi="Arial"/>
          <w:sz w:val="18"/>
          <w:szCs w:val="18"/>
          <w:color w:val="auto"/>
        </w:rPr>
        <w:t>Norwood, Massachusetts 02062</w:t>
      </w:r>
    </w:p>
    <w:p>
      <w:pPr>
        <w:ind w:left="980"/>
        <w:spacing w:after="0" w:line="232" w:lineRule="auto"/>
        <w:rPr>
          <w:sz w:val="20"/>
          <w:szCs w:val="20"/>
          <w:color w:val="auto"/>
        </w:rPr>
      </w:pPr>
      <w:r>
        <w:rPr>
          <w:rFonts w:ascii="Arial" w:cs="Arial" w:eastAsia="Arial" w:hAnsi="Arial"/>
          <w:sz w:val="18"/>
          <w:szCs w:val="18"/>
          <w:color w:val="auto"/>
        </w:rPr>
        <w:t>Phone: 781-461-3282</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investor.relations@analog.com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052B82"/>
        </w:rPr>
        <w:t>Q:</w:t>
      </w:r>
      <w:r>
        <w:rPr>
          <w:sz w:val="20"/>
          <w:szCs w:val="20"/>
          <w:color w:val="auto"/>
        </w:rPr>
        <w:tab/>
      </w:r>
      <w:r>
        <w:rPr>
          <w:rFonts w:ascii="Arial" w:cs="Arial" w:eastAsia="Arial" w:hAnsi="Arial"/>
          <w:sz w:val="17"/>
          <w:szCs w:val="17"/>
          <w:b w:val="1"/>
          <w:bCs w:val="1"/>
          <w:color w:val="052B82"/>
        </w:rPr>
        <w:t>Whom should I contact if I have any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-911860</wp:posOffset>
            </wp:positionV>
            <wp:extent cx="72904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p>
    <w:p>
      <w:pPr>
        <w:spacing w:after="0" w:line="95" w:lineRule="exact"/>
        <w:rPr>
          <w:sz w:val="20"/>
          <w:szCs w:val="20"/>
          <w:color w:val="auto"/>
        </w:rPr>
      </w:pPr>
    </w:p>
    <w:p>
      <w:pPr>
        <w:jc w:val="both"/>
        <w:ind w:left="360" w:right="180" w:hanging="353"/>
        <w:spacing w:after="0" w:line="244"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you have any questions about the Annual Meeting or your ownership of our common stock, please contact our Investor Relations Department, at the address, telephone number or email address listed above.</w:t>
      </w:r>
    </w:p>
    <w:p>
      <w:pPr>
        <w:spacing w:after="0" w:line="775" w:lineRule="exact"/>
        <w:rPr>
          <w:sz w:val="20"/>
          <w:szCs w:val="20"/>
          <w:color w:val="auto"/>
        </w:rPr>
      </w:pPr>
    </w:p>
    <w:p>
      <w:pPr>
        <w:sectPr>
          <w:pgSz w:w="11900" w:h="16838" w:orient="portrait"/>
          <w:cols w:equalWidth="0" w:num="2">
            <w:col w:w="5100" w:space="720"/>
            <w:col w:w="5300"/>
          </w:cols>
          <w:pgMar w:left="240" w:top="453" w:right="539" w:bottom="1440" w:gutter="0" w:footer="0" w:header="0"/>
        </w:sectPr>
      </w:pPr>
    </w:p>
    <w:p>
      <w:pPr>
        <w:spacing w:after="0" w:line="397"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NOTICE OF AMENDMENT OF BYLAWS</w:t>
      </w:r>
    </w:p>
    <w:p>
      <w:pPr>
        <w:spacing w:after="0" w:line="235" w:lineRule="exact"/>
        <w:rPr>
          <w:sz w:val="20"/>
          <w:szCs w:val="20"/>
          <w:color w:val="auto"/>
        </w:rPr>
      </w:pPr>
    </w:p>
    <w:p>
      <w:pPr>
        <w:ind w:left="260" w:right="400" w:firstLine="435"/>
        <w:spacing w:after="0" w:line="250" w:lineRule="auto"/>
        <w:rPr>
          <w:sz w:val="20"/>
          <w:szCs w:val="20"/>
          <w:color w:val="auto"/>
        </w:rPr>
      </w:pPr>
      <w:r>
        <w:rPr>
          <w:rFonts w:ascii="Arial" w:cs="Arial" w:eastAsia="Arial" w:hAnsi="Arial"/>
          <w:sz w:val="18"/>
          <w:szCs w:val="18"/>
          <w:color w:val="auto"/>
        </w:rPr>
        <w:t>On December 13, 2018, our Board of Directors approved amendments to our bylaws to implement a proxy access provision, as described above, and to make other administrative, clarifying and conforming changes. The full text of our bylaws, as amended and restated, is filed as Exhibit 3.1 to our Current Report on Form 8-K filed with the SEC on December 17, 2018.</w:t>
      </w:r>
    </w:p>
    <w:p>
      <w:pPr>
        <w:spacing w:after="0" w:line="366"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HOUSEHOLDING OF ANNUAL MEETING MATERIALS</w:t>
      </w:r>
    </w:p>
    <w:p>
      <w:pPr>
        <w:spacing w:after="0" w:line="235" w:lineRule="exact"/>
        <w:rPr>
          <w:sz w:val="20"/>
          <w:szCs w:val="20"/>
          <w:color w:val="auto"/>
        </w:rPr>
      </w:pPr>
    </w:p>
    <w:p>
      <w:pPr>
        <w:ind w:left="260" w:firstLine="435"/>
        <w:spacing w:after="0" w:line="237"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Technology Way, Norwood, Massachusetts 02062,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42" w:lineRule="exact"/>
        <w:rPr>
          <w:sz w:val="20"/>
          <w:szCs w:val="20"/>
          <w:color w:val="auto"/>
        </w:rPr>
      </w:pPr>
    </w:p>
    <w:p>
      <w:pPr>
        <w:ind w:left="660" w:hanging="393"/>
        <w:spacing w:after="0"/>
        <w:tabs>
          <w:tab w:leader="none" w:pos="660" w:val="left"/>
        </w:tabs>
        <w:numPr>
          <w:ilvl w:val="0"/>
          <w:numId w:val="4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20"/>
          </w:cols>
          <w:pgMar w:left="240" w:top="453" w:right="5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right="960"/>
        <w:spacing w:after="0" w:line="286" w:lineRule="auto"/>
        <w:rPr>
          <w:sz w:val="20"/>
          <w:szCs w:val="20"/>
          <w:color w:val="auto"/>
        </w:rPr>
      </w:pPr>
      <w:r>
        <w:rPr>
          <w:rFonts w:ascii="Arial" w:cs="Arial" w:eastAsia="Arial" w:hAnsi="Arial"/>
          <w:sz w:val="32"/>
          <w:szCs w:val="32"/>
          <w:color w:val="052B82"/>
        </w:rPr>
        <w:t>SECURITY OWNERSHIP OF CERTAIN BENEFICIAL OWNERS AND MANAGEMENT</w:t>
      </w:r>
    </w:p>
    <w:p>
      <w:pPr>
        <w:spacing w:after="0" w:line="100" w:lineRule="exact"/>
        <w:rPr>
          <w:sz w:val="20"/>
          <w:szCs w:val="20"/>
          <w:color w:val="auto"/>
        </w:rPr>
      </w:pPr>
    </w:p>
    <w:p>
      <w:pPr>
        <w:ind w:left="260" w:right="480" w:firstLine="435"/>
        <w:spacing w:after="0" w:line="269" w:lineRule="auto"/>
        <w:rPr>
          <w:sz w:val="20"/>
          <w:szCs w:val="20"/>
          <w:color w:val="auto"/>
        </w:rPr>
      </w:pPr>
      <w:r>
        <w:rPr>
          <w:rFonts w:ascii="Arial" w:cs="Arial" w:eastAsia="Arial" w:hAnsi="Arial"/>
          <w:sz w:val="18"/>
          <w:szCs w:val="18"/>
          <w:color w:val="auto"/>
        </w:rPr>
        <w:t>The following table contains information regarding the beneficial ownership of our common stock as of January 4, 2019 (unless otherwise specified) by:</w:t>
      </w:r>
    </w:p>
    <w:p>
      <w:pPr>
        <w:spacing w:after="0" w:line="57" w:lineRule="exact"/>
        <w:rPr>
          <w:sz w:val="20"/>
          <w:szCs w:val="20"/>
          <w:color w:val="auto"/>
        </w:rPr>
      </w:pPr>
    </w:p>
    <w:p>
      <w:pPr>
        <w:ind w:left="1120" w:hanging="319"/>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shareholders we know to beneficially own more than 5% of our outstanding common stock;</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director named in this proxy statement;</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included in this proxy statement; and</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FFFFFF"/>
        </w:rPr>
        <w:t>Name and Address of Beneficial Owner(1)</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-2540</wp:posOffset>
            </wp:positionV>
            <wp:extent cx="3458845" cy="474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58845" cy="474980"/>
                    </a:xfrm>
                    <a:prstGeom prst="rect">
                      <a:avLst/>
                    </a:prstGeom>
                    <a:noFill/>
                  </pic:spPr>
                </pic:pic>
              </a:graphicData>
            </a:graphic>
          </wp:anchor>
        </w:drawing>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Vanguard Group Inc.(5)</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PO Box 2600</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Valley Forge, Pennsylvania 19482</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BlackRock Inc.(6)</w:t>
      </w:r>
    </w:p>
    <w:p>
      <w:pPr>
        <w:spacing w:after="0" w:line="6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 East 52nd Street</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4445</wp:posOffset>
            </wp:positionV>
            <wp:extent cx="3458845" cy="432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58845" cy="432435"/>
                    </a:xfrm>
                    <a:prstGeom prst="rect">
                      <a:avLst/>
                    </a:prstGeom>
                    <a:noFill/>
                  </pic:spPr>
                </pic:pic>
              </a:graphicData>
            </a:graphic>
          </wp:anchor>
        </w:drawing>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JPMorgan Chase &amp; Co.(7)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270 Park Avenue</w:t>
      </w:r>
    </w:p>
    <w:p>
      <w:pPr>
        <w:ind w:left="980"/>
        <w:spacing w:after="0"/>
        <w:rPr>
          <w:sz w:val="20"/>
          <w:szCs w:val="20"/>
          <w:color w:val="auto"/>
        </w:rPr>
      </w:pPr>
      <w:r>
        <w:rPr>
          <w:rFonts w:ascii="Arial" w:cs="Arial" w:eastAsia="Arial" w:hAnsi="Arial"/>
          <w:sz w:val="18"/>
          <w:szCs w:val="18"/>
          <w:color w:val="auto"/>
        </w:rPr>
        <w:t>New York, New York 10017</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8890</wp:posOffset>
            </wp:positionV>
            <wp:extent cx="3458845" cy="169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James A. Champy(8)</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Anantha P. Chandrakasan(9)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Martin Cotter</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Bruce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Edward H. Frank</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Karen M. Golz(10)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Joseph (John) Hassett</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 M.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Prashanth Mahendra-Rajah</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Steve Pietkiewicz</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Kenton J. Sicchitano</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Ray Stata(11)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3458845" cy="169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58845" cy="169545"/>
                    </a:xfrm>
                    <a:prstGeom prst="rect">
                      <a:avLst/>
                    </a:prstGeom>
                    <a:noFill/>
                  </pic:spPr>
                </pic:pic>
              </a:graphicData>
            </a:graphic>
          </wp:anchor>
        </w:drawing>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Lisa T. Su</w:t>
      </w:r>
    </w:p>
    <w:p>
      <w:pPr>
        <w:spacing w:after="0" w:line="60" w:lineRule="exact"/>
        <w:rPr>
          <w:sz w:val="20"/>
          <w:szCs w:val="20"/>
          <w:color w:val="auto"/>
        </w:rPr>
      </w:pPr>
    </w:p>
    <w:p>
      <w:pPr>
        <w:ind w:left="440" w:hanging="177"/>
        <w:spacing w:after="0" w:line="250" w:lineRule="auto"/>
        <w:rPr>
          <w:sz w:val="20"/>
          <w:szCs w:val="20"/>
          <w:color w:val="auto"/>
        </w:rPr>
      </w:pPr>
      <w:r>
        <w:rPr>
          <w:rFonts w:ascii="Arial" w:cs="Arial" w:eastAsia="Arial" w:hAnsi="Arial"/>
          <w:sz w:val="18"/>
          <w:szCs w:val="18"/>
          <w:color w:val="auto"/>
        </w:rPr>
        <w:t>All directors and executive officers as a group (19 persons, consisting of 9 executive officers and 10 non-employee directors)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69850</wp:posOffset>
            </wp:positionV>
            <wp:extent cx="686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FFFFFF"/>
              </w:rPr>
              <w:t>Shares</w:t>
            </w:r>
          </w:p>
        </w:tc>
        <w:tc>
          <w:tcPr>
            <w:tcW w:w="1420" w:type="dxa"/>
            <w:vAlign w:val="bottom"/>
          </w:tcPr>
          <w:p>
            <w:pPr>
              <w:spacing w:after="0"/>
              <w:rPr>
                <w:sz w:val="14"/>
                <w:szCs w:val="14"/>
                <w:color w:val="auto"/>
              </w:rPr>
            </w:pPr>
          </w:p>
        </w:tc>
        <w:tc>
          <w:tcPr>
            <w:tcW w:w="1280" w:type="dxa"/>
            <w:vAlign w:val="bottom"/>
          </w:tcPr>
          <w:p>
            <w:pPr>
              <w:jc w:val="right"/>
              <w:ind w:right="162"/>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360" w:type="dxa"/>
            <w:vAlign w:val="bottom"/>
            <w:vMerge w:val="continue"/>
          </w:tcPr>
          <w:p>
            <w:pPr>
              <w:spacing w:after="0"/>
              <w:rPr>
                <w:sz w:val="13"/>
                <w:szCs w:val="13"/>
                <w:color w:val="auto"/>
              </w:rPr>
            </w:pPr>
          </w:p>
        </w:tc>
        <w:tc>
          <w:tcPr>
            <w:tcW w:w="1420" w:type="dxa"/>
            <w:vAlign w:val="bottom"/>
            <w:vMerge w:val="restart"/>
          </w:tcPr>
          <w:p>
            <w:pPr>
              <w:ind w:left="480"/>
              <w:spacing w:after="0"/>
              <w:rPr>
                <w:sz w:val="20"/>
                <w:szCs w:val="20"/>
                <w:color w:val="auto"/>
              </w:rPr>
            </w:pPr>
            <w:r>
              <w:rPr>
                <w:rFonts w:ascii="Arial" w:cs="Arial" w:eastAsia="Arial" w:hAnsi="Arial"/>
                <w:sz w:val="14"/>
                <w:szCs w:val="14"/>
                <w:b w:val="1"/>
                <w:bCs w:val="1"/>
                <w:color w:val="FFFFFF"/>
              </w:rPr>
              <w:t>Total</w:t>
            </w: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FFFFFF"/>
              </w:rPr>
              <w:t>Common</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360" w:type="dxa"/>
            <w:vAlign w:val="bottom"/>
          </w:tcPr>
          <w:p>
            <w:pPr>
              <w:jc w:val="center"/>
              <w:ind w:left="61"/>
              <w:spacing w:after="0"/>
              <w:rPr>
                <w:sz w:val="20"/>
                <w:szCs w:val="20"/>
                <w:color w:val="auto"/>
              </w:rPr>
            </w:pPr>
            <w:r>
              <w:rPr>
                <w:rFonts w:ascii="Arial" w:cs="Arial" w:eastAsia="Arial" w:hAnsi="Arial"/>
                <w:sz w:val="14"/>
                <w:szCs w:val="14"/>
                <w:b w:val="1"/>
                <w:bCs w:val="1"/>
                <w:color w:val="FFFFFF"/>
              </w:rPr>
              <w:t>Acquirable</w:t>
            </w:r>
          </w:p>
        </w:tc>
        <w:tc>
          <w:tcPr>
            <w:tcW w:w="1420" w:type="dxa"/>
            <w:vAlign w:val="bottom"/>
            <w:vMerge w:val="continue"/>
          </w:tcPr>
          <w:p>
            <w:pPr>
              <w:spacing w:after="0"/>
              <w:rPr>
                <w:sz w:val="13"/>
                <w:szCs w:val="13"/>
                <w:color w:val="auto"/>
              </w:rPr>
            </w:pPr>
          </w:p>
        </w:tc>
        <w:tc>
          <w:tcPr>
            <w:tcW w:w="1280" w:type="dxa"/>
            <w:vAlign w:val="bottom"/>
          </w:tcPr>
          <w:p>
            <w:pPr>
              <w:jc w:val="right"/>
              <w:ind w:right="302"/>
              <w:spacing w:after="0"/>
              <w:rPr>
                <w:sz w:val="20"/>
                <w:szCs w:val="20"/>
                <w:color w:val="auto"/>
              </w:rPr>
            </w:pPr>
            <w:r>
              <w:rPr>
                <w:rFonts w:ascii="Arial" w:cs="Arial" w:eastAsia="Arial" w:hAnsi="Arial"/>
                <w:sz w:val="14"/>
                <w:szCs w:val="14"/>
                <w:b w:val="1"/>
                <w:bCs w:val="1"/>
                <w:color w:val="FFFFFF"/>
              </w:rPr>
              <w:t>Stock</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FFFFFF"/>
              </w:rPr>
              <w:t>Beneficially</w:t>
            </w:r>
          </w:p>
        </w:tc>
        <w:tc>
          <w:tcPr>
            <w:tcW w:w="1360" w:type="dxa"/>
            <w:vAlign w:val="bottom"/>
          </w:tcPr>
          <w:p>
            <w:pPr>
              <w:jc w:val="center"/>
              <w:ind w:left="41"/>
              <w:spacing w:after="0"/>
              <w:rPr>
                <w:sz w:val="20"/>
                <w:szCs w:val="20"/>
                <w:color w:val="auto"/>
              </w:rPr>
            </w:pPr>
            <w:r>
              <w:rPr>
                <w:rFonts w:ascii="Arial" w:cs="Arial" w:eastAsia="Arial" w:hAnsi="Arial"/>
                <w:sz w:val="14"/>
                <w:szCs w:val="14"/>
                <w:b w:val="1"/>
                <w:bCs w:val="1"/>
                <w:color w:val="FFFFFF"/>
              </w:rPr>
              <w:t>within 60</w:t>
            </w:r>
          </w:p>
        </w:tc>
        <w:tc>
          <w:tcPr>
            <w:tcW w:w="1420" w:type="dxa"/>
            <w:vAlign w:val="bottom"/>
          </w:tcPr>
          <w:p>
            <w:pPr>
              <w:ind w:left="320"/>
              <w:spacing w:after="0"/>
              <w:rPr>
                <w:sz w:val="20"/>
                <w:szCs w:val="20"/>
                <w:color w:val="auto"/>
              </w:rPr>
            </w:pPr>
            <w:r>
              <w:rPr>
                <w:rFonts w:ascii="Arial" w:cs="Arial" w:eastAsia="Arial" w:hAnsi="Arial"/>
                <w:sz w:val="14"/>
                <w:szCs w:val="14"/>
                <w:b w:val="1"/>
                <w:bCs w:val="1"/>
                <w:color w:val="FFFFFF"/>
              </w:rPr>
              <w:t>Beneficial</w:t>
            </w:r>
          </w:p>
        </w:tc>
        <w:tc>
          <w:tcPr>
            <w:tcW w:w="1280" w:type="dxa"/>
            <w:vAlign w:val="bottom"/>
          </w:tcPr>
          <w:p>
            <w:pPr>
              <w:jc w:val="right"/>
              <w:ind w:right="142"/>
              <w:spacing w:after="0"/>
              <w:rPr>
                <w:sz w:val="20"/>
                <w:szCs w:val="20"/>
                <w:color w:val="auto"/>
              </w:rPr>
            </w:pPr>
            <w:r>
              <w:rPr>
                <w:rFonts w:ascii="Arial" w:cs="Arial" w:eastAsia="Arial" w:hAnsi="Arial"/>
                <w:sz w:val="14"/>
                <w:szCs w:val="14"/>
                <w:b w:val="1"/>
                <w:bCs w:val="1"/>
                <w:color w:val="FFFFFF"/>
              </w:rPr>
              <w:t>Beneficially</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Owned(2)</w:t>
            </w:r>
          </w:p>
        </w:tc>
        <w:tc>
          <w:tcPr>
            <w:tcW w:w="1360" w:type="dxa"/>
            <w:vAlign w:val="bottom"/>
          </w:tcPr>
          <w:p>
            <w:pPr>
              <w:jc w:val="center"/>
              <w:ind w:left="41"/>
              <w:spacing w:after="0"/>
              <w:rPr>
                <w:sz w:val="20"/>
                <w:szCs w:val="20"/>
                <w:color w:val="auto"/>
              </w:rPr>
            </w:pPr>
            <w:r>
              <w:rPr>
                <w:rFonts w:ascii="Arial" w:cs="Arial" w:eastAsia="Arial" w:hAnsi="Arial"/>
                <w:sz w:val="14"/>
                <w:szCs w:val="14"/>
                <w:b w:val="1"/>
                <w:bCs w:val="1"/>
                <w:color w:val="FFFFFF"/>
              </w:rPr>
              <w:t>Days(3)</w:t>
            </w:r>
          </w:p>
        </w:tc>
        <w:tc>
          <w:tcPr>
            <w:tcW w:w="1420" w:type="dxa"/>
            <w:vAlign w:val="bottom"/>
          </w:tcPr>
          <w:p>
            <w:pPr>
              <w:ind w:left="280"/>
              <w:spacing w:after="0"/>
              <w:rPr>
                <w:sz w:val="20"/>
                <w:szCs w:val="20"/>
                <w:color w:val="auto"/>
              </w:rPr>
            </w:pPr>
            <w:r>
              <w:rPr>
                <w:rFonts w:ascii="Arial" w:cs="Arial" w:eastAsia="Arial" w:hAnsi="Arial"/>
                <w:sz w:val="14"/>
                <w:szCs w:val="14"/>
                <w:b w:val="1"/>
                <w:bCs w:val="1"/>
                <w:color w:val="FFFFFF"/>
              </w:rPr>
              <w:t>Ownership</w:t>
            </w: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FFFFFF"/>
              </w:rPr>
              <w:t>Owned(4)</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380" w:type="dxa"/>
            <w:vAlign w:val="bottom"/>
            <w:gridSpan w:val="2"/>
            <w:shd w:val="clear" w:color="auto" w:fill="E8EDF4"/>
          </w:tcPr>
          <w:p>
            <w:pPr>
              <w:ind w:left="480"/>
              <w:spacing w:after="0"/>
              <w:rPr>
                <w:sz w:val="20"/>
                <w:szCs w:val="20"/>
                <w:color w:val="auto"/>
              </w:rPr>
            </w:pPr>
            <w:r>
              <w:rPr>
                <w:rFonts w:ascii="Arial" w:cs="Arial" w:eastAsia="Arial" w:hAnsi="Arial"/>
                <w:sz w:val="18"/>
                <w:szCs w:val="18"/>
                <w:color w:val="auto"/>
                <w:w w:val="97"/>
              </w:rPr>
              <w:t>31,687,292</w:t>
            </w:r>
          </w:p>
        </w:tc>
        <w:tc>
          <w:tcPr>
            <w:tcW w:w="1360" w:type="dxa"/>
            <w:vAlign w:val="bottom"/>
            <w:shd w:val="clear" w:color="auto" w:fill="E8EDF4"/>
          </w:tcPr>
          <w:p>
            <w:pPr>
              <w:ind w:left="8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8EDF4"/>
          </w:tcPr>
          <w:p>
            <w:pPr>
              <w:ind w:left="260"/>
              <w:spacing w:after="0"/>
              <w:rPr>
                <w:sz w:val="20"/>
                <w:szCs w:val="20"/>
                <w:color w:val="auto"/>
              </w:rPr>
            </w:pPr>
            <w:r>
              <w:rPr>
                <w:rFonts w:ascii="Arial" w:cs="Arial" w:eastAsia="Arial" w:hAnsi="Arial"/>
                <w:sz w:val="18"/>
                <w:szCs w:val="18"/>
                <w:color w:val="auto"/>
              </w:rPr>
              <w:t>31,687,292</w:t>
            </w:r>
          </w:p>
        </w:tc>
        <w:tc>
          <w:tcPr>
            <w:tcW w:w="1280" w:type="dxa"/>
            <w:vAlign w:val="bottom"/>
            <w:shd w:val="clear" w:color="auto" w:fill="E8EDF4"/>
          </w:tcPr>
          <w:p>
            <w:pPr>
              <w:jc w:val="right"/>
              <w:ind w:right="18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81"/>
        </w:trPr>
        <w:tc>
          <w:tcPr>
            <w:tcW w:w="380" w:type="dxa"/>
            <w:vAlign w:val="bottom"/>
            <w:shd w:val="clear" w:color="auto" w:fill="E8EDF4"/>
          </w:tcPr>
          <w:p>
            <w:pPr>
              <w:spacing w:after="0"/>
              <w:rPr>
                <w:sz w:val="24"/>
                <w:szCs w:val="24"/>
                <w:color w:val="auto"/>
              </w:rPr>
            </w:pPr>
          </w:p>
        </w:tc>
        <w:tc>
          <w:tcPr>
            <w:tcW w:w="1000" w:type="dxa"/>
            <w:vAlign w:val="bottom"/>
            <w:shd w:val="clear" w:color="auto" w:fill="E8EDF4"/>
          </w:tcPr>
          <w:p>
            <w:pPr>
              <w:spacing w:after="0"/>
              <w:rPr>
                <w:sz w:val="24"/>
                <w:szCs w:val="24"/>
                <w:color w:val="auto"/>
              </w:rPr>
            </w:pPr>
          </w:p>
        </w:tc>
        <w:tc>
          <w:tcPr>
            <w:tcW w:w="1360" w:type="dxa"/>
            <w:vAlign w:val="bottom"/>
            <w:shd w:val="clear" w:color="auto" w:fill="E8EDF4"/>
          </w:tcPr>
          <w:p>
            <w:pPr>
              <w:spacing w:after="0"/>
              <w:rPr>
                <w:sz w:val="24"/>
                <w:szCs w:val="24"/>
                <w:color w:val="auto"/>
              </w:rPr>
            </w:pPr>
          </w:p>
        </w:tc>
        <w:tc>
          <w:tcPr>
            <w:tcW w:w="1420" w:type="dxa"/>
            <w:vAlign w:val="bottom"/>
            <w:shd w:val="clear" w:color="auto" w:fill="E8EDF4"/>
          </w:tcPr>
          <w:p>
            <w:pPr>
              <w:spacing w:after="0"/>
              <w:rPr>
                <w:sz w:val="24"/>
                <w:szCs w:val="24"/>
                <w:color w:val="auto"/>
              </w:rPr>
            </w:pPr>
          </w:p>
        </w:tc>
        <w:tc>
          <w:tcPr>
            <w:tcW w:w="1280" w:type="dxa"/>
            <w:vAlign w:val="bottom"/>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gridSpan w:val="2"/>
          </w:tcPr>
          <w:p>
            <w:pPr>
              <w:ind w:left="480"/>
              <w:spacing w:after="0"/>
              <w:rPr>
                <w:sz w:val="20"/>
                <w:szCs w:val="20"/>
                <w:color w:val="auto"/>
              </w:rPr>
            </w:pPr>
            <w:r>
              <w:rPr>
                <w:rFonts w:ascii="Arial" w:cs="Arial" w:eastAsia="Arial" w:hAnsi="Arial"/>
                <w:sz w:val="18"/>
                <w:szCs w:val="18"/>
                <w:color w:val="auto"/>
                <w:w w:val="97"/>
              </w:rPr>
              <w:t>24,272,230</w:t>
            </w:r>
          </w:p>
        </w:tc>
        <w:tc>
          <w:tcPr>
            <w:tcW w:w="1360" w:type="dxa"/>
            <w:vAlign w:val="bottom"/>
          </w:tcPr>
          <w:p>
            <w:pPr>
              <w:ind w:left="840"/>
              <w:spacing w:after="0"/>
              <w:rPr>
                <w:sz w:val="20"/>
                <w:szCs w:val="20"/>
                <w:color w:val="auto"/>
              </w:rPr>
            </w:pPr>
            <w:r>
              <w:rPr>
                <w:rFonts w:ascii="Arial" w:cs="Arial" w:eastAsia="Arial" w:hAnsi="Arial"/>
                <w:sz w:val="18"/>
                <w:szCs w:val="18"/>
                <w:color w:val="auto"/>
              </w:rPr>
              <w:t>—</w:t>
            </w:r>
          </w:p>
        </w:tc>
        <w:tc>
          <w:tcPr>
            <w:tcW w:w="1420" w:type="dxa"/>
            <w:vAlign w:val="bottom"/>
          </w:tcPr>
          <w:p>
            <w:pPr>
              <w:ind w:left="260"/>
              <w:spacing w:after="0"/>
              <w:rPr>
                <w:sz w:val="20"/>
                <w:szCs w:val="20"/>
                <w:color w:val="auto"/>
              </w:rPr>
            </w:pPr>
            <w:r>
              <w:rPr>
                <w:rFonts w:ascii="Arial" w:cs="Arial" w:eastAsia="Arial" w:hAnsi="Arial"/>
                <w:sz w:val="18"/>
                <w:szCs w:val="18"/>
                <w:color w:val="auto"/>
              </w:rPr>
              <w:t>24,272,230</w:t>
            </w:r>
          </w:p>
        </w:tc>
        <w:tc>
          <w:tcPr>
            <w:tcW w:w="1280" w:type="dxa"/>
            <w:vAlign w:val="bottom"/>
          </w:tcPr>
          <w:p>
            <w:pPr>
              <w:jc w:val="right"/>
              <w:ind w:right="18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65"/>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80" w:type="dxa"/>
            <w:vAlign w:val="bottom"/>
            <w:shd w:val="clear" w:color="auto" w:fill="E8EDF4"/>
          </w:tcPr>
          <w:p>
            <w:pPr>
              <w:spacing w:after="0"/>
              <w:rPr>
                <w:sz w:val="23"/>
                <w:szCs w:val="23"/>
                <w:color w:val="auto"/>
              </w:rPr>
            </w:pPr>
          </w:p>
        </w:tc>
        <w:tc>
          <w:tcPr>
            <w:tcW w:w="1000" w:type="dxa"/>
            <w:vAlign w:val="bottom"/>
            <w:shd w:val="clear" w:color="auto" w:fill="E8EDF4"/>
          </w:tcPr>
          <w:p>
            <w:pPr>
              <w:ind w:left="100"/>
              <w:spacing w:after="0"/>
              <w:rPr>
                <w:sz w:val="20"/>
                <w:szCs w:val="20"/>
                <w:color w:val="auto"/>
              </w:rPr>
            </w:pPr>
            <w:r>
              <w:rPr>
                <w:rFonts w:ascii="Arial" w:cs="Arial" w:eastAsia="Arial" w:hAnsi="Arial"/>
                <w:sz w:val="18"/>
                <w:szCs w:val="18"/>
                <w:color w:val="auto"/>
                <w:w w:val="97"/>
              </w:rPr>
              <w:t>21,929,230</w:t>
            </w:r>
          </w:p>
        </w:tc>
        <w:tc>
          <w:tcPr>
            <w:tcW w:w="1360" w:type="dxa"/>
            <w:vAlign w:val="bottom"/>
            <w:shd w:val="clear" w:color="auto" w:fill="E8EDF4"/>
          </w:tcPr>
          <w:p>
            <w:pPr>
              <w:ind w:left="8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8EDF4"/>
          </w:tcPr>
          <w:p>
            <w:pPr>
              <w:ind w:left="260"/>
              <w:spacing w:after="0"/>
              <w:rPr>
                <w:sz w:val="20"/>
                <w:szCs w:val="20"/>
                <w:color w:val="auto"/>
              </w:rPr>
            </w:pPr>
            <w:r>
              <w:rPr>
                <w:rFonts w:ascii="Arial" w:cs="Arial" w:eastAsia="Arial" w:hAnsi="Arial"/>
                <w:sz w:val="18"/>
                <w:szCs w:val="18"/>
                <w:color w:val="auto"/>
              </w:rPr>
              <w:t>21,929,230</w:t>
            </w:r>
          </w:p>
        </w:tc>
        <w:tc>
          <w:tcPr>
            <w:tcW w:w="1280" w:type="dxa"/>
            <w:vAlign w:val="bottom"/>
            <w:shd w:val="clear" w:color="auto" w:fill="E8EDF4"/>
          </w:tcPr>
          <w:p>
            <w:pPr>
              <w:jc w:val="right"/>
              <w:ind w:right="18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4"/>
        </w:trPr>
        <w:tc>
          <w:tcPr>
            <w:tcW w:w="380" w:type="dxa"/>
            <w:vAlign w:val="bottom"/>
            <w:shd w:val="clear" w:color="auto" w:fill="E8EDF4"/>
          </w:tcPr>
          <w:p>
            <w:pPr>
              <w:spacing w:after="0"/>
              <w:rPr>
                <w:sz w:val="24"/>
                <w:szCs w:val="24"/>
                <w:color w:val="auto"/>
              </w:rPr>
            </w:pPr>
          </w:p>
        </w:tc>
        <w:tc>
          <w:tcPr>
            <w:tcW w:w="1000" w:type="dxa"/>
            <w:vAlign w:val="bottom"/>
            <w:shd w:val="clear" w:color="auto" w:fill="E8EDF4"/>
          </w:tcPr>
          <w:p>
            <w:pPr>
              <w:spacing w:after="0"/>
              <w:rPr>
                <w:sz w:val="24"/>
                <w:szCs w:val="24"/>
                <w:color w:val="auto"/>
              </w:rPr>
            </w:pPr>
          </w:p>
        </w:tc>
        <w:tc>
          <w:tcPr>
            <w:tcW w:w="1360" w:type="dxa"/>
            <w:vAlign w:val="bottom"/>
            <w:shd w:val="clear" w:color="auto" w:fill="E8EDF4"/>
          </w:tcPr>
          <w:p>
            <w:pPr>
              <w:spacing w:after="0"/>
              <w:rPr>
                <w:sz w:val="24"/>
                <w:szCs w:val="24"/>
                <w:color w:val="auto"/>
              </w:rPr>
            </w:pPr>
          </w:p>
        </w:tc>
        <w:tc>
          <w:tcPr>
            <w:tcW w:w="1420" w:type="dxa"/>
            <w:vAlign w:val="bottom"/>
            <w:shd w:val="clear" w:color="auto" w:fill="E8EDF4"/>
          </w:tcPr>
          <w:p>
            <w:pPr>
              <w:spacing w:after="0"/>
              <w:rPr>
                <w:sz w:val="24"/>
                <w:szCs w:val="24"/>
                <w:color w:val="auto"/>
              </w:rPr>
            </w:pPr>
          </w:p>
        </w:tc>
        <w:tc>
          <w:tcPr>
            <w:tcW w:w="1280" w:type="dxa"/>
            <w:vAlign w:val="bottom"/>
            <w:shd w:val="clear" w:color="auto" w:fill="E8EDF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-2042160</wp:posOffset>
            </wp:positionV>
            <wp:extent cx="6917690" cy="534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17690" cy="53403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66,945</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53,210</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120,155</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173</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85,263</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85,436</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70,095</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12,890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82,985</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7,125</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23,340</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30,465</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14,711</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30,846</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45,557</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2,650</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1,040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3,690</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2,556</w:t>
            </w:r>
          </w:p>
        </w:tc>
        <w:tc>
          <w:tcPr>
            <w:tcW w:w="1180" w:type="dxa"/>
            <w:vAlign w:val="bottom"/>
            <w:shd w:val="clear" w:color="auto" w:fill="E8EDF4"/>
          </w:tcPr>
          <w:p>
            <w:pPr>
              <w:jc w:val="right"/>
              <w:ind w:right="311"/>
              <w:spacing w:after="0"/>
              <w:rPr>
                <w:sz w:val="20"/>
                <w:szCs w:val="20"/>
                <w:color w:val="auto"/>
              </w:rPr>
            </w:pPr>
            <w:r>
              <w:rPr>
                <w:rFonts w:ascii="Arial" w:cs="Arial" w:eastAsia="Arial" w:hAnsi="Arial"/>
                <w:sz w:val="18"/>
                <w:szCs w:val="18"/>
                <w:color w:val="auto"/>
              </w:rPr>
              <w:t>—</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2,556</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22,740</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53,210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75,950</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46,153</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6,078</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52,231</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17,376</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115,564</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132,940</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20,240</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46,000</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66,240</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900,645</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39,120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939,765</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w:t>
            </w:r>
          </w:p>
        </w:tc>
      </w:tr>
      <w:tr>
        <w:trPr>
          <w:trHeight w:val="267"/>
        </w:trPr>
        <w:tc>
          <w:tcPr>
            <w:tcW w:w="1620" w:type="dxa"/>
            <w:vAlign w:val="bottom"/>
            <w:shd w:val="clear" w:color="auto" w:fill="E8EDF4"/>
          </w:tcPr>
          <w:p>
            <w:pPr>
              <w:jc w:val="right"/>
              <w:ind w:right="171"/>
              <w:spacing w:after="0"/>
              <w:rPr>
                <w:sz w:val="20"/>
                <w:szCs w:val="20"/>
                <w:color w:val="auto"/>
              </w:rPr>
            </w:pPr>
            <w:r>
              <w:rPr>
                <w:rFonts w:ascii="Arial" w:cs="Arial" w:eastAsia="Arial" w:hAnsi="Arial"/>
                <w:sz w:val="18"/>
                <w:szCs w:val="18"/>
                <w:color w:val="auto"/>
              </w:rPr>
              <w:t>10,840</w:t>
            </w:r>
          </w:p>
        </w:tc>
        <w:tc>
          <w:tcPr>
            <w:tcW w:w="1180" w:type="dxa"/>
            <w:vAlign w:val="bottom"/>
            <w:shd w:val="clear" w:color="auto" w:fill="E8EDF4"/>
          </w:tcPr>
          <w:p>
            <w:pPr>
              <w:jc w:val="right"/>
              <w:ind w:right="211"/>
              <w:spacing w:after="0"/>
              <w:rPr>
                <w:sz w:val="20"/>
                <w:szCs w:val="20"/>
                <w:color w:val="auto"/>
              </w:rPr>
            </w:pPr>
            <w:r>
              <w:rPr>
                <w:rFonts w:ascii="Arial" w:cs="Arial" w:eastAsia="Arial" w:hAnsi="Arial"/>
                <w:sz w:val="18"/>
                <w:szCs w:val="18"/>
                <w:color w:val="auto"/>
              </w:rPr>
              <w:t>25,760</w:t>
            </w:r>
          </w:p>
        </w:tc>
        <w:tc>
          <w:tcPr>
            <w:tcW w:w="15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36,600</w:t>
            </w:r>
          </w:p>
        </w:tc>
        <w:tc>
          <w:tcPr>
            <w:tcW w:w="1120" w:type="dxa"/>
            <w:vAlign w:val="bottom"/>
            <w:shd w:val="clear" w:color="auto" w:fill="E8EDF4"/>
          </w:tcPr>
          <w:p>
            <w:pPr>
              <w:jc w:val="right"/>
              <w:ind w:right="331"/>
              <w:spacing w:after="0"/>
              <w:rPr>
                <w:sz w:val="20"/>
                <w:szCs w:val="20"/>
                <w:color w:val="auto"/>
              </w:rPr>
            </w:pPr>
            <w:r>
              <w:rPr>
                <w:rFonts w:ascii="Arial" w:cs="Arial" w:eastAsia="Arial" w:hAnsi="Arial"/>
                <w:sz w:val="18"/>
                <w:szCs w:val="18"/>
                <w:color w:val="auto"/>
              </w:rPr>
              <w:t>*</w:t>
            </w:r>
          </w:p>
        </w:tc>
      </w:tr>
      <w:tr>
        <w:trPr>
          <w:trHeight w:val="683"/>
        </w:trPr>
        <w:tc>
          <w:tcPr>
            <w:tcW w:w="1620" w:type="dxa"/>
            <w:vAlign w:val="bottom"/>
          </w:tcPr>
          <w:p>
            <w:pPr>
              <w:jc w:val="right"/>
              <w:ind w:right="171"/>
              <w:spacing w:after="0"/>
              <w:rPr>
                <w:sz w:val="20"/>
                <w:szCs w:val="20"/>
                <w:color w:val="auto"/>
              </w:rPr>
            </w:pPr>
            <w:r>
              <w:rPr>
                <w:rFonts w:ascii="Arial" w:cs="Arial" w:eastAsia="Arial" w:hAnsi="Arial"/>
                <w:sz w:val="18"/>
                <w:szCs w:val="18"/>
                <w:color w:val="auto"/>
              </w:rPr>
              <w:t>1,211,359</w:t>
            </w:r>
          </w:p>
        </w:tc>
        <w:tc>
          <w:tcPr>
            <w:tcW w:w="1180" w:type="dxa"/>
            <w:vAlign w:val="bottom"/>
          </w:tcPr>
          <w:p>
            <w:pPr>
              <w:jc w:val="right"/>
              <w:ind w:right="211"/>
              <w:spacing w:after="0"/>
              <w:rPr>
                <w:sz w:val="20"/>
                <w:szCs w:val="20"/>
                <w:color w:val="auto"/>
              </w:rPr>
            </w:pPr>
            <w:r>
              <w:rPr>
                <w:rFonts w:ascii="Arial" w:cs="Arial" w:eastAsia="Arial" w:hAnsi="Arial"/>
                <w:sz w:val="18"/>
                <w:szCs w:val="18"/>
                <w:color w:val="auto"/>
              </w:rPr>
              <w:t>535,220</w:t>
            </w:r>
          </w:p>
        </w:tc>
        <w:tc>
          <w:tcPr>
            <w:tcW w:w="1520" w:type="dxa"/>
            <w:vAlign w:val="bottom"/>
          </w:tcPr>
          <w:p>
            <w:pPr>
              <w:jc w:val="right"/>
              <w:ind w:right="331"/>
              <w:spacing w:after="0"/>
              <w:rPr>
                <w:sz w:val="20"/>
                <w:szCs w:val="20"/>
                <w:color w:val="auto"/>
              </w:rPr>
            </w:pPr>
            <w:r>
              <w:rPr>
                <w:rFonts w:ascii="Arial" w:cs="Arial" w:eastAsia="Arial" w:hAnsi="Arial"/>
                <w:sz w:val="18"/>
                <w:szCs w:val="18"/>
                <w:color w:val="auto"/>
              </w:rPr>
              <w:t>1,746,579</w:t>
            </w: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0.5%</w:t>
            </w:r>
          </w:p>
        </w:tc>
      </w:tr>
    </w:tbl>
    <w:p>
      <w:pPr>
        <w:spacing w:after="0" w:line="148" w:lineRule="exact"/>
        <w:rPr>
          <w:sz w:val="20"/>
          <w:szCs w:val="20"/>
          <w:color w:val="auto"/>
        </w:rPr>
      </w:pPr>
    </w:p>
    <w:p>
      <w:pPr>
        <w:sectPr>
          <w:pgSz w:w="11900" w:h="16838" w:orient="portrait"/>
          <w:cols w:equalWidth="0" w:num="2">
            <w:col w:w="5560" w:space="160"/>
            <w:col w:w="5440"/>
          </w:cols>
          <w:pgMar w:left="240" w:top="453" w:right="499" w:bottom="1440" w:gutter="0" w:footer="0" w:header="0"/>
          <w:type w:val="continuous"/>
        </w:sectPr>
      </w:pPr>
    </w:p>
    <w:p>
      <w:pPr>
        <w:ind w:left="700" w:hanging="433"/>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our common stock.</w:t>
      </w:r>
    </w:p>
    <w:p>
      <w:pPr>
        <w:spacing w:after="0" w:line="15" w:lineRule="exact"/>
        <w:rPr>
          <w:sz w:val="20"/>
          <w:szCs w:val="20"/>
          <w:color w:val="auto"/>
        </w:rPr>
      </w:pPr>
    </w:p>
    <w:p>
      <w:pPr>
        <w:ind w:left="700" w:right="120" w:hanging="433"/>
        <w:spacing w:after="0" w:line="232"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listed is c/o Analog Devices, Inc., One Technology Way, Norwood, Massachusetts 02062.</w:t>
      </w:r>
    </w:p>
    <w:p>
      <w:pPr>
        <w:ind w:left="700" w:right="180" w:hanging="433"/>
        <w:spacing w:after="0" w:line="237"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ectPr>
          <w:pgSz w:w="11900" w:h="16838" w:orient="portrait"/>
          <w:cols w:equalWidth="0" w:num="1">
            <w:col w:w="11160"/>
          </w:cols>
          <w:pgMar w:left="240" w:top="453" w:right="499" w:bottom="1440" w:gutter="0" w:footer="0" w:header="0"/>
          <w:type w:val="continuous"/>
        </w:sectPr>
      </w:pPr>
    </w:p>
    <w:p>
      <w:pPr>
        <w:spacing w:after="0" w:line="108" w:lineRule="exact"/>
        <w:rPr>
          <w:sz w:val="20"/>
          <w:szCs w:val="20"/>
          <w:color w:val="auto"/>
        </w:rPr>
      </w:pPr>
    </w:p>
    <w:p>
      <w:pPr>
        <w:ind w:left="9280"/>
        <w:spacing w:after="0"/>
        <w:tabs>
          <w:tab w:leader="none" w:pos="109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15</w:t>
      </w:r>
    </w:p>
    <w:p>
      <w:pPr>
        <w:sectPr>
          <w:pgSz w:w="11900" w:h="16838" w:orient="portrait"/>
          <w:cols w:equalWidth="0" w:num="1">
            <w:col w:w="11160"/>
          </w:cols>
          <w:pgMar w:left="240" w:top="453" w:right="49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right="40" w:hanging="433"/>
        <w:spacing w:after="0" w:line="236"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4, 2019.</w:t>
      </w:r>
    </w:p>
    <w:p>
      <w:pPr>
        <w:spacing w:after="0" w:line="2" w:lineRule="exact"/>
        <w:rPr>
          <w:rFonts w:ascii="Arial" w:cs="Arial" w:eastAsia="Arial" w:hAnsi="Arial"/>
          <w:sz w:val="18"/>
          <w:szCs w:val="18"/>
          <w:color w:val="auto"/>
        </w:rPr>
      </w:pPr>
    </w:p>
    <w:p>
      <w:pPr>
        <w:ind w:left="700" w:hanging="433"/>
        <w:spacing w:after="0" w:line="245" w:lineRule="auto"/>
        <w:tabs>
          <w:tab w:leader="none" w:pos="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percent ownership for each shareholder on January 4, 2019 is calculated by dividing (1) the total number of shares beneficially owned by the shareholder by (2) the number of shares of our common stock outstanding on January 4, 2019 (369,413,139 shares) plus any shares acquirable (including exercisable stock options) by the shareholder in question within 60 days after January 4, 2019.</w:t>
      </w:r>
    </w:p>
    <w:p>
      <w:pPr>
        <w:spacing w:after="0" w:line="2" w:lineRule="exact"/>
        <w:rPr>
          <w:rFonts w:ascii="Arial" w:cs="Arial" w:eastAsia="Arial" w:hAnsi="Arial"/>
          <w:sz w:val="17"/>
          <w:szCs w:val="17"/>
          <w:color w:val="auto"/>
        </w:rPr>
      </w:pPr>
    </w:p>
    <w:p>
      <w:pPr>
        <w:ind w:left="700" w:right="2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a Form 13F-HR/A filed by Vanguard Group Inc. on December 13, 2018 reporting stock ownership as of September 30, 2018. Vanguard Group also reported that, as of September 30, 2018, it had sole voting power for 465,804 shares, sole investment power for 31,143,704 shares, shared voting power for 116,231 shares, shared investment power for 543,588 shares and no voting power with respect to 31,105,257 shares.</w:t>
      </w:r>
    </w:p>
    <w:p>
      <w:pPr>
        <w:ind w:left="700" w:right="4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a Form 13F-HR filed by BlackRock Inc. on November 9, 2018 reporting stock ownership as of September 30, 2018. BlackRock Inc. also reported that, as of September 30, 2018, it had sole voting power for 21,278,134 shares and no voting power with respect to 2,994,096 shares.</w:t>
      </w:r>
    </w:p>
    <w:p>
      <w:pPr>
        <w:ind w:left="700" w:right="8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solely on a Form 13F-HR/A filed by JPMorgan Chase &amp; Co. on November 13, 2018 reporting stock ownership as of September 30, 2018. JPMorgan Chase &amp; Co. also reported that, as of September 30, 2018, it had sole voting power for 19,464,950 shares, other investment power for 292,319 shares, shared voting power for 211,333 shares, shared investment power for 21,636,911 shares and no voting power with respect to 2,252,947 shares.</w:t>
      </w:r>
    </w:p>
    <w:p>
      <w:pPr>
        <w:ind w:left="700" w:right="24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54,025 shares held in trust for the benefit of Mr. Champy’s spouse and son, as to which Mr. Champy disclaims beneficial ownership.</w:t>
      </w:r>
    </w:p>
    <w:p>
      <w:pPr>
        <w:ind w:left="70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Dr. Chandrakasan became a director on January 1, 2019.</w:t>
      </w:r>
    </w:p>
    <w:p>
      <w:pPr>
        <w:ind w:left="70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Golz became a director on June 13, 2018.</w:t>
      </w:r>
    </w:p>
    <w:p>
      <w:pPr>
        <w:ind w:left="700" w:right="100" w:hanging="433"/>
        <w:spacing w:after="0" w:line="232" w:lineRule="auto"/>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738,709 shares held by Mr. Stata’s spouse, as to which Mr. Stata disclaims beneficial ownership. Includes 733,709 shares held by Mr. Stata’s spouse and 133,138 shares held directly by Mr. Stata that are pledged as collateral for a line of credit from a bank, which is unchanged compared to last year. Due to a typographical error, our 2018 proxy statement incorrectly stated the number of shares pledged by Mr. Stata as of January 12, 2018 as 123,138 instead of 133,138. Since January 2013, we have prohibited our directors and executive officers from future pledging of their Company securities as collateral for a loan.</w:t>
      </w:r>
    </w:p>
    <w:p>
      <w:pPr>
        <w:ind w:left="700" w:hanging="433"/>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directors and executive officers as a group disclaim beneficial ownership of a total of 792,734 shares.</w:t>
      </w:r>
    </w:p>
    <w:p>
      <w:pPr>
        <w:spacing w:after="0" w:line="146" w:lineRule="exact"/>
        <w:rPr>
          <w:sz w:val="20"/>
          <w:szCs w:val="20"/>
          <w:color w:val="auto"/>
        </w:rPr>
      </w:pPr>
    </w:p>
    <w:p>
      <w:pPr>
        <w:ind w:left="660" w:hanging="393"/>
        <w:spacing w:after="0"/>
        <w:tabs>
          <w:tab w:leader="none" w:pos="660" w:val="left"/>
        </w:tabs>
        <w:numPr>
          <w:ilvl w:val="0"/>
          <w:numId w:val="5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00"/>
          </w:cols>
          <w:pgMar w:left="240" w:top="453" w:right="5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SECTION 16(A) BENEFICIAL OWNERSHIP REPORTING COMPLIANCE</w:t>
      </w:r>
    </w:p>
    <w:p>
      <w:pPr>
        <w:spacing w:after="0" w:line="128" w:lineRule="exact"/>
        <w:rPr>
          <w:sz w:val="20"/>
          <w:szCs w:val="20"/>
          <w:color w:val="auto"/>
        </w:rPr>
      </w:pPr>
    </w:p>
    <w:p>
      <w:pPr>
        <w:ind w:left="260" w:right="120" w:firstLine="435"/>
        <w:spacing w:after="0" w:line="259" w:lineRule="auto"/>
        <w:rPr>
          <w:sz w:val="20"/>
          <w:szCs w:val="20"/>
          <w:color w:val="auto"/>
        </w:rPr>
      </w:pPr>
      <w:r>
        <w:rPr>
          <w:rFonts w:ascii="Arial" w:cs="Arial" w:eastAsia="Arial" w:hAnsi="Arial"/>
          <w:sz w:val="17"/>
          <w:szCs w:val="17"/>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 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fiscal 2018.</w:t>
      </w:r>
    </w:p>
    <w:p>
      <w:pPr>
        <w:spacing w:after="0" w:line="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17</w:t>
      </w:r>
    </w:p>
    <w:p>
      <w:pPr>
        <w:sectPr>
          <w:pgSz w:w="11900" w:h="16838" w:orient="portrait"/>
          <w:cols w:equalWidth="0" w:num="1">
            <w:col w:w="11160"/>
          </w:cols>
          <w:pgMar w:left="240" w:top="453" w:right="4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432435</wp:posOffset>
            </wp:positionV>
            <wp:extent cx="6917690" cy="398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17690" cy="39814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FFFFFF"/>
        </w:rPr>
        <w:t>PROPOSAL 1</w:t>
      </w: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ELECTION OF DIRECTORS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ELECTION PROCESS</w:t>
      </w:r>
    </w:p>
    <w:p>
      <w:pPr>
        <w:spacing w:after="0" w:line="102" w:lineRule="exact"/>
        <w:rPr>
          <w:sz w:val="20"/>
          <w:szCs w:val="20"/>
          <w:color w:val="auto"/>
        </w:rPr>
      </w:pPr>
    </w:p>
    <w:p>
      <w:pPr>
        <w:ind w:left="260" w:firstLine="435"/>
        <w:spacing w:after="0" w:line="238" w:lineRule="auto"/>
        <w:rPr>
          <w:sz w:val="20"/>
          <w:szCs w:val="20"/>
          <w:color w:val="auto"/>
        </w:rPr>
      </w:pPr>
      <w:r>
        <w:rPr>
          <w:rFonts w:ascii="Arial" w:cs="Arial" w:eastAsia="Arial" w:hAnsi="Arial"/>
          <w:sz w:val="18"/>
          <w:szCs w:val="18"/>
          <w:color w:val="auto"/>
        </w:rPr>
        <w:t>Our entire Board of Directors is elected annually by our shareholders and currently consists of eleven directors, of whom nine are deemed to be “independent directors.” At the Annual Meeting, shareholders will accordingly have an opportunity to vote for each of the eleven nominees listed below. The persons named in the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DIRECTOR CRITERIA, QUALIFICATIONS AND EXPERIENCE</w:t>
      </w:r>
    </w:p>
    <w:p>
      <w:pPr>
        <w:spacing w:after="0" w:line="102" w:lineRule="exact"/>
        <w:rPr>
          <w:sz w:val="20"/>
          <w:szCs w:val="20"/>
          <w:color w:val="auto"/>
        </w:rPr>
      </w:pPr>
    </w:p>
    <w:p>
      <w:pPr>
        <w:ind w:left="260" w:right="60" w:firstLine="435"/>
        <w:spacing w:after="0" w:line="244" w:lineRule="auto"/>
        <w:rPr>
          <w:sz w:val="20"/>
          <w:szCs w:val="20"/>
          <w:color w:val="auto"/>
        </w:rPr>
      </w:pPr>
      <w:r>
        <w:rPr>
          <w:rFonts w:ascii="Arial" w:cs="Arial" w:eastAsia="Arial" w:hAnsi="Arial"/>
          <w:sz w:val="18"/>
          <w:szCs w:val="18"/>
          <w:color w:val="auto"/>
        </w:rPr>
        <w:t>The Board of Directors is committed to ensuring that it is composed of a highly capable group of directors who collectively provide a significant breadth of experience, knowledge and abilities, to effectively represent the interests of shareholders and reflect our corporate values of integrity, honesty and adherence to high ethical standards. Key factors that the Board of Directors and the Nominating and Corporate Governance Committee consider when selecting directors include:</w:t>
      </w:r>
    </w:p>
    <w:p>
      <w:pPr>
        <w:spacing w:after="0" w:line="157" w:lineRule="exact"/>
        <w:rPr>
          <w:sz w:val="20"/>
          <w:szCs w:val="20"/>
          <w:color w:val="auto"/>
        </w:rPr>
      </w:pPr>
    </w:p>
    <w:p>
      <w:pPr>
        <w:ind w:left="3240"/>
        <w:spacing w:after="0"/>
        <w:rPr>
          <w:sz w:val="20"/>
          <w:szCs w:val="20"/>
          <w:color w:val="auto"/>
        </w:rPr>
      </w:pPr>
      <w:r>
        <w:rPr>
          <w:rFonts w:ascii="Arial" w:cs="Arial" w:eastAsia="Arial" w:hAnsi="Arial"/>
          <w:sz w:val="32"/>
          <w:szCs w:val="32"/>
          <w:color w:val="052B82"/>
        </w:rPr>
        <w:t>BOARD EXPERTISE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180340</wp:posOffset>
            </wp:positionV>
            <wp:extent cx="5128895" cy="2628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28895" cy="262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93"/>
        <w:spacing w:after="0"/>
        <w:tabs>
          <w:tab w:leader="none" w:pos="660" w:val="left"/>
        </w:tabs>
        <w:numPr>
          <w:ilvl w:val="0"/>
          <w:numId w:val="5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00"/>
          </w:cols>
          <w:pgMar w:left="240" w:top="453" w:right="5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40"/>
        <w:spacing w:after="0"/>
        <w:tabs>
          <w:tab w:leader="none" w:pos="7340" w:val="left"/>
        </w:tabs>
        <w:rPr>
          <w:sz w:val="20"/>
          <w:szCs w:val="20"/>
          <w:color w:val="auto"/>
        </w:rPr>
      </w:pPr>
      <w:r>
        <w:rPr>
          <w:rFonts w:ascii="Arial" w:cs="Arial" w:eastAsia="Arial" w:hAnsi="Arial"/>
          <w:sz w:val="23"/>
          <w:szCs w:val="23"/>
          <w:b w:val="1"/>
          <w:bCs w:val="1"/>
          <w:color w:val="052B82"/>
        </w:rPr>
        <w:t>BOARD TENURE</w:t>
      </w:r>
      <w:r>
        <w:rPr>
          <w:sz w:val="20"/>
          <w:szCs w:val="20"/>
          <w:color w:val="auto"/>
        </w:rPr>
        <w:tab/>
      </w:r>
      <w:r>
        <w:rPr>
          <w:rFonts w:ascii="Arial" w:cs="Arial" w:eastAsia="Arial" w:hAnsi="Arial"/>
          <w:sz w:val="22"/>
          <w:szCs w:val="22"/>
          <w:b w:val="1"/>
          <w:bCs w:val="1"/>
          <w:color w:val="052B82"/>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248285</wp:posOffset>
            </wp:positionV>
            <wp:extent cx="6129020" cy="27635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29020" cy="276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right="80" w:firstLine="435"/>
        <w:spacing w:after="0" w:line="237" w:lineRule="auto"/>
        <w:rPr>
          <w:sz w:val="20"/>
          <w:szCs w:val="20"/>
          <w:color w:val="auto"/>
        </w:rPr>
      </w:pPr>
      <w:r>
        <w:rPr>
          <w:rFonts w:ascii="Arial" w:cs="Arial" w:eastAsia="Arial" w:hAnsi="Arial"/>
          <w:sz w:val="18"/>
          <w:szCs w:val="18"/>
          <w:color w:val="auto"/>
        </w:rPr>
        <w:t>The following paragraphs provide information as of the date of this proxy statement about each nominee. The information presented includes information each director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180" w:lineRule="exact"/>
        <w:rPr>
          <w:sz w:val="20"/>
          <w:szCs w:val="20"/>
          <w:color w:val="auto"/>
        </w:rPr>
      </w:pPr>
    </w:p>
    <w:p>
      <w:pPr>
        <w:ind w:left="260" w:right="220" w:firstLine="435"/>
        <w:spacing w:after="0" w:line="250" w:lineRule="auto"/>
        <w:rPr>
          <w:sz w:val="20"/>
          <w:szCs w:val="20"/>
          <w:color w:val="auto"/>
        </w:rPr>
      </w:pPr>
      <w:r>
        <w:rPr>
          <w:rFonts w:ascii="Arial" w:cs="Arial" w:eastAsia="Arial" w:hAnsi="Arial"/>
          <w:sz w:val="18"/>
          <w:szCs w:val="18"/>
          <w:color w:val="auto"/>
        </w:rPr>
        <w:t>Information about the number of shares of common stock beneficially owned by each director appears above under the heading “Security Ownership of Certain Beneficial Owners and Management.” See also “Certain Relationships and Related Transactions.” There are no family relationships among any of the directors and executive officers of ADI.</w:t>
      </w:r>
    </w:p>
    <w:p>
      <w:pPr>
        <w:spacing w:after="0" w:line="77" w:lineRule="exact"/>
        <w:rPr>
          <w:sz w:val="20"/>
          <w:szCs w:val="20"/>
          <w:color w:val="auto"/>
        </w:rPr>
      </w:pPr>
    </w:p>
    <w:tbl>
      <w:tblPr>
        <w:tblLayout w:type="fixed"/>
        <w:tblInd w:w="290" w:type="dxa"/>
        <w:tblCellMar>
          <w:top w:w="0" w:type="dxa"/>
          <w:left w:w="0" w:type="dxa"/>
          <w:bottom w:w="0" w:type="dxa"/>
          <w:right w:w="0" w:type="dxa"/>
        </w:tblCellMar>
      </w:tblPr>
      <w:tr>
        <w:trPr>
          <w:trHeight w:val="258"/>
        </w:trPr>
        <w:tc>
          <w:tcPr>
            <w:tcW w:w="2380" w:type="dxa"/>
            <w:vAlign w:val="bottom"/>
            <w:tcBorders>
              <w:top w:val="single" w:sz="8" w:color="4C4C4C"/>
              <w:left w:val="single" w:sz="8" w:color="4C4C4C"/>
            </w:tcBorders>
            <w:shd w:val="clear" w:color="auto" w:fill="052B82"/>
          </w:tcPr>
          <w:p>
            <w:pPr>
              <w:ind w:left="200"/>
              <w:spacing w:after="0"/>
              <w:rPr>
                <w:sz w:val="20"/>
                <w:szCs w:val="20"/>
                <w:color w:val="auto"/>
              </w:rPr>
            </w:pPr>
            <w:r>
              <w:rPr>
                <w:rFonts w:ascii="Arial" w:cs="Arial" w:eastAsia="Arial" w:hAnsi="Arial"/>
                <w:sz w:val="21"/>
                <w:szCs w:val="21"/>
                <w:b w:val="1"/>
                <w:bCs w:val="1"/>
                <w:color w:val="FFFFFF"/>
              </w:rPr>
              <w:t>Ray Stata</w:t>
            </w:r>
          </w:p>
        </w:tc>
        <w:tc>
          <w:tcPr>
            <w:tcW w:w="4180" w:type="dxa"/>
            <w:vAlign w:val="bottom"/>
            <w:tcBorders>
              <w:top w:val="single" w:sz="8" w:color="4C4C4C"/>
            </w:tcBorders>
            <w:shd w:val="clear" w:color="auto" w:fill="E8EDF4"/>
          </w:tcPr>
          <w:p>
            <w:pPr>
              <w:ind w:left="100"/>
              <w:spacing w:after="0"/>
              <w:rPr>
                <w:sz w:val="20"/>
                <w:szCs w:val="20"/>
                <w:color w:val="auto"/>
              </w:rPr>
            </w:pPr>
            <w:r>
              <w:rPr>
                <w:rFonts w:ascii="Arial" w:cs="Arial" w:eastAsia="Arial" w:hAnsi="Arial"/>
                <w:sz w:val="18"/>
                <w:szCs w:val="18"/>
                <w:b w:val="1"/>
                <w:bCs w:val="1"/>
                <w:color w:val="auto"/>
              </w:rPr>
              <w:t>Professional Experience and Background</w:t>
            </w:r>
          </w:p>
        </w:tc>
        <w:tc>
          <w:tcPr>
            <w:tcW w:w="4340" w:type="dxa"/>
            <w:vAlign w:val="bottom"/>
            <w:tcBorders>
              <w:top w:val="single" w:sz="8" w:color="4C4C4C"/>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4C4C4C"/>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Chairman of the</w:t>
            </w:r>
          </w:p>
        </w:tc>
        <w:tc>
          <w:tcPr>
            <w:tcW w:w="8520" w:type="dxa"/>
            <w:vAlign w:val="bottom"/>
            <w:tcBorders>
              <w:right w:val="single" w:sz="8" w:color="4C4C4C"/>
            </w:tcBorders>
            <w:gridSpan w:val="2"/>
            <w:shd w:val="clear" w:color="auto" w:fill="E8EDF4"/>
          </w:tcPr>
          <w:p>
            <w:pPr>
              <w:ind w:left="100"/>
              <w:spacing w:after="0" w:line="201" w:lineRule="exact"/>
              <w:rPr>
                <w:sz w:val="20"/>
                <w:szCs w:val="20"/>
                <w:color w:val="auto"/>
              </w:rPr>
            </w:pPr>
            <w:r>
              <w:rPr>
                <w:rFonts w:ascii="Arial" w:cs="Arial" w:eastAsia="Arial" w:hAnsi="Arial"/>
                <w:sz w:val="18"/>
                <w:szCs w:val="18"/>
                <w:color w:val="auto"/>
              </w:rPr>
              <w:t>Mr. Stata has served as our Chairman of the Board of Directors since 1973 and served as an executive</w:t>
            </w:r>
          </w:p>
        </w:tc>
        <w:tc>
          <w:tcPr>
            <w:tcW w:w="0" w:type="dxa"/>
            <w:vAlign w:val="bottom"/>
          </w:tcPr>
          <w:p>
            <w:pPr>
              <w:spacing w:after="0"/>
              <w:rPr>
                <w:sz w:val="1"/>
                <w:szCs w:val="1"/>
                <w:color w:val="auto"/>
              </w:rPr>
            </w:pPr>
          </w:p>
        </w:tc>
      </w:tr>
      <w:tr>
        <w:trPr>
          <w:trHeight w:val="183"/>
        </w:trPr>
        <w:tc>
          <w:tcPr>
            <w:tcW w:w="2380" w:type="dxa"/>
            <w:vAlign w:val="bottom"/>
            <w:tcBorders>
              <w:left w:val="single" w:sz="8" w:color="4C4C4C"/>
            </w:tcBorders>
            <w:vMerge w:val="continue"/>
            <w:shd w:val="clear" w:color="auto" w:fill="052B82"/>
          </w:tcPr>
          <w:p>
            <w:pPr>
              <w:spacing w:after="0"/>
              <w:rPr>
                <w:sz w:val="15"/>
                <w:szCs w:val="15"/>
                <w:color w:val="auto"/>
              </w:rPr>
            </w:pPr>
          </w:p>
        </w:tc>
        <w:tc>
          <w:tcPr>
            <w:tcW w:w="8520" w:type="dxa"/>
            <w:vAlign w:val="bottom"/>
            <w:tcBorders>
              <w:right w:val="single" w:sz="8" w:color="4C4C4C"/>
            </w:tcBorders>
            <w:gridSpan w:val="2"/>
            <w:shd w:val="clear" w:color="auto" w:fill="E8EDF4"/>
          </w:tcPr>
          <w:p>
            <w:pPr>
              <w:ind w:left="100"/>
              <w:spacing w:after="0" w:line="183" w:lineRule="exact"/>
              <w:rPr>
                <w:sz w:val="20"/>
                <w:szCs w:val="20"/>
                <w:color w:val="auto"/>
              </w:rPr>
            </w:pPr>
            <w:r>
              <w:rPr>
                <w:rFonts w:ascii="Arial" w:cs="Arial" w:eastAsia="Arial" w:hAnsi="Arial"/>
                <w:sz w:val="18"/>
                <w:szCs w:val="18"/>
                <w:color w:val="auto"/>
              </w:rPr>
              <w:t>officer of our Company from its inception until April 2012. Mr. Stata served as our Chief Executive Officer</w:t>
            </w:r>
          </w:p>
        </w:tc>
        <w:tc>
          <w:tcPr>
            <w:tcW w:w="0" w:type="dxa"/>
            <w:vAlign w:val="bottom"/>
          </w:tcPr>
          <w:p>
            <w:pPr>
              <w:spacing w:after="0"/>
              <w:rPr>
                <w:sz w:val="1"/>
                <w:szCs w:val="1"/>
                <w:color w:val="auto"/>
              </w:rPr>
            </w:pPr>
          </w:p>
        </w:tc>
      </w:tr>
      <w:tr>
        <w:trPr>
          <w:trHeight w:val="256"/>
        </w:trPr>
        <w:tc>
          <w:tcPr>
            <w:tcW w:w="23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Board of Directors</w:t>
            </w:r>
          </w:p>
        </w:tc>
        <w:tc>
          <w:tcPr>
            <w:tcW w:w="8520" w:type="dxa"/>
            <w:vAlign w:val="bottom"/>
            <w:tcBorders>
              <w:right w:val="single" w:sz="8" w:color="4C4C4C"/>
            </w:tcBorders>
            <w:gridSpan w:val="2"/>
            <w:shd w:val="clear" w:color="auto" w:fill="E8EDF4"/>
          </w:tcPr>
          <w:p>
            <w:pPr>
              <w:ind w:left="100"/>
              <w:spacing w:after="0"/>
              <w:rPr>
                <w:sz w:val="20"/>
                <w:szCs w:val="20"/>
                <w:color w:val="auto"/>
              </w:rPr>
            </w:pPr>
            <w:r>
              <w:rPr>
                <w:rFonts w:ascii="Arial" w:cs="Arial" w:eastAsia="Arial" w:hAnsi="Arial"/>
                <w:sz w:val="18"/>
                <w:szCs w:val="18"/>
                <w:color w:val="auto"/>
              </w:rPr>
              <w:t>from 1973 to November 1996 and as our President from 1971 to November 1991.</w:t>
            </w:r>
          </w:p>
        </w:tc>
        <w:tc>
          <w:tcPr>
            <w:tcW w:w="0" w:type="dxa"/>
            <w:vAlign w:val="bottom"/>
          </w:tcPr>
          <w:p>
            <w:pPr>
              <w:spacing w:after="0"/>
              <w:rPr>
                <w:sz w:val="1"/>
                <w:szCs w:val="1"/>
                <w:color w:val="auto"/>
              </w:rPr>
            </w:pPr>
          </w:p>
        </w:tc>
      </w:tr>
      <w:tr>
        <w:trPr>
          <w:trHeight w:val="304"/>
        </w:trPr>
        <w:tc>
          <w:tcPr>
            <w:tcW w:w="23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1965</w:t>
            </w:r>
          </w:p>
        </w:tc>
        <w:tc>
          <w:tcPr>
            <w:tcW w:w="4180" w:type="dxa"/>
            <w:vAlign w:val="bottom"/>
            <w:shd w:val="clear" w:color="auto" w:fill="E8EDF4"/>
          </w:tcPr>
          <w:p>
            <w:pPr>
              <w:ind w:left="100"/>
              <w:spacing w:after="0"/>
              <w:rPr>
                <w:sz w:val="20"/>
                <w:szCs w:val="20"/>
                <w:color w:val="auto"/>
              </w:rPr>
            </w:pPr>
            <w:r>
              <w:rPr>
                <w:rFonts w:ascii="Arial" w:cs="Arial" w:eastAsia="Arial" w:hAnsi="Arial"/>
                <w:sz w:val="18"/>
                <w:szCs w:val="18"/>
                <w:b w:val="1"/>
                <w:bCs w:val="1"/>
                <w:color w:val="auto"/>
              </w:rPr>
              <w:t>Key Qualifications and Expertise</w:t>
            </w:r>
          </w:p>
        </w:tc>
        <w:tc>
          <w:tcPr>
            <w:tcW w:w="43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3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84</w:t>
            </w:r>
          </w:p>
        </w:tc>
        <w:tc>
          <w:tcPr>
            <w:tcW w:w="8520" w:type="dxa"/>
            <w:vAlign w:val="bottom"/>
            <w:tcBorders>
              <w:right w:val="single" w:sz="8" w:color="4C4C4C"/>
            </w:tcBorders>
            <w:gridSpan w:val="2"/>
            <w:shd w:val="clear" w:color="auto" w:fill="E8EDF4"/>
          </w:tcPr>
          <w:p>
            <w:pPr>
              <w:ind w:left="100"/>
              <w:spacing w:after="0"/>
              <w:rPr>
                <w:sz w:val="20"/>
                <w:szCs w:val="20"/>
                <w:color w:val="auto"/>
              </w:rPr>
            </w:pPr>
            <w:r>
              <w:rPr>
                <w:rFonts w:ascii="Arial" w:cs="Arial" w:eastAsia="Arial" w:hAnsi="Arial"/>
                <w:sz w:val="18"/>
                <w:szCs w:val="18"/>
                <w:color w:val="auto"/>
              </w:rPr>
              <w:t>We believe Mr. Stata’s qualifications to serve on our Board of Directors include more than 50 years of</w:t>
            </w:r>
          </w:p>
        </w:tc>
        <w:tc>
          <w:tcPr>
            <w:tcW w:w="0" w:type="dxa"/>
            <w:vAlign w:val="bottom"/>
          </w:tcPr>
          <w:p>
            <w:pPr>
              <w:spacing w:after="0"/>
              <w:rPr>
                <w:sz w:val="1"/>
                <w:szCs w:val="1"/>
                <w:color w:val="auto"/>
              </w:rPr>
            </w:pPr>
          </w:p>
        </w:tc>
      </w:tr>
      <w:tr>
        <w:trPr>
          <w:trHeight w:val="178"/>
        </w:trPr>
        <w:tc>
          <w:tcPr>
            <w:tcW w:w="2380" w:type="dxa"/>
            <w:vAlign w:val="bottom"/>
            <w:tcBorders>
              <w:left w:val="single" w:sz="8" w:color="4C4C4C"/>
            </w:tcBorders>
            <w:shd w:val="clear" w:color="auto" w:fill="052B82"/>
          </w:tcPr>
          <w:p>
            <w:pPr>
              <w:spacing w:after="0"/>
              <w:rPr>
                <w:sz w:val="15"/>
                <w:szCs w:val="15"/>
                <w:color w:val="auto"/>
              </w:rPr>
            </w:pPr>
          </w:p>
        </w:tc>
        <w:tc>
          <w:tcPr>
            <w:tcW w:w="8520" w:type="dxa"/>
            <w:vAlign w:val="bottom"/>
            <w:tcBorders>
              <w:right w:val="single" w:sz="8" w:color="4C4C4C"/>
            </w:tcBorders>
            <w:gridSpan w:val="2"/>
            <w:shd w:val="clear" w:color="auto" w:fill="E8EDF4"/>
          </w:tcPr>
          <w:p>
            <w:pPr>
              <w:ind w:left="100"/>
              <w:spacing w:after="0" w:line="178" w:lineRule="exact"/>
              <w:rPr>
                <w:sz w:val="20"/>
                <w:szCs w:val="20"/>
                <w:color w:val="auto"/>
              </w:rPr>
            </w:pPr>
            <w:r>
              <w:rPr>
                <w:rFonts w:ascii="Arial" w:cs="Arial" w:eastAsia="Arial" w:hAnsi="Arial"/>
                <w:sz w:val="18"/>
                <w:szCs w:val="18"/>
                <w:color w:val="auto"/>
              </w:rPr>
              <w:t>experience and leadership in the semiconductor industry, including as our founder, our Chairman for 43</w:t>
            </w:r>
          </w:p>
        </w:tc>
        <w:tc>
          <w:tcPr>
            <w:tcW w:w="0" w:type="dxa"/>
            <w:vAlign w:val="bottom"/>
          </w:tcPr>
          <w:p>
            <w:pPr>
              <w:spacing w:after="0"/>
              <w:rPr>
                <w:sz w:val="1"/>
                <w:szCs w:val="1"/>
                <w:color w:val="auto"/>
              </w:rPr>
            </w:pPr>
          </w:p>
        </w:tc>
      </w:tr>
      <w:tr>
        <w:trPr>
          <w:trHeight w:val="200"/>
        </w:trPr>
        <w:tc>
          <w:tcPr>
            <w:tcW w:w="2380" w:type="dxa"/>
            <w:vAlign w:val="bottom"/>
            <w:tcBorders>
              <w:left w:val="single" w:sz="8" w:color="4C4C4C"/>
            </w:tcBorders>
            <w:shd w:val="clear" w:color="auto" w:fill="052B82"/>
          </w:tcPr>
          <w:p>
            <w:pPr>
              <w:ind w:left="200"/>
              <w:spacing w:after="0" w:line="201" w:lineRule="exact"/>
              <w:rPr>
                <w:sz w:val="20"/>
                <w:szCs w:val="20"/>
                <w:color w:val="auto"/>
              </w:rPr>
            </w:pPr>
            <w:r>
              <w:rPr>
                <w:rFonts w:ascii="Arial" w:cs="Arial" w:eastAsia="Arial" w:hAnsi="Arial"/>
                <w:sz w:val="18"/>
                <w:szCs w:val="18"/>
                <w:b w:val="1"/>
                <w:bCs w:val="1"/>
                <w:color w:val="FFFFFF"/>
              </w:rPr>
              <w:t>Committee(s):</w:t>
            </w:r>
          </w:p>
        </w:tc>
        <w:tc>
          <w:tcPr>
            <w:tcW w:w="8520" w:type="dxa"/>
            <w:vAlign w:val="bottom"/>
            <w:tcBorders>
              <w:right w:val="single" w:sz="8" w:color="4C4C4C"/>
            </w:tcBorders>
            <w:gridSpan w:val="2"/>
            <w:shd w:val="clear" w:color="auto" w:fill="E8EDF4"/>
          </w:tcPr>
          <w:p>
            <w:pPr>
              <w:ind w:left="100"/>
              <w:spacing w:after="0" w:line="201" w:lineRule="exact"/>
              <w:rPr>
                <w:sz w:val="20"/>
                <w:szCs w:val="20"/>
                <w:color w:val="auto"/>
              </w:rPr>
            </w:pPr>
            <w:r>
              <w:rPr>
                <w:rFonts w:ascii="Arial" w:cs="Arial" w:eastAsia="Arial" w:hAnsi="Arial"/>
                <w:sz w:val="18"/>
                <w:szCs w:val="18"/>
                <w:color w:val="auto"/>
              </w:rPr>
              <w:t>years and formerly as our President for 20 years. If re-elected, Mr. Stata will continue to serve as our</w:t>
            </w:r>
          </w:p>
        </w:tc>
        <w:tc>
          <w:tcPr>
            <w:tcW w:w="0" w:type="dxa"/>
            <w:vAlign w:val="bottom"/>
          </w:tcPr>
          <w:p>
            <w:pPr>
              <w:spacing w:after="0"/>
              <w:rPr>
                <w:sz w:val="1"/>
                <w:szCs w:val="1"/>
                <w:color w:val="auto"/>
              </w:rPr>
            </w:pPr>
          </w:p>
        </w:tc>
      </w:tr>
      <w:tr>
        <w:trPr>
          <w:trHeight w:val="252"/>
        </w:trPr>
        <w:tc>
          <w:tcPr>
            <w:tcW w:w="2380" w:type="dxa"/>
            <w:vAlign w:val="bottom"/>
            <w:tcBorders>
              <w:left w:val="single" w:sz="8" w:color="4C4C4C"/>
            </w:tcBorders>
            <w:shd w:val="clear" w:color="auto" w:fill="052B82"/>
          </w:tcPr>
          <w:p>
            <w:pPr>
              <w:ind w:left="200"/>
              <w:spacing w:after="0"/>
              <w:rPr>
                <w:sz w:val="20"/>
                <w:szCs w:val="20"/>
                <w:color w:val="auto"/>
              </w:rPr>
            </w:pPr>
            <w:r>
              <w:rPr>
                <w:rFonts w:ascii="Arial" w:cs="Arial" w:eastAsia="Arial" w:hAnsi="Arial"/>
                <w:sz w:val="18"/>
                <w:szCs w:val="18"/>
                <w:color w:val="FFFFFF"/>
              </w:rPr>
              <w:t>None</w:t>
            </w:r>
          </w:p>
        </w:tc>
        <w:tc>
          <w:tcPr>
            <w:tcW w:w="4180" w:type="dxa"/>
            <w:vAlign w:val="bottom"/>
            <w:shd w:val="clear" w:color="auto" w:fill="E8EDF4"/>
          </w:tcPr>
          <w:p>
            <w:pPr>
              <w:ind w:left="100"/>
              <w:spacing w:after="0"/>
              <w:rPr>
                <w:sz w:val="20"/>
                <w:szCs w:val="20"/>
                <w:color w:val="auto"/>
              </w:rPr>
            </w:pPr>
            <w:r>
              <w:rPr>
                <w:rFonts w:ascii="Arial" w:cs="Arial" w:eastAsia="Arial" w:hAnsi="Arial"/>
                <w:sz w:val="18"/>
                <w:szCs w:val="18"/>
                <w:color w:val="auto"/>
              </w:rPr>
              <w:t>Chairman of the Board of Directors in 2019.</w:t>
            </w:r>
          </w:p>
        </w:tc>
        <w:tc>
          <w:tcPr>
            <w:tcW w:w="4340" w:type="dxa"/>
            <w:vAlign w:val="bottom"/>
            <w:tcBorders>
              <w:right w:val="single" w:sz="8" w:color="4C4C4C"/>
            </w:tcBorders>
            <w:shd w:val="clear" w:color="auto" w:fill="E8EDF4"/>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380" w:type="dxa"/>
            <w:vAlign w:val="bottom"/>
            <w:tcBorders>
              <w:left w:val="single" w:sz="8" w:color="4C4C4C"/>
            </w:tcBorders>
            <w:shd w:val="clear" w:color="auto" w:fill="052B82"/>
          </w:tcPr>
          <w:p>
            <w:pPr>
              <w:spacing w:after="0"/>
              <w:rPr>
                <w:sz w:val="24"/>
                <w:szCs w:val="24"/>
                <w:color w:val="auto"/>
              </w:rPr>
            </w:pPr>
          </w:p>
        </w:tc>
        <w:tc>
          <w:tcPr>
            <w:tcW w:w="4180" w:type="dxa"/>
            <w:vAlign w:val="bottom"/>
            <w:shd w:val="clear" w:color="auto" w:fill="E8EDF4"/>
          </w:tcPr>
          <w:p>
            <w:pPr>
              <w:ind w:left="100"/>
              <w:spacing w:after="0"/>
              <w:rPr>
                <w:sz w:val="20"/>
                <w:szCs w:val="20"/>
                <w:color w:val="auto"/>
              </w:rPr>
            </w:pPr>
            <w:r>
              <w:rPr>
                <w:rFonts w:ascii="Arial" w:cs="Arial" w:eastAsia="Arial" w:hAnsi="Arial"/>
                <w:sz w:val="18"/>
                <w:szCs w:val="18"/>
                <w:b w:val="1"/>
                <w:bCs w:val="1"/>
                <w:color w:val="auto"/>
              </w:rPr>
              <w:t>Other Public Company Boards</w:t>
            </w:r>
          </w:p>
        </w:tc>
        <w:tc>
          <w:tcPr>
            <w:tcW w:w="434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80" w:type="dxa"/>
            <w:vAlign w:val="bottom"/>
            <w:tcBorders>
              <w:left w:val="single" w:sz="8" w:color="4C4C4C"/>
            </w:tcBorders>
            <w:shd w:val="clear" w:color="auto" w:fill="052B82"/>
          </w:tcPr>
          <w:p>
            <w:pPr>
              <w:spacing w:after="0"/>
              <w:rPr>
                <w:sz w:val="22"/>
                <w:szCs w:val="22"/>
                <w:color w:val="auto"/>
              </w:rPr>
            </w:pPr>
          </w:p>
        </w:tc>
        <w:tc>
          <w:tcPr>
            <w:tcW w:w="4180" w:type="dxa"/>
            <w:vAlign w:val="bottom"/>
            <w:shd w:val="clear" w:color="auto" w:fill="E8EDF4"/>
          </w:tcPr>
          <w:p>
            <w:pPr>
              <w:ind w:left="100"/>
              <w:spacing w:after="0"/>
              <w:rPr>
                <w:sz w:val="20"/>
                <w:szCs w:val="20"/>
                <w:color w:val="auto"/>
              </w:rPr>
            </w:pPr>
            <w:r>
              <w:rPr>
                <w:rFonts w:ascii="Arial" w:cs="Arial" w:eastAsia="Arial" w:hAnsi="Arial"/>
                <w:sz w:val="18"/>
                <w:szCs w:val="18"/>
                <w:b w:val="1"/>
                <w:bCs w:val="1"/>
                <w:color w:val="auto"/>
              </w:rPr>
              <w:t>Current</w:t>
            </w:r>
          </w:p>
        </w:tc>
        <w:tc>
          <w:tcPr>
            <w:tcW w:w="434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380" w:type="dxa"/>
            <w:vAlign w:val="bottom"/>
            <w:tcBorders>
              <w:left w:val="single" w:sz="8" w:color="4C4C4C"/>
            </w:tcBorders>
            <w:shd w:val="clear" w:color="auto" w:fill="052B82"/>
          </w:tcPr>
          <w:p>
            <w:pPr>
              <w:spacing w:after="0"/>
              <w:rPr>
                <w:sz w:val="20"/>
                <w:szCs w:val="20"/>
                <w:color w:val="auto"/>
              </w:rPr>
            </w:pPr>
          </w:p>
        </w:tc>
        <w:tc>
          <w:tcPr>
            <w:tcW w:w="4180" w:type="dxa"/>
            <w:vAlign w:val="bottom"/>
            <w:shd w:val="clear" w:color="auto" w:fill="E8EDF4"/>
          </w:tcPr>
          <w:p>
            <w:pPr>
              <w:ind w:left="100"/>
              <w:spacing w:after="0"/>
              <w:rPr>
                <w:sz w:val="20"/>
                <w:szCs w:val="20"/>
                <w:color w:val="auto"/>
              </w:rPr>
            </w:pPr>
            <w:r>
              <w:rPr>
                <w:rFonts w:ascii="Arial" w:cs="Arial" w:eastAsia="Arial" w:hAnsi="Arial"/>
                <w:sz w:val="18"/>
                <w:szCs w:val="18"/>
                <w:color w:val="auto"/>
              </w:rPr>
              <w:t>None</w:t>
            </w:r>
          </w:p>
        </w:tc>
        <w:tc>
          <w:tcPr>
            <w:tcW w:w="434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380" w:type="dxa"/>
            <w:vAlign w:val="bottom"/>
            <w:tcBorders>
              <w:left w:val="single" w:sz="8" w:color="4C4C4C"/>
              <w:bottom w:val="single" w:sz="8" w:color="4C4C4C"/>
            </w:tcBorders>
            <w:shd w:val="clear" w:color="auto" w:fill="052B82"/>
          </w:tcPr>
          <w:p>
            <w:pPr>
              <w:spacing w:after="0"/>
              <w:rPr>
                <w:sz w:val="5"/>
                <w:szCs w:val="5"/>
                <w:color w:val="auto"/>
              </w:rPr>
            </w:pPr>
          </w:p>
        </w:tc>
        <w:tc>
          <w:tcPr>
            <w:tcW w:w="4180" w:type="dxa"/>
            <w:vAlign w:val="bottom"/>
            <w:tcBorders>
              <w:bottom w:val="single" w:sz="8" w:color="4C4C4C"/>
            </w:tcBorders>
            <w:shd w:val="clear" w:color="auto" w:fill="E8EDF4"/>
          </w:tcPr>
          <w:p>
            <w:pPr>
              <w:spacing w:after="0"/>
              <w:rPr>
                <w:sz w:val="5"/>
                <w:szCs w:val="5"/>
                <w:color w:val="auto"/>
              </w:rPr>
            </w:pPr>
          </w:p>
        </w:tc>
        <w:tc>
          <w:tcPr>
            <w:tcW w:w="434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right"/>
        <w:ind w:right="20"/>
        <w:spacing w:after="0"/>
        <w:tabs>
          <w:tab w:leader="none" w:pos="20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19</w:t>
      </w:r>
    </w:p>
    <w:p>
      <w:pPr>
        <w:sectPr>
          <w:pgSz w:w="11900" w:h="16838" w:orient="portrait"/>
          <w:cols w:equalWidth="0" w:num="1">
            <w:col w:w="11180"/>
          </w:cols>
          <w:pgMar w:left="240" w:top="453" w:right="4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90" w:type="dxa"/>
        <w:tblCellMar>
          <w:top w:w="0" w:type="dxa"/>
          <w:left w:w="0" w:type="dxa"/>
          <w:bottom w:w="0" w:type="dxa"/>
          <w:right w:w="0" w:type="dxa"/>
        </w:tblCellMar>
      </w:tblPr>
      <w:tr>
        <w:trPr>
          <w:trHeight w:val="258"/>
        </w:trPr>
        <w:tc>
          <w:tcPr>
            <w:tcW w:w="2400" w:type="dxa"/>
            <w:vAlign w:val="bottom"/>
            <w:tcBorders>
              <w:top w:val="single" w:sz="8" w:color="4C4C4C"/>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21"/>
                <w:szCs w:val="21"/>
                <w:b w:val="1"/>
                <w:bCs w:val="1"/>
                <w:color w:val="FFFFFF"/>
              </w:rPr>
              <w:t>Vincent Roche</w:t>
            </w:r>
          </w:p>
        </w:tc>
        <w:tc>
          <w:tcPr>
            <w:tcW w:w="100" w:type="dxa"/>
            <w:vAlign w:val="bottom"/>
            <w:tcBorders>
              <w:top w:val="single" w:sz="8" w:color="4C4C4C"/>
            </w:tcBorders>
            <w:shd w:val="clear" w:color="auto" w:fill="E8EDF4"/>
          </w:tcPr>
          <w:p>
            <w:pPr>
              <w:spacing w:after="0"/>
              <w:rPr>
                <w:sz w:val="22"/>
                <w:szCs w:val="22"/>
                <w:color w:val="auto"/>
              </w:rPr>
            </w:pPr>
          </w:p>
        </w:tc>
        <w:tc>
          <w:tcPr>
            <w:tcW w:w="408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top w:val="single" w:sz="8" w:color="4C4C4C"/>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President and Chief</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Mr. Roche has served as President of Analog Devices since 2012 and was appointed Chief Executive</w:t>
            </w:r>
          </w:p>
        </w:tc>
        <w:tc>
          <w:tcPr>
            <w:tcW w:w="0" w:type="dxa"/>
            <w:vAlign w:val="bottom"/>
          </w:tcPr>
          <w:p>
            <w:pPr>
              <w:spacing w:after="0"/>
              <w:rPr>
                <w:sz w:val="1"/>
                <w:szCs w:val="1"/>
                <w:color w:val="auto"/>
              </w:rPr>
            </w:pPr>
          </w:p>
        </w:tc>
      </w:tr>
      <w:tr>
        <w:trPr>
          <w:trHeight w:val="183"/>
        </w:trPr>
        <w:tc>
          <w:tcPr>
            <w:tcW w:w="240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Officer and elected as a director in 2013. Under his leadership, ADI has extended its market leadership</w:t>
            </w: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Executive Officer</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and grown to more than $6 billion in revenue in fiscal 2018. Mr. Roche began his career at ADI in 1988</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2013</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and has served in key positions spanning corporate leadership, worldwide sales, strategic marketing,</w:t>
            </w:r>
          </w:p>
        </w:tc>
        <w:tc>
          <w:tcPr>
            <w:tcW w:w="0" w:type="dxa"/>
            <w:vAlign w:val="bottom"/>
          </w:tcPr>
          <w:p>
            <w:pPr>
              <w:spacing w:after="0"/>
              <w:rPr>
                <w:sz w:val="1"/>
                <w:szCs w:val="1"/>
                <w:color w:val="auto"/>
              </w:rPr>
            </w:pPr>
          </w:p>
        </w:tc>
      </w:tr>
      <w:tr>
        <w:trPr>
          <w:trHeight w:val="142"/>
        </w:trPr>
        <w:tc>
          <w:tcPr>
            <w:tcW w:w="240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business development, and product management over his more than 30-year tenure at ADI.</w:t>
            </w:r>
          </w:p>
        </w:tc>
        <w:tc>
          <w:tcPr>
            <w:tcW w:w="0" w:type="dxa"/>
            <w:vAlign w:val="bottom"/>
          </w:tcPr>
          <w:p>
            <w:pPr>
              <w:spacing w:after="0"/>
              <w:rPr>
                <w:sz w:val="1"/>
                <w:szCs w:val="1"/>
                <w:color w:val="auto"/>
              </w:rPr>
            </w:pPr>
          </w:p>
        </w:tc>
      </w:tr>
      <w:tr>
        <w:trPr>
          <w:trHeight w:val="97"/>
        </w:trPr>
        <w:tc>
          <w:tcPr>
            <w:tcW w:w="2400" w:type="dxa"/>
            <w:vAlign w:val="bottom"/>
            <w:tcBorders>
              <w:left w:val="single" w:sz="8" w:color="4C4C4C"/>
              <w:right w:val="single" w:sz="8" w:color="auto"/>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40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58</w:t>
            </w:r>
          </w:p>
        </w:tc>
        <w:tc>
          <w:tcPr>
            <w:tcW w:w="100" w:type="dxa"/>
            <w:vAlign w:val="bottom"/>
            <w:shd w:val="clear" w:color="auto" w:fill="E8EDF4"/>
          </w:tcPr>
          <w:p>
            <w:pPr>
              <w:spacing w:after="0"/>
              <w:rPr>
                <w:sz w:val="22"/>
                <w:szCs w:val="22"/>
                <w:color w:val="auto"/>
              </w:rPr>
            </w:pPr>
          </w:p>
        </w:tc>
        <w:tc>
          <w:tcPr>
            <w:tcW w:w="408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4C4C4C"/>
              <w:right w:val="single" w:sz="8" w:color="auto"/>
            </w:tcBorders>
            <w:shd w:val="clear" w:color="auto" w:fill="052B82"/>
          </w:tcPr>
          <w:p>
            <w:pPr>
              <w:spacing w:after="0"/>
              <w:rPr>
                <w:sz w:val="6"/>
                <w:szCs w:val="6"/>
                <w:color w:val="auto"/>
              </w:rPr>
            </w:pPr>
          </w:p>
        </w:tc>
        <w:tc>
          <w:tcPr>
            <w:tcW w:w="100" w:type="dxa"/>
            <w:vAlign w:val="bottom"/>
            <w:shd w:val="clear" w:color="auto" w:fill="E8EDF4"/>
          </w:tcPr>
          <w:p>
            <w:pPr>
              <w:spacing w:after="0"/>
              <w:rPr>
                <w:sz w:val="6"/>
                <w:szCs w:val="6"/>
                <w:color w:val="auto"/>
              </w:rPr>
            </w:pPr>
          </w:p>
        </w:tc>
        <w:tc>
          <w:tcPr>
            <w:tcW w:w="4080" w:type="dxa"/>
            <w:vAlign w:val="bottom"/>
            <w:vMerge w:val="continue"/>
            <w:shd w:val="clear" w:color="auto" w:fill="E8EDF4"/>
          </w:tcPr>
          <w:p>
            <w:pPr>
              <w:spacing w:after="0"/>
              <w:rPr>
                <w:sz w:val="6"/>
                <w:szCs w:val="6"/>
                <w:color w:val="auto"/>
              </w:rPr>
            </w:pPr>
          </w:p>
        </w:tc>
        <w:tc>
          <w:tcPr>
            <w:tcW w:w="4320" w:type="dxa"/>
            <w:vAlign w:val="bottom"/>
            <w:tcBorders>
              <w:right w:val="single" w:sz="8" w:color="4C4C4C"/>
            </w:tcBorders>
            <w:shd w:val="clear" w:color="auto" w:fill="E8EDF4"/>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2"/>
                <w:szCs w:val="22"/>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w w:val="99"/>
              </w:rPr>
              <w:t>We believe that Mr. Roche’s qualifications to serve on the Board of Directors include his leadership role in</w:t>
            </w: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color w:val="FFFFFF"/>
              </w:rPr>
              <w:t>None</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the Company and his deep knowledge of the Company’s products, markets, customers, culture and</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color w:val="auto"/>
              </w:rPr>
              <w:t>organization.</w:t>
            </w:r>
          </w:p>
        </w:tc>
        <w:tc>
          <w:tcPr>
            <w:tcW w:w="432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color w:val="auto"/>
              </w:rPr>
              <w:t>Acacia Communications, Inc.</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0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8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4080" w:type="dxa"/>
            <w:vAlign w:val="bottom"/>
            <w:tcBorders>
              <w:bottom w:val="single" w:sz="8" w:color="4C4C4C"/>
            </w:tcBorders>
          </w:tcPr>
          <w:p>
            <w:pPr>
              <w:spacing w:after="0"/>
              <w:rPr>
                <w:sz w:val="16"/>
                <w:szCs w:val="16"/>
                <w:color w:val="auto"/>
              </w:rPr>
            </w:pPr>
          </w:p>
        </w:tc>
        <w:tc>
          <w:tcPr>
            <w:tcW w:w="432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tcBorders>
              <w:left w:val="single" w:sz="8" w:color="4C4C4C"/>
              <w:right w:val="single" w:sz="8" w:color="auto"/>
            </w:tcBorders>
            <w:shd w:val="clear" w:color="auto" w:fill="052B82"/>
          </w:tcPr>
          <w:p>
            <w:pPr>
              <w:ind w:left="200"/>
              <w:spacing w:after="0" w:line="238" w:lineRule="exact"/>
              <w:rPr>
                <w:sz w:val="20"/>
                <w:szCs w:val="20"/>
                <w:color w:val="auto"/>
              </w:rPr>
            </w:pPr>
            <w:r>
              <w:rPr>
                <w:rFonts w:ascii="Arial" w:cs="Arial" w:eastAsia="Arial" w:hAnsi="Arial"/>
                <w:sz w:val="21"/>
                <w:szCs w:val="21"/>
                <w:b w:val="1"/>
                <w:bCs w:val="1"/>
                <w:color w:val="FFFFFF"/>
              </w:rPr>
              <w:t>James A. Champy</w:t>
            </w:r>
          </w:p>
        </w:tc>
        <w:tc>
          <w:tcPr>
            <w:tcW w:w="100" w:type="dxa"/>
            <w:vAlign w:val="bottom"/>
            <w:shd w:val="clear" w:color="auto" w:fill="E8EDF4"/>
          </w:tcPr>
          <w:p>
            <w:pPr>
              <w:spacing w:after="0"/>
              <w:rPr>
                <w:sz w:val="20"/>
                <w:szCs w:val="20"/>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Presiding Director</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Mr. Champy retired in 2010 as Vice President of the Dell/Perot Systems business unit of Dell, Inc., a</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continue"/>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computer and technology services company. He was previously a Vice President and the Chairman of</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Consulting at Perot Systems Corporation from 1996 to November 2009. He served as a director of Perot</w:t>
            </w:r>
          </w:p>
        </w:tc>
        <w:tc>
          <w:tcPr>
            <w:tcW w:w="0" w:type="dxa"/>
            <w:vAlign w:val="bottom"/>
          </w:tcPr>
          <w:p>
            <w:pPr>
              <w:spacing w:after="0"/>
              <w:rPr>
                <w:sz w:val="1"/>
                <w:szCs w:val="1"/>
                <w:color w:val="auto"/>
              </w:rPr>
            </w:pPr>
          </w:p>
        </w:tc>
      </w:tr>
      <w:tr>
        <w:trPr>
          <w:trHeight w:val="91"/>
        </w:trPr>
        <w:tc>
          <w:tcPr>
            <w:tcW w:w="2400" w:type="dxa"/>
            <w:vAlign w:val="bottom"/>
            <w:tcBorders>
              <w:left w:val="single" w:sz="8" w:color="4C4C4C"/>
              <w:right w:val="single" w:sz="8" w:color="auto"/>
            </w:tcBorders>
            <w:vMerge w:val="continue"/>
            <w:shd w:val="clear" w:color="auto" w:fill="052B82"/>
          </w:tcPr>
          <w:p>
            <w:pPr>
              <w:spacing w:after="0"/>
              <w:rPr>
                <w:sz w:val="7"/>
                <w:szCs w:val="7"/>
                <w:color w:val="auto"/>
              </w:rPr>
            </w:pPr>
          </w:p>
        </w:tc>
        <w:tc>
          <w:tcPr>
            <w:tcW w:w="100" w:type="dxa"/>
            <w:vAlign w:val="bottom"/>
            <w:shd w:val="clear" w:color="auto" w:fill="E8EDF4"/>
          </w:tcPr>
          <w:p>
            <w:pPr>
              <w:spacing w:after="0"/>
              <w:rPr>
                <w:sz w:val="7"/>
                <w:szCs w:val="7"/>
                <w:color w:val="auto"/>
              </w:rPr>
            </w:pPr>
          </w:p>
        </w:tc>
        <w:tc>
          <w:tcPr>
            <w:tcW w:w="8400" w:type="dxa"/>
            <w:vAlign w:val="bottom"/>
            <w:tcBorders>
              <w:right w:val="single" w:sz="8" w:color="4C4C4C"/>
            </w:tcBorders>
            <w:gridSpan w:val="2"/>
            <w:vMerge w:val="restart"/>
            <w:shd w:val="clear" w:color="auto" w:fill="E8EDF4"/>
          </w:tcPr>
          <w:p>
            <w:pPr>
              <w:spacing w:after="0" w:line="201" w:lineRule="exact"/>
              <w:rPr>
                <w:sz w:val="20"/>
                <w:szCs w:val="20"/>
                <w:color w:val="auto"/>
              </w:rPr>
            </w:pPr>
            <w:r>
              <w:rPr>
                <w:rFonts w:ascii="Arial" w:cs="Arial" w:eastAsia="Arial" w:hAnsi="Arial"/>
                <w:sz w:val="18"/>
                <w:szCs w:val="18"/>
                <w:color w:val="auto"/>
                <w:w w:val="98"/>
              </w:rPr>
              <w:t>Systems Corporation from 1996 to 2004. Mr. Champy is the author of several business books and is a Life</w:t>
            </w:r>
          </w:p>
        </w:tc>
        <w:tc>
          <w:tcPr>
            <w:tcW w:w="0" w:type="dxa"/>
            <w:vAlign w:val="bottom"/>
          </w:tcPr>
          <w:p>
            <w:pPr>
              <w:spacing w:after="0"/>
              <w:rPr>
                <w:sz w:val="1"/>
                <w:szCs w:val="1"/>
                <w:color w:val="auto"/>
              </w:rPr>
            </w:pPr>
          </w:p>
        </w:tc>
      </w:tr>
      <w:tr>
        <w:trPr>
          <w:trHeight w:val="109"/>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2003</w:t>
            </w:r>
          </w:p>
        </w:tc>
        <w:tc>
          <w:tcPr>
            <w:tcW w:w="100" w:type="dxa"/>
            <w:vAlign w:val="bottom"/>
            <w:shd w:val="clear" w:color="auto" w:fill="E8EDF4"/>
          </w:tcPr>
          <w:p>
            <w:pPr>
              <w:spacing w:after="0"/>
              <w:rPr>
                <w:sz w:val="9"/>
                <w:szCs w:val="9"/>
                <w:color w:val="auto"/>
              </w:rPr>
            </w:pPr>
          </w:p>
        </w:tc>
        <w:tc>
          <w:tcPr>
            <w:tcW w:w="8400" w:type="dxa"/>
            <w:vAlign w:val="bottom"/>
            <w:tcBorders>
              <w:right w:val="single" w:sz="8" w:color="4C4C4C"/>
            </w:tcBorders>
            <w:gridSpan w:val="2"/>
            <w:vMerge w:val="continue"/>
            <w:shd w:val="clear" w:color="auto" w:fill="E8EDF4"/>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0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Member of the MIT Corporation, the governing body of the Massachusetts Institute of Technology.</w:t>
            </w:r>
          </w:p>
        </w:tc>
        <w:tc>
          <w:tcPr>
            <w:tcW w:w="0" w:type="dxa"/>
            <w:vAlign w:val="bottom"/>
          </w:tcPr>
          <w:p>
            <w:pPr>
              <w:spacing w:after="0"/>
              <w:rPr>
                <w:sz w:val="1"/>
                <w:szCs w:val="1"/>
                <w:color w:val="auto"/>
              </w:rPr>
            </w:pPr>
          </w:p>
        </w:tc>
      </w:tr>
      <w:tr>
        <w:trPr>
          <w:trHeight w:val="97"/>
        </w:trPr>
        <w:tc>
          <w:tcPr>
            <w:tcW w:w="2400" w:type="dxa"/>
            <w:vAlign w:val="bottom"/>
            <w:tcBorders>
              <w:left w:val="single" w:sz="8" w:color="4C4C4C"/>
              <w:right w:val="single" w:sz="8" w:color="auto"/>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40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76</w:t>
            </w:r>
          </w:p>
        </w:tc>
        <w:tc>
          <w:tcPr>
            <w:tcW w:w="100" w:type="dxa"/>
            <w:vAlign w:val="bottom"/>
            <w:shd w:val="clear" w:color="auto" w:fill="E8EDF4"/>
          </w:tcPr>
          <w:p>
            <w:pPr>
              <w:spacing w:after="0"/>
              <w:rPr>
                <w:sz w:val="22"/>
                <w:szCs w:val="22"/>
                <w:color w:val="auto"/>
              </w:rPr>
            </w:pPr>
          </w:p>
        </w:tc>
        <w:tc>
          <w:tcPr>
            <w:tcW w:w="408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80"/>
        </w:trPr>
        <w:tc>
          <w:tcPr>
            <w:tcW w:w="2400" w:type="dxa"/>
            <w:vAlign w:val="bottom"/>
            <w:tcBorders>
              <w:left w:val="single" w:sz="8" w:color="4C4C4C"/>
              <w:right w:val="single" w:sz="8" w:color="auto"/>
            </w:tcBorders>
            <w:shd w:val="clear" w:color="auto" w:fill="052B82"/>
          </w:tcPr>
          <w:p>
            <w:pPr>
              <w:spacing w:after="0"/>
              <w:rPr>
                <w:sz w:val="6"/>
                <w:szCs w:val="6"/>
                <w:color w:val="auto"/>
              </w:rPr>
            </w:pPr>
          </w:p>
        </w:tc>
        <w:tc>
          <w:tcPr>
            <w:tcW w:w="100" w:type="dxa"/>
            <w:vAlign w:val="bottom"/>
            <w:shd w:val="clear" w:color="auto" w:fill="E8EDF4"/>
          </w:tcPr>
          <w:p>
            <w:pPr>
              <w:spacing w:after="0"/>
              <w:rPr>
                <w:sz w:val="6"/>
                <w:szCs w:val="6"/>
                <w:color w:val="auto"/>
              </w:rPr>
            </w:pPr>
          </w:p>
        </w:tc>
        <w:tc>
          <w:tcPr>
            <w:tcW w:w="4080" w:type="dxa"/>
            <w:vAlign w:val="bottom"/>
            <w:vMerge w:val="continue"/>
            <w:shd w:val="clear" w:color="auto" w:fill="E8EDF4"/>
          </w:tcPr>
          <w:p>
            <w:pPr>
              <w:spacing w:after="0"/>
              <w:rPr>
                <w:sz w:val="6"/>
                <w:szCs w:val="6"/>
                <w:color w:val="auto"/>
              </w:rPr>
            </w:pPr>
          </w:p>
        </w:tc>
        <w:tc>
          <w:tcPr>
            <w:tcW w:w="4320" w:type="dxa"/>
            <w:vAlign w:val="bottom"/>
            <w:tcBorders>
              <w:right w:val="single" w:sz="8" w:color="4C4C4C"/>
            </w:tcBorders>
            <w:shd w:val="clear" w:color="auto" w:fill="E8EDF4"/>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w w:val="99"/>
              </w:rPr>
              <w:t xml:space="preserve">Committee(s): </w:t>
            </w:r>
            <w:r>
              <w:rPr>
                <w:rFonts w:ascii="Arial" w:cs="Arial" w:eastAsia="Arial" w:hAnsi="Arial"/>
                <w:sz w:val="18"/>
                <w:szCs w:val="18"/>
                <w:color w:val="FFFFFF"/>
                <w:w w:val="99"/>
              </w:rPr>
              <w:t>Nominating</w:t>
            </w:r>
          </w:p>
        </w:tc>
        <w:tc>
          <w:tcPr>
            <w:tcW w:w="100" w:type="dxa"/>
            <w:vAlign w:val="bottom"/>
            <w:shd w:val="clear" w:color="auto" w:fill="E8EDF4"/>
          </w:tcPr>
          <w:p>
            <w:pPr>
              <w:spacing w:after="0"/>
              <w:rPr>
                <w:sz w:val="22"/>
                <w:szCs w:val="22"/>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Mr. Champy’s qualifications to serve on our Board of Directors include his expertise in</w:t>
            </w:r>
          </w:p>
        </w:tc>
        <w:tc>
          <w:tcPr>
            <w:tcW w:w="0" w:type="dxa"/>
            <w:vAlign w:val="bottom"/>
          </w:tcPr>
          <w:p>
            <w:pPr>
              <w:spacing w:after="0"/>
              <w:rPr>
                <w:sz w:val="1"/>
                <w:szCs w:val="1"/>
                <w:color w:val="auto"/>
              </w:rPr>
            </w:pPr>
          </w:p>
        </w:tc>
      </w:tr>
      <w:tr>
        <w:trPr>
          <w:trHeight w:val="256"/>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color w:val="FFFFFF"/>
                <w:w w:val="99"/>
              </w:rPr>
              <w:t>and Corporate Governance</w:t>
            </w:r>
          </w:p>
        </w:tc>
        <w:tc>
          <w:tcPr>
            <w:tcW w:w="100" w:type="dxa"/>
            <w:vAlign w:val="bottom"/>
            <w:shd w:val="clear" w:color="auto" w:fill="E8EDF4"/>
          </w:tcPr>
          <w:p>
            <w:pPr>
              <w:spacing w:after="0"/>
              <w:rPr>
                <w:sz w:val="22"/>
                <w:szCs w:val="22"/>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corporate strategy development and his organizational acumen.</w:t>
            </w:r>
          </w:p>
        </w:tc>
        <w:tc>
          <w:tcPr>
            <w:tcW w:w="0" w:type="dxa"/>
            <w:vAlign w:val="bottom"/>
          </w:tcPr>
          <w:p>
            <w:pPr>
              <w:spacing w:after="0"/>
              <w:rPr>
                <w:sz w:val="1"/>
                <w:szCs w:val="1"/>
                <w:color w:val="auto"/>
              </w:rPr>
            </w:pPr>
          </w:p>
        </w:tc>
      </w:tr>
      <w:tr>
        <w:trPr>
          <w:trHeight w:val="344"/>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0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8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4080" w:type="dxa"/>
            <w:vAlign w:val="bottom"/>
            <w:tcBorders>
              <w:bottom w:val="single" w:sz="8" w:color="4C4C4C"/>
            </w:tcBorders>
          </w:tcPr>
          <w:p>
            <w:pPr>
              <w:spacing w:after="0"/>
              <w:rPr>
                <w:sz w:val="16"/>
                <w:szCs w:val="16"/>
                <w:color w:val="auto"/>
              </w:rPr>
            </w:pPr>
          </w:p>
        </w:tc>
        <w:tc>
          <w:tcPr>
            <w:tcW w:w="432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00" w:type="dxa"/>
            <w:vAlign w:val="bottom"/>
            <w:tcBorders>
              <w:left w:val="single" w:sz="8" w:color="4C4C4C"/>
              <w:right w:val="single" w:sz="8" w:color="auto"/>
            </w:tcBorders>
            <w:shd w:val="clear" w:color="auto" w:fill="052B82"/>
          </w:tcPr>
          <w:p>
            <w:pPr>
              <w:ind w:left="200"/>
              <w:spacing w:after="0" w:line="198" w:lineRule="exact"/>
              <w:rPr>
                <w:sz w:val="20"/>
                <w:szCs w:val="20"/>
                <w:color w:val="auto"/>
              </w:rPr>
            </w:pPr>
            <w:r>
              <w:rPr>
                <w:rFonts w:ascii="Arial" w:cs="Arial" w:eastAsia="Arial" w:hAnsi="Arial"/>
                <w:sz w:val="21"/>
                <w:szCs w:val="21"/>
                <w:b w:val="1"/>
                <w:bCs w:val="1"/>
                <w:color w:val="FFFFFF"/>
              </w:rPr>
              <w:t>Anantha P.</w:t>
            </w:r>
          </w:p>
        </w:tc>
        <w:tc>
          <w:tcPr>
            <w:tcW w:w="100" w:type="dxa"/>
            <w:vAlign w:val="bottom"/>
            <w:shd w:val="clear" w:color="auto" w:fill="E8EDF4"/>
          </w:tcPr>
          <w:p>
            <w:pPr>
              <w:spacing w:after="0"/>
              <w:rPr>
                <w:sz w:val="17"/>
                <w:szCs w:val="17"/>
                <w:color w:val="auto"/>
              </w:rPr>
            </w:pPr>
          </w:p>
        </w:tc>
        <w:tc>
          <w:tcPr>
            <w:tcW w:w="4080" w:type="dxa"/>
            <w:vAlign w:val="bottom"/>
            <w:shd w:val="clear" w:color="auto" w:fill="E8EDF4"/>
          </w:tcPr>
          <w:p>
            <w:pPr>
              <w:spacing w:after="0" w:line="197" w:lineRule="exact"/>
              <w:rPr>
                <w:sz w:val="20"/>
                <w:szCs w:val="20"/>
                <w:color w:val="auto"/>
              </w:rPr>
            </w:pPr>
            <w:r>
              <w:rPr>
                <w:rFonts w:ascii="Arial" w:cs="Arial" w:eastAsia="Arial" w:hAnsi="Arial"/>
                <w:sz w:val="18"/>
                <w:szCs w:val="18"/>
                <w:b w:val="1"/>
                <w:bCs w:val="1"/>
                <w:color w:val="auto"/>
              </w:rPr>
              <w:t>Professional Experience and Background</w:t>
            </w:r>
          </w:p>
        </w:tc>
        <w:tc>
          <w:tcPr>
            <w:tcW w:w="4320" w:type="dxa"/>
            <w:vAlign w:val="bottom"/>
            <w:tcBorders>
              <w:right w:val="single" w:sz="8" w:color="4C4C4C"/>
            </w:tcBorders>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21"/>
                <w:szCs w:val="21"/>
                <w:b w:val="1"/>
                <w:bCs w:val="1"/>
                <w:color w:val="FFFFFF"/>
              </w:rPr>
              <w:t>Chandrakasan</w:t>
            </w: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Dr. Chandrakasan has served as the Dean of the School of Engineering at Massachusetts Institute of</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Technology, or MIT, a private research university, since 2017, and the Vannevar Bush Professor of</w:t>
            </w:r>
          </w:p>
        </w:tc>
        <w:tc>
          <w:tcPr>
            <w:tcW w:w="0" w:type="dxa"/>
            <w:vAlign w:val="bottom"/>
          </w:tcPr>
          <w:p>
            <w:pPr>
              <w:spacing w:after="0"/>
              <w:rPr>
                <w:sz w:val="1"/>
                <w:szCs w:val="1"/>
                <w:color w:val="auto"/>
              </w:rPr>
            </w:pPr>
          </w:p>
        </w:tc>
      </w:tr>
      <w:tr>
        <w:trPr>
          <w:trHeight w:val="183"/>
        </w:trPr>
        <w:tc>
          <w:tcPr>
            <w:tcW w:w="240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Electrical Engineering and Computer Science since 2003. He also co-chairs the MIT-IBM Watson AI Lab</w:t>
            </w: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2019</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w w:val="99"/>
              </w:rPr>
              <w:t>and chairs the MIT-SenseTime Alliance on Artificial Intelligence and J-Clinic, the Abdul Latif Jameel Clinic</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50</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for Machine Learning in Health at MIT. From July 2011 to June 2017, Dr. Chandrakasan was the head of</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continue"/>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MIT’s Department of Electrical Engineering and Computer Science (EECS). He is an IEEE fellow, and in</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2015 he was elected to the National Academy of Engineering.</w:t>
            </w:r>
          </w:p>
        </w:tc>
        <w:tc>
          <w:tcPr>
            <w:tcW w:w="0" w:type="dxa"/>
            <w:vAlign w:val="bottom"/>
          </w:tcPr>
          <w:p>
            <w:pPr>
              <w:spacing w:after="0"/>
              <w:rPr>
                <w:sz w:val="1"/>
                <w:szCs w:val="1"/>
                <w:color w:val="auto"/>
              </w:rPr>
            </w:pPr>
          </w:p>
        </w:tc>
      </w:tr>
      <w:tr>
        <w:trPr>
          <w:trHeight w:val="55"/>
        </w:trPr>
        <w:tc>
          <w:tcPr>
            <w:tcW w:w="2400" w:type="dxa"/>
            <w:vAlign w:val="bottom"/>
            <w:tcBorders>
              <w:left w:val="single" w:sz="8" w:color="4C4C4C"/>
              <w:right w:val="single" w:sz="8" w:color="auto"/>
            </w:tcBorders>
            <w:vMerge w:val="continue"/>
            <w:shd w:val="clear" w:color="auto" w:fill="052B82"/>
          </w:tcPr>
          <w:p>
            <w:pPr>
              <w:spacing w:after="0"/>
              <w:rPr>
                <w:sz w:val="4"/>
                <w:szCs w:val="4"/>
                <w:color w:val="auto"/>
              </w:rPr>
            </w:pPr>
          </w:p>
        </w:tc>
        <w:tc>
          <w:tcPr>
            <w:tcW w:w="100" w:type="dxa"/>
            <w:vAlign w:val="bottom"/>
            <w:shd w:val="clear" w:color="auto" w:fill="E8EDF4"/>
          </w:tcPr>
          <w:p>
            <w:pPr>
              <w:spacing w:after="0"/>
              <w:rPr>
                <w:sz w:val="4"/>
                <w:szCs w:val="4"/>
                <w:color w:val="auto"/>
              </w:rPr>
            </w:pPr>
          </w:p>
        </w:tc>
        <w:tc>
          <w:tcPr>
            <w:tcW w:w="4080" w:type="dxa"/>
            <w:vAlign w:val="bottom"/>
            <w:shd w:val="clear" w:color="auto" w:fill="E8EDF4"/>
          </w:tcPr>
          <w:p>
            <w:pPr>
              <w:spacing w:after="0"/>
              <w:rPr>
                <w:sz w:val="4"/>
                <w:szCs w:val="4"/>
                <w:color w:val="auto"/>
              </w:rPr>
            </w:pPr>
          </w:p>
        </w:tc>
        <w:tc>
          <w:tcPr>
            <w:tcW w:w="4320" w:type="dxa"/>
            <w:vAlign w:val="bottom"/>
            <w:tcBorders>
              <w:right w:val="single" w:sz="8" w:color="4C4C4C"/>
            </w:tcBorders>
            <w:shd w:val="clear" w:color="auto" w:fill="E8EDF4"/>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color w:val="FFFFFF"/>
              </w:rPr>
              <w:t>None</w:t>
            </w: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00" w:type="dxa"/>
            <w:vAlign w:val="bottom"/>
            <w:tcBorders>
              <w:left w:val="single" w:sz="8" w:color="4C4C4C"/>
              <w:right w:val="single" w:sz="8" w:color="auto"/>
            </w:tcBorders>
            <w:shd w:val="clear" w:color="auto" w:fill="052B82"/>
          </w:tcPr>
          <w:p>
            <w:pPr>
              <w:spacing w:after="0"/>
              <w:rPr>
                <w:sz w:val="23"/>
                <w:szCs w:val="23"/>
                <w:color w:val="auto"/>
              </w:rPr>
            </w:pPr>
          </w:p>
        </w:tc>
        <w:tc>
          <w:tcPr>
            <w:tcW w:w="100" w:type="dxa"/>
            <w:vAlign w:val="bottom"/>
            <w:shd w:val="clear" w:color="auto" w:fill="E8EDF4"/>
          </w:tcPr>
          <w:p>
            <w:pPr>
              <w:spacing w:after="0"/>
              <w:rPr>
                <w:sz w:val="23"/>
                <w:szCs w:val="23"/>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Dr. Chandrakasan’s qualifications to serve on our Board of Directors include his deep</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understanding of complex technologies and experience driving innovation.</w:t>
            </w:r>
          </w:p>
        </w:tc>
        <w:tc>
          <w:tcPr>
            <w:tcW w:w="0" w:type="dxa"/>
            <w:vAlign w:val="bottom"/>
          </w:tcPr>
          <w:p>
            <w:pPr>
              <w:spacing w:after="0"/>
              <w:rPr>
                <w:sz w:val="1"/>
                <w:szCs w:val="1"/>
                <w:color w:val="auto"/>
              </w:rPr>
            </w:pPr>
          </w:p>
        </w:tc>
      </w:tr>
      <w:tr>
        <w:trPr>
          <w:trHeight w:val="344"/>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32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408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320" w:type="dxa"/>
            <w:vAlign w:val="bottom"/>
            <w:tcBorders>
              <w:right w:val="single" w:sz="8" w:color="4C4C4C"/>
            </w:tcBorders>
            <w:shd w:val="clear" w:color="auto" w:fill="E8EDF4"/>
          </w:tcPr>
          <w:p>
            <w:pPr>
              <w:ind w:lef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0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4080" w:type="dxa"/>
            <w:vAlign w:val="bottom"/>
            <w:tcBorders>
              <w:bottom w:val="single" w:sz="8" w:color="4C4C4C"/>
            </w:tcBorders>
            <w:shd w:val="clear" w:color="auto" w:fill="E8EDF4"/>
          </w:tcPr>
          <w:p>
            <w:pPr>
              <w:spacing w:after="0"/>
              <w:rPr>
                <w:sz w:val="5"/>
                <w:szCs w:val="5"/>
                <w:color w:val="auto"/>
              </w:rPr>
            </w:pPr>
          </w:p>
        </w:tc>
        <w:tc>
          <w:tcPr>
            <w:tcW w:w="432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999999"/>
        </w:rPr>
        <w:t>20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3"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6925945" cy="2831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5945" cy="283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80" w:type="dxa"/>
        <w:tblCellMar>
          <w:top w:w="0" w:type="dxa"/>
          <w:left w:w="0" w:type="dxa"/>
          <w:bottom w:w="0" w:type="dxa"/>
          <w:right w:w="0" w:type="dxa"/>
        </w:tblCellMar>
      </w:tblPr>
      <w:tr>
        <w:trPr>
          <w:trHeight w:val="258"/>
        </w:trPr>
        <w:tc>
          <w:tcPr>
            <w:tcW w:w="2180" w:type="dxa"/>
            <w:vAlign w:val="bottom"/>
            <w:tcBorders>
              <w:top w:val="single" w:sz="8" w:color="4C4C4C"/>
            </w:tcBorders>
          </w:tcPr>
          <w:p>
            <w:pPr>
              <w:ind w:left="200"/>
              <w:spacing w:after="0"/>
              <w:rPr>
                <w:sz w:val="20"/>
                <w:szCs w:val="20"/>
                <w:color w:val="auto"/>
              </w:rPr>
            </w:pPr>
            <w:r>
              <w:rPr>
                <w:rFonts w:ascii="Arial" w:cs="Arial" w:eastAsia="Arial" w:hAnsi="Arial"/>
                <w:sz w:val="21"/>
                <w:szCs w:val="21"/>
                <w:b w:val="1"/>
                <w:bCs w:val="1"/>
                <w:color w:val="FFFFFF"/>
              </w:rPr>
              <w:t>Bruce R. Evans</w:t>
            </w:r>
          </w:p>
        </w:tc>
        <w:tc>
          <w:tcPr>
            <w:tcW w:w="8720" w:type="dxa"/>
            <w:vAlign w:val="bottom"/>
            <w:tcBorders>
              <w:top w:val="single" w:sz="8" w:color="4C4C4C"/>
            </w:tcBorders>
          </w:tcPr>
          <w:p>
            <w:pPr>
              <w:ind w:left="300"/>
              <w:spacing w:after="0"/>
              <w:rPr>
                <w:sz w:val="20"/>
                <w:szCs w:val="20"/>
                <w:color w:val="auto"/>
              </w:rPr>
            </w:pPr>
            <w:r>
              <w:rPr>
                <w:rFonts w:ascii="Arial" w:cs="Arial" w:eastAsia="Arial" w:hAnsi="Arial"/>
                <w:sz w:val="18"/>
                <w:szCs w:val="18"/>
                <w:b w:val="1"/>
                <w:bCs w:val="1"/>
                <w:color w:val="auto"/>
              </w:rPr>
              <w:t>Professional Experience and Background</w:t>
            </w:r>
          </w:p>
        </w:tc>
        <w:tc>
          <w:tcPr>
            <w:tcW w:w="0" w:type="dxa"/>
            <w:vAlign w:val="bottom"/>
          </w:tcPr>
          <w:p>
            <w:pPr>
              <w:spacing w:after="0"/>
              <w:rPr>
                <w:sz w:val="1"/>
                <w:szCs w:val="1"/>
                <w:color w:val="auto"/>
              </w:rPr>
            </w:pPr>
          </w:p>
        </w:tc>
      </w:tr>
      <w:tr>
        <w:trPr>
          <w:trHeight w:val="200"/>
        </w:trPr>
        <w:tc>
          <w:tcPr>
            <w:tcW w:w="2180" w:type="dxa"/>
            <w:vAlign w:val="bottom"/>
            <w:vMerge w:val="restart"/>
          </w:tcPr>
          <w:p>
            <w:pPr>
              <w:ind w:left="200"/>
              <w:spacing w:after="0"/>
              <w:rPr>
                <w:sz w:val="20"/>
                <w:szCs w:val="20"/>
                <w:color w:val="auto"/>
              </w:rPr>
            </w:pPr>
            <w:r>
              <w:rPr>
                <w:rFonts w:ascii="Arial" w:cs="Arial" w:eastAsia="Arial" w:hAnsi="Arial"/>
                <w:sz w:val="18"/>
                <w:szCs w:val="18"/>
                <w:b w:val="1"/>
                <w:bCs w:val="1"/>
                <w:color w:val="FFFFFF"/>
              </w:rPr>
              <w:t>Independent</w:t>
            </w:r>
          </w:p>
        </w:tc>
        <w:tc>
          <w:tcPr>
            <w:tcW w:w="8720" w:type="dxa"/>
            <w:vAlign w:val="bottom"/>
          </w:tcPr>
          <w:p>
            <w:pPr>
              <w:ind w:left="300"/>
              <w:spacing w:after="0" w:line="201" w:lineRule="exact"/>
              <w:rPr>
                <w:sz w:val="20"/>
                <w:szCs w:val="20"/>
                <w:color w:val="auto"/>
              </w:rPr>
            </w:pPr>
            <w:r>
              <w:rPr>
                <w:rFonts w:ascii="Arial" w:cs="Arial" w:eastAsia="Arial" w:hAnsi="Arial"/>
                <w:sz w:val="18"/>
                <w:szCs w:val="18"/>
                <w:color w:val="auto"/>
              </w:rPr>
              <w:t>Mr. Evans has served in various positions with Summit Partners, a growth equity, venture capital and</w:t>
            </w:r>
          </w:p>
        </w:tc>
        <w:tc>
          <w:tcPr>
            <w:tcW w:w="0" w:type="dxa"/>
            <w:vAlign w:val="bottom"/>
          </w:tcPr>
          <w:p>
            <w:pPr>
              <w:spacing w:after="0"/>
              <w:rPr>
                <w:sz w:val="1"/>
                <w:szCs w:val="1"/>
                <w:color w:val="auto"/>
              </w:rPr>
            </w:pPr>
          </w:p>
        </w:tc>
      </w:tr>
      <w:tr>
        <w:trPr>
          <w:trHeight w:val="183"/>
        </w:trPr>
        <w:tc>
          <w:tcPr>
            <w:tcW w:w="2180" w:type="dxa"/>
            <w:vAlign w:val="bottom"/>
            <w:vMerge w:val="continue"/>
          </w:tcPr>
          <w:p>
            <w:pPr>
              <w:spacing w:after="0"/>
              <w:rPr>
                <w:sz w:val="15"/>
                <w:szCs w:val="15"/>
                <w:color w:val="auto"/>
              </w:rPr>
            </w:pPr>
          </w:p>
        </w:tc>
        <w:tc>
          <w:tcPr>
            <w:tcW w:w="8720" w:type="dxa"/>
            <w:vAlign w:val="bottom"/>
          </w:tcPr>
          <w:p>
            <w:pPr>
              <w:ind w:left="300"/>
              <w:spacing w:after="0" w:line="183" w:lineRule="exact"/>
              <w:rPr>
                <w:sz w:val="20"/>
                <w:szCs w:val="20"/>
                <w:color w:val="auto"/>
              </w:rPr>
            </w:pPr>
            <w:r>
              <w:rPr>
                <w:rFonts w:ascii="Arial" w:cs="Arial" w:eastAsia="Arial" w:hAnsi="Arial"/>
                <w:sz w:val="18"/>
                <w:szCs w:val="18"/>
                <w:color w:val="auto"/>
              </w:rPr>
              <w:t>credit investment firm, since 1986, including most recently as Chairman of Summit Partners’ Board, and</w:t>
            </w:r>
          </w:p>
        </w:tc>
        <w:tc>
          <w:tcPr>
            <w:tcW w:w="0" w:type="dxa"/>
            <w:vAlign w:val="bottom"/>
          </w:tcPr>
          <w:p>
            <w:pPr>
              <w:spacing w:after="0"/>
              <w:rPr>
                <w:sz w:val="1"/>
                <w:szCs w:val="1"/>
                <w:color w:val="auto"/>
              </w:rPr>
            </w:pPr>
          </w:p>
        </w:tc>
      </w:tr>
      <w:tr>
        <w:trPr>
          <w:trHeight w:val="217"/>
        </w:trPr>
        <w:tc>
          <w:tcPr>
            <w:tcW w:w="2180" w:type="dxa"/>
            <w:vAlign w:val="bottom"/>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2015</w:t>
            </w:r>
          </w:p>
        </w:tc>
        <w:tc>
          <w:tcPr>
            <w:tcW w:w="8720" w:type="dxa"/>
            <w:vAlign w:val="bottom"/>
          </w:tcPr>
          <w:p>
            <w:pPr>
              <w:ind w:left="300"/>
              <w:spacing w:after="0"/>
              <w:rPr>
                <w:sz w:val="20"/>
                <w:szCs w:val="20"/>
                <w:color w:val="auto"/>
              </w:rPr>
            </w:pPr>
            <w:r>
              <w:rPr>
                <w:rFonts w:ascii="Arial" w:cs="Arial" w:eastAsia="Arial" w:hAnsi="Arial"/>
                <w:sz w:val="18"/>
                <w:szCs w:val="18"/>
                <w:color w:val="auto"/>
              </w:rPr>
              <w:t>as Senior Advisor to the firm. From 2011 to December 2017, he served as Managing Director and</w:t>
            </w:r>
          </w:p>
        </w:tc>
        <w:tc>
          <w:tcPr>
            <w:tcW w:w="0" w:type="dxa"/>
            <w:vAlign w:val="bottom"/>
          </w:tcPr>
          <w:p>
            <w:pPr>
              <w:spacing w:after="0"/>
              <w:rPr>
                <w:sz w:val="1"/>
                <w:szCs w:val="1"/>
                <w:color w:val="auto"/>
              </w:rPr>
            </w:pPr>
          </w:p>
        </w:tc>
      </w:tr>
      <w:tr>
        <w:trPr>
          <w:trHeight w:val="200"/>
        </w:trPr>
        <w:tc>
          <w:tcPr>
            <w:tcW w:w="2180" w:type="dxa"/>
            <w:vAlign w:val="bottom"/>
            <w:vMerge w:val="restart"/>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59</w:t>
            </w:r>
          </w:p>
        </w:tc>
        <w:tc>
          <w:tcPr>
            <w:tcW w:w="8720" w:type="dxa"/>
            <w:vAlign w:val="bottom"/>
          </w:tcPr>
          <w:p>
            <w:pPr>
              <w:ind w:left="300"/>
              <w:spacing w:after="0" w:line="201" w:lineRule="exact"/>
              <w:rPr>
                <w:sz w:val="20"/>
                <w:szCs w:val="20"/>
                <w:color w:val="auto"/>
              </w:rPr>
            </w:pPr>
            <w:r>
              <w:rPr>
                <w:rFonts w:ascii="Arial" w:cs="Arial" w:eastAsia="Arial" w:hAnsi="Arial"/>
                <w:sz w:val="18"/>
                <w:szCs w:val="18"/>
                <w:color w:val="auto"/>
              </w:rPr>
              <w:t>Chairman of Summit Partners’ Board. From 1999 to 2011, he was one of Summit Partners’ Co-Managing</w:t>
            </w:r>
          </w:p>
        </w:tc>
        <w:tc>
          <w:tcPr>
            <w:tcW w:w="0" w:type="dxa"/>
            <w:vAlign w:val="bottom"/>
          </w:tcPr>
          <w:p>
            <w:pPr>
              <w:spacing w:after="0"/>
              <w:rPr>
                <w:sz w:val="1"/>
                <w:szCs w:val="1"/>
                <w:color w:val="auto"/>
              </w:rPr>
            </w:pPr>
          </w:p>
        </w:tc>
      </w:tr>
      <w:tr>
        <w:trPr>
          <w:trHeight w:val="142"/>
        </w:trPr>
        <w:tc>
          <w:tcPr>
            <w:tcW w:w="2180" w:type="dxa"/>
            <w:vAlign w:val="bottom"/>
            <w:vMerge w:val="continue"/>
          </w:tcPr>
          <w:p>
            <w:pPr>
              <w:spacing w:after="0"/>
              <w:rPr>
                <w:sz w:val="12"/>
                <w:szCs w:val="12"/>
                <w:color w:val="auto"/>
              </w:rPr>
            </w:pPr>
          </w:p>
        </w:tc>
        <w:tc>
          <w:tcPr>
            <w:tcW w:w="8720" w:type="dxa"/>
            <w:vAlign w:val="bottom"/>
            <w:vMerge w:val="restart"/>
          </w:tcPr>
          <w:p>
            <w:pPr>
              <w:ind w:left="300"/>
              <w:spacing w:after="0" w:line="201" w:lineRule="exact"/>
              <w:rPr>
                <w:sz w:val="20"/>
                <w:szCs w:val="20"/>
                <w:color w:val="auto"/>
              </w:rPr>
            </w:pPr>
            <w:r>
              <w:rPr>
                <w:rFonts w:ascii="Arial" w:cs="Arial" w:eastAsia="Arial" w:hAnsi="Arial"/>
                <w:sz w:val="18"/>
                <w:szCs w:val="18"/>
                <w:color w:val="auto"/>
              </w:rPr>
              <w:t>Partners. During his 32 years with Summit Partners, Mr. Evans has served as a member of the boards of</w:t>
            </w:r>
          </w:p>
        </w:tc>
        <w:tc>
          <w:tcPr>
            <w:tcW w:w="0" w:type="dxa"/>
            <w:vAlign w:val="bottom"/>
          </w:tcPr>
          <w:p>
            <w:pPr>
              <w:spacing w:after="0"/>
              <w:rPr>
                <w:sz w:val="1"/>
                <w:szCs w:val="1"/>
                <w:color w:val="auto"/>
              </w:rPr>
            </w:pPr>
          </w:p>
        </w:tc>
      </w:tr>
      <w:tr>
        <w:trPr>
          <w:trHeight w:val="58"/>
        </w:trPr>
        <w:tc>
          <w:tcPr>
            <w:tcW w:w="2180" w:type="dxa"/>
            <w:vAlign w:val="bottom"/>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200"/>
              <w:spacing w:after="0"/>
              <w:rPr>
                <w:sz w:val="20"/>
                <w:szCs w:val="20"/>
                <w:color w:val="auto"/>
              </w:rPr>
            </w:pPr>
            <w:r>
              <w:rPr>
                <w:rFonts w:ascii="Arial" w:cs="Arial" w:eastAsia="Arial" w:hAnsi="Arial"/>
                <w:sz w:val="18"/>
                <w:szCs w:val="18"/>
                <w:b w:val="1"/>
                <w:bCs w:val="1"/>
                <w:color w:val="FFFFFF"/>
              </w:rPr>
              <w:t>Committee(s):</w:t>
            </w:r>
          </w:p>
        </w:tc>
        <w:tc>
          <w:tcPr>
            <w:tcW w:w="8720" w:type="dxa"/>
            <w:vAlign w:val="bottom"/>
          </w:tcPr>
          <w:p>
            <w:pPr>
              <w:ind w:left="300"/>
              <w:spacing w:after="0"/>
              <w:rPr>
                <w:sz w:val="20"/>
                <w:szCs w:val="20"/>
                <w:color w:val="auto"/>
              </w:rPr>
            </w:pPr>
            <w:r>
              <w:rPr>
                <w:rFonts w:ascii="Arial" w:cs="Arial" w:eastAsia="Arial" w:hAnsi="Arial"/>
                <w:sz w:val="18"/>
                <w:szCs w:val="18"/>
                <w:color w:val="auto"/>
              </w:rPr>
              <w:t>directors of over 30 technology and other growth industry companies in the U.S. and Europe, including 14</w:t>
            </w:r>
          </w:p>
        </w:tc>
        <w:tc>
          <w:tcPr>
            <w:tcW w:w="0" w:type="dxa"/>
            <w:vAlign w:val="bottom"/>
          </w:tcPr>
          <w:p>
            <w:pPr>
              <w:spacing w:after="0"/>
              <w:rPr>
                <w:sz w:val="1"/>
                <w:szCs w:val="1"/>
                <w:color w:val="auto"/>
              </w:rPr>
            </w:pPr>
          </w:p>
        </w:tc>
      </w:tr>
      <w:tr>
        <w:trPr>
          <w:trHeight w:val="186"/>
        </w:trPr>
        <w:tc>
          <w:tcPr>
            <w:tcW w:w="2180" w:type="dxa"/>
            <w:vAlign w:val="bottom"/>
          </w:tcPr>
          <w:p>
            <w:pPr>
              <w:ind w:left="200"/>
              <w:spacing w:after="0" w:line="186" w:lineRule="exact"/>
              <w:rPr>
                <w:sz w:val="20"/>
                <w:szCs w:val="20"/>
                <w:color w:val="auto"/>
              </w:rPr>
            </w:pPr>
            <w:r>
              <w:rPr>
                <w:rFonts w:ascii="Arial" w:cs="Arial" w:eastAsia="Arial" w:hAnsi="Arial"/>
                <w:sz w:val="18"/>
                <w:szCs w:val="18"/>
                <w:color w:val="FFFFFF"/>
              </w:rPr>
              <w:t>Audit</w:t>
            </w:r>
          </w:p>
        </w:tc>
        <w:tc>
          <w:tcPr>
            <w:tcW w:w="8720" w:type="dxa"/>
            <w:vAlign w:val="bottom"/>
          </w:tcPr>
          <w:p>
            <w:pPr>
              <w:ind w:left="300"/>
              <w:spacing w:after="0" w:line="186" w:lineRule="exact"/>
              <w:rPr>
                <w:sz w:val="20"/>
                <w:szCs w:val="20"/>
                <w:color w:val="auto"/>
              </w:rPr>
            </w:pPr>
            <w:r>
              <w:rPr>
                <w:rFonts w:ascii="Arial" w:cs="Arial" w:eastAsia="Arial" w:hAnsi="Arial"/>
                <w:sz w:val="18"/>
                <w:szCs w:val="18"/>
                <w:color w:val="auto"/>
              </w:rPr>
              <w:t>public companies. In addition, Mr. Evans is Chairman of the Vanderbilt University Board of Trust and the</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former Chairman of Vanderbilt’s Investment Committee.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290" w:type="dxa"/>
        <w:tblCellMar>
          <w:top w:w="0" w:type="dxa"/>
          <w:left w:w="0" w:type="dxa"/>
          <w:bottom w:w="0" w:type="dxa"/>
          <w:right w:w="0" w:type="dxa"/>
        </w:tblCellMar>
      </w:tblPr>
      <w:tr>
        <w:trPr>
          <w:trHeight w:val="252"/>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40" w:type="dxa"/>
            <w:vAlign w:val="bottom"/>
            <w:shd w:val="clear" w:color="auto" w:fill="E8EDF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rPr>
              <w:t>We believe Mr. Evans’ qualifications to serve on our Board of Directors include his financial and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rPr>
              <w:t>management expertise, including his investing experience in the technology sector and his experience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with acquisitions and other transactions.</w:t>
            </w:r>
          </w:p>
        </w:tc>
        <w:tc>
          <w:tcPr>
            <w:tcW w:w="4540" w:type="dxa"/>
            <w:vAlign w:val="bottom"/>
            <w:shd w:val="clear" w:color="auto" w:fill="E8EDF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40" w:type="dxa"/>
            <w:vAlign w:val="bottom"/>
            <w:shd w:val="clear" w:color="auto" w:fill="E8EDF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40" w:type="dxa"/>
            <w:vAlign w:val="bottom"/>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Casa Systems, Inc.</w:t>
            </w:r>
          </w:p>
        </w:tc>
        <w:tc>
          <w:tcPr>
            <w:tcW w:w="4540" w:type="dxa"/>
            <w:vAlign w:val="bottom"/>
            <w:shd w:val="clear" w:color="auto" w:fill="E8EDF4"/>
          </w:tcPr>
          <w:p>
            <w:pPr>
              <w:ind w:left="340"/>
              <w:spacing w:after="0"/>
              <w:rPr>
                <w:sz w:val="20"/>
                <w:szCs w:val="20"/>
                <w:color w:val="auto"/>
              </w:rPr>
            </w:pPr>
            <w:r>
              <w:rPr>
                <w:rFonts w:ascii="Arial" w:cs="Arial" w:eastAsia="Arial" w:hAnsi="Arial"/>
                <w:sz w:val="18"/>
                <w:szCs w:val="18"/>
                <w:color w:val="auto"/>
              </w:rPr>
              <w:t>FleetCor Technologies, Inc. (until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400" w:type="dxa"/>
            <w:vAlign w:val="bottom"/>
            <w:tcBorders>
              <w:bottom w:val="single" w:sz="8" w:color="4C4C4C"/>
            </w:tcBorders>
          </w:tcPr>
          <w:p>
            <w:pPr>
              <w:spacing w:after="0"/>
              <w:rPr>
                <w:sz w:val="5"/>
                <w:szCs w:val="5"/>
                <w:color w:val="auto"/>
              </w:rPr>
            </w:pPr>
          </w:p>
        </w:tc>
        <w:tc>
          <w:tcPr>
            <w:tcW w:w="100" w:type="dxa"/>
            <w:vAlign w:val="bottom"/>
            <w:tcBorders>
              <w:bottom w:val="single" w:sz="8" w:color="4C4C4C"/>
            </w:tcBorders>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40" w:type="dxa"/>
            <w:vAlign w:val="bottom"/>
            <w:tcBorders>
              <w:bottom w:val="single" w:sz="8" w:color="4C4C4C"/>
            </w:tcBorders>
            <w:shd w:val="clear" w:color="auto" w:fill="E8EDF4"/>
          </w:tcPr>
          <w:p>
            <w:pPr>
              <w:spacing w:after="0"/>
              <w:rPr>
                <w:sz w:val="5"/>
                <w:szCs w:val="5"/>
                <w:color w:val="auto"/>
              </w:rPr>
            </w:pPr>
          </w:p>
        </w:tc>
        <w:tc>
          <w:tcPr>
            <w:tcW w:w="20" w:type="dxa"/>
            <w:vAlign w:val="bottom"/>
            <w:tcBorders>
              <w:bottom w:val="single" w:sz="8" w:color="4C4C4C"/>
            </w:tcBorders>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3840" w:type="dxa"/>
            <w:vAlign w:val="bottom"/>
            <w:tcBorders>
              <w:bottom w:val="single" w:sz="8" w:color="4C4C4C"/>
            </w:tcBorders>
          </w:tcPr>
          <w:p>
            <w:pPr>
              <w:spacing w:after="0"/>
              <w:rPr>
                <w:sz w:val="16"/>
                <w:szCs w:val="16"/>
                <w:color w:val="auto"/>
              </w:rPr>
            </w:pPr>
          </w:p>
        </w:tc>
        <w:tc>
          <w:tcPr>
            <w:tcW w:w="4540" w:type="dxa"/>
            <w:vAlign w:val="bottom"/>
            <w:tcBorders>
              <w:bottom w:val="single" w:sz="8" w:color="4C4C4C"/>
            </w:tcBorders>
          </w:tcPr>
          <w:p>
            <w:pPr>
              <w:spacing w:after="0"/>
              <w:rPr>
                <w:sz w:val="16"/>
                <w:szCs w:val="16"/>
                <w:color w:val="auto"/>
              </w:rPr>
            </w:pPr>
          </w:p>
        </w:tc>
        <w:tc>
          <w:tcPr>
            <w:tcW w:w="2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tcBorders>
              <w:left w:val="single" w:sz="8" w:color="4C4C4C"/>
              <w:right w:val="single" w:sz="8" w:color="auto"/>
            </w:tcBorders>
            <w:shd w:val="clear" w:color="auto" w:fill="052B82"/>
          </w:tcPr>
          <w:p>
            <w:pPr>
              <w:ind w:left="200"/>
              <w:spacing w:after="0" w:line="238" w:lineRule="exact"/>
              <w:rPr>
                <w:sz w:val="20"/>
                <w:szCs w:val="20"/>
                <w:color w:val="auto"/>
              </w:rPr>
            </w:pPr>
            <w:r>
              <w:rPr>
                <w:rFonts w:ascii="Arial" w:cs="Arial" w:eastAsia="Arial" w:hAnsi="Arial"/>
                <w:sz w:val="21"/>
                <w:szCs w:val="21"/>
                <w:b w:val="1"/>
                <w:bCs w:val="1"/>
                <w:color w:val="FFFFFF"/>
              </w:rPr>
              <w:t>Edward H. Frank</w:t>
            </w: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40" w:type="dxa"/>
            <w:vAlign w:val="bottom"/>
            <w:shd w:val="clear" w:color="auto" w:fill="E8EDF4"/>
          </w:tcPr>
          <w:p>
            <w:pPr>
              <w:spacing w:after="0"/>
              <w:rPr>
                <w:sz w:val="20"/>
                <w:szCs w:val="20"/>
                <w:color w:val="auto"/>
              </w:rPr>
            </w:pPr>
          </w:p>
        </w:tc>
        <w:tc>
          <w:tcPr>
            <w:tcW w:w="2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rPr>
              <w:t>Dr. Frank was most recently co-founder and CEO of Cloud Parity, a voice of the customer startup, from</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0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380" w:type="dxa"/>
            <w:vAlign w:val="bottom"/>
            <w:gridSpan w:val="2"/>
            <w:shd w:val="clear" w:color="auto" w:fill="E8EDF4"/>
          </w:tcPr>
          <w:p>
            <w:pPr>
              <w:spacing w:after="0" w:line="183" w:lineRule="exact"/>
              <w:rPr>
                <w:sz w:val="20"/>
                <w:szCs w:val="20"/>
                <w:color w:val="auto"/>
              </w:rPr>
            </w:pPr>
            <w:r>
              <w:rPr>
                <w:rFonts w:ascii="Arial" w:cs="Arial" w:eastAsia="Arial" w:hAnsi="Arial"/>
                <w:sz w:val="18"/>
                <w:szCs w:val="18"/>
                <w:color w:val="auto"/>
              </w:rPr>
              <w:t>January 2014 through August 2016. From May 2009 to October 2013, Dr. Frank held the position of Vice</w:t>
            </w:r>
          </w:p>
        </w:tc>
        <w:tc>
          <w:tcPr>
            <w:tcW w:w="20" w:type="dxa"/>
            <w:vAlign w:val="bottom"/>
            <w:shd w:val="clear" w:color="auto" w:fill="4C4C4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2014</w:t>
            </w:r>
          </w:p>
        </w:tc>
        <w:tc>
          <w:tcPr>
            <w:tcW w:w="100" w:type="dxa"/>
            <w:vAlign w:val="bottom"/>
            <w:shd w:val="clear" w:color="auto" w:fill="E8EDF4"/>
          </w:tcPr>
          <w:p>
            <w:pPr>
              <w:spacing w:after="0"/>
              <w:rPr>
                <w:sz w:val="18"/>
                <w:szCs w:val="18"/>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rPr>
              <w:t>President, Macintosh Hardware Systems Engineering at Apple Inc., a company that designs,</w:t>
            </w:r>
          </w:p>
        </w:tc>
        <w:tc>
          <w:tcPr>
            <w:tcW w:w="20" w:type="dxa"/>
            <w:vAlign w:val="bottom"/>
            <w:shd w:val="clear" w:color="auto" w:fill="4C4C4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62</w:t>
            </w:r>
          </w:p>
        </w:tc>
        <w:tc>
          <w:tcPr>
            <w:tcW w:w="100" w:type="dxa"/>
            <w:vAlign w:val="bottom"/>
            <w:shd w:val="clear" w:color="auto" w:fill="E8EDF4"/>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w w:val="99"/>
              </w:rPr>
              <w:t>manufactures and markets electronic devices. Prior to his tenure at Apple, Dr. Frank served as Corporate</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40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380" w:type="dxa"/>
            <w:vAlign w:val="bottom"/>
            <w:gridSpan w:val="2"/>
            <w:vMerge w:val="restart"/>
            <w:shd w:val="clear" w:color="auto" w:fill="E8EDF4"/>
          </w:tcPr>
          <w:p>
            <w:pPr>
              <w:spacing w:after="0" w:line="201" w:lineRule="exact"/>
              <w:rPr>
                <w:sz w:val="20"/>
                <w:szCs w:val="20"/>
                <w:color w:val="auto"/>
              </w:rPr>
            </w:pPr>
            <w:r>
              <w:rPr>
                <w:rFonts w:ascii="Arial" w:cs="Arial" w:eastAsia="Arial" w:hAnsi="Arial"/>
                <w:sz w:val="18"/>
                <w:szCs w:val="18"/>
                <w:color w:val="auto"/>
                <w:w w:val="99"/>
              </w:rPr>
              <w:t>Vice President, Research and Development, of Broadcom Corp. Dr. Frank was founding CEO of Epigram,</w:t>
            </w:r>
          </w:p>
        </w:tc>
        <w:tc>
          <w:tcPr>
            <w:tcW w:w="20" w:type="dxa"/>
            <w:vAlign w:val="bottom"/>
            <w:shd w:val="clear" w:color="auto" w:fill="4C4C4C"/>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400" w:type="dxa"/>
            <w:vAlign w:val="bottom"/>
            <w:tcBorders>
              <w:left w:val="single" w:sz="8" w:color="4C4C4C"/>
              <w:right w:val="single" w:sz="8" w:color="auto"/>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380" w:type="dxa"/>
            <w:vAlign w:val="bottom"/>
            <w:gridSpan w:val="2"/>
            <w:vMerge w:val="continue"/>
            <w:shd w:val="clear" w:color="auto" w:fill="E8EDF4"/>
          </w:tcPr>
          <w:p>
            <w:pPr>
              <w:spacing w:after="0"/>
              <w:rPr>
                <w:sz w:val="5"/>
                <w:szCs w:val="5"/>
                <w:color w:val="auto"/>
              </w:rPr>
            </w:pPr>
          </w:p>
        </w:tc>
        <w:tc>
          <w:tcPr>
            <w:tcW w:w="20" w:type="dxa"/>
            <w:vAlign w:val="bottom"/>
            <w:shd w:val="clear" w:color="auto" w:fill="4C4C4C"/>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0"/>
                <w:szCs w:val="20"/>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rPr>
              <w:t>Inc., a developer of integrated circuits and software for home networking, which Broadcom acquired in</w:t>
            </w:r>
          </w:p>
        </w:tc>
        <w:tc>
          <w:tcPr>
            <w:tcW w:w="2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ind w:left="200"/>
              <w:spacing w:after="0" w:line="201" w:lineRule="exact"/>
              <w:rPr>
                <w:sz w:val="20"/>
                <w:szCs w:val="20"/>
                <w:color w:val="auto"/>
              </w:rPr>
            </w:pPr>
            <w:r>
              <w:rPr>
                <w:rFonts w:ascii="Arial" w:cs="Arial" w:eastAsia="Arial" w:hAnsi="Arial"/>
                <w:sz w:val="18"/>
                <w:szCs w:val="18"/>
                <w:color w:val="FFFFFF"/>
              </w:rPr>
              <w:t>Nominating and Corporate</w:t>
            </w:r>
          </w:p>
        </w:tc>
        <w:tc>
          <w:tcPr>
            <w:tcW w:w="100" w:type="dxa"/>
            <w:vAlign w:val="bottom"/>
            <w:shd w:val="clear" w:color="auto" w:fill="E8EDF4"/>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w w:val="98"/>
              </w:rPr>
              <w:t>1999, and was a Distinguished Engineer at Sun Microsystems, Inc. Dr. Frank is vice-chairman of Carnegie</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ind w:left="200"/>
              <w:spacing w:after="0" w:line="201" w:lineRule="exact"/>
              <w:rPr>
                <w:sz w:val="20"/>
                <w:szCs w:val="20"/>
                <w:color w:val="auto"/>
              </w:rPr>
            </w:pPr>
            <w:r>
              <w:rPr>
                <w:rFonts w:ascii="Arial" w:cs="Arial" w:eastAsia="Arial" w:hAnsi="Arial"/>
                <w:sz w:val="18"/>
                <w:szCs w:val="18"/>
                <w:color w:val="FFFFFF"/>
              </w:rPr>
              <w:t>Governance,</w:t>
            </w:r>
          </w:p>
        </w:tc>
        <w:tc>
          <w:tcPr>
            <w:tcW w:w="100" w:type="dxa"/>
            <w:vAlign w:val="bottom"/>
            <w:shd w:val="clear" w:color="auto" w:fill="E8EDF4"/>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rPr>
              <w:t>Mellon University Board of Trustees, where he has been a Trustee since 2000, and since July 2017, has</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color w:val="FFFFFF"/>
              </w:rPr>
              <w:t>Compensation</w:t>
            </w:r>
          </w:p>
        </w:tc>
        <w:tc>
          <w:tcPr>
            <w:tcW w:w="100" w:type="dxa"/>
            <w:vAlign w:val="bottom"/>
            <w:shd w:val="clear" w:color="auto" w:fill="E8EDF4"/>
          </w:tcPr>
          <w:p>
            <w:pPr>
              <w:spacing w:after="0"/>
              <w:rPr>
                <w:sz w:val="22"/>
                <w:szCs w:val="22"/>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rPr>
              <w:t>been Executive Director (pro bono) of Metallica’s All Within My Hands Foundation.</w:t>
            </w:r>
          </w:p>
        </w:tc>
        <w:tc>
          <w:tcPr>
            <w:tcW w:w="20" w:type="dxa"/>
            <w:vAlign w:val="bottom"/>
            <w:shd w:val="clear" w:color="auto" w:fill="4C4C4C"/>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40" w:type="dxa"/>
            <w:vAlign w:val="bottom"/>
            <w:shd w:val="clear" w:color="auto" w:fill="E8EDF4"/>
          </w:tcPr>
          <w:p>
            <w:pPr>
              <w:spacing w:after="0"/>
              <w:rPr>
                <w:sz w:val="24"/>
                <w:szCs w:val="24"/>
                <w:color w:val="auto"/>
              </w:rPr>
            </w:pP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400" w:type="dxa"/>
            <w:vAlign w:val="bottom"/>
            <w:tcBorders>
              <w:left w:val="single" w:sz="8" w:color="4C4C4C"/>
              <w:right w:val="single" w:sz="8" w:color="auto"/>
            </w:tcBorders>
            <w:shd w:val="clear" w:color="auto" w:fill="052B82"/>
          </w:tcPr>
          <w:p>
            <w:pPr>
              <w:spacing w:after="0"/>
              <w:rPr>
                <w:sz w:val="23"/>
                <w:szCs w:val="23"/>
                <w:color w:val="auto"/>
              </w:rPr>
            </w:pPr>
          </w:p>
        </w:tc>
        <w:tc>
          <w:tcPr>
            <w:tcW w:w="100" w:type="dxa"/>
            <w:vAlign w:val="bottom"/>
            <w:shd w:val="clear" w:color="auto" w:fill="E8EDF4"/>
          </w:tcPr>
          <w:p>
            <w:pPr>
              <w:spacing w:after="0"/>
              <w:rPr>
                <w:sz w:val="23"/>
                <w:szCs w:val="23"/>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w w:val="99"/>
              </w:rPr>
              <w:t>We believe Dr. Frank’s qualifications to serve on our Board of Directors include his substantial experience</w:t>
            </w:r>
          </w:p>
        </w:tc>
        <w:tc>
          <w:tcPr>
            <w:tcW w:w="20" w:type="dxa"/>
            <w:vAlign w:val="bottom"/>
            <w:shd w:val="clear" w:color="auto" w:fill="4C4C4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380" w:type="dxa"/>
            <w:vAlign w:val="bottom"/>
            <w:gridSpan w:val="2"/>
            <w:shd w:val="clear" w:color="auto" w:fill="E8EDF4"/>
          </w:tcPr>
          <w:p>
            <w:pPr>
              <w:spacing w:after="0" w:line="201" w:lineRule="exact"/>
              <w:rPr>
                <w:sz w:val="20"/>
                <w:szCs w:val="20"/>
                <w:color w:val="auto"/>
              </w:rPr>
            </w:pPr>
            <w:r>
              <w:rPr>
                <w:rFonts w:ascii="Arial" w:cs="Arial" w:eastAsia="Arial" w:hAnsi="Arial"/>
                <w:sz w:val="18"/>
                <w:szCs w:val="18"/>
                <w:color w:val="auto"/>
              </w:rPr>
              <w:t>in the design, manufacture, sale and marketing of semiconductors for a broad set of markets, including</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380" w:type="dxa"/>
            <w:vAlign w:val="bottom"/>
            <w:gridSpan w:val="2"/>
            <w:shd w:val="clear" w:color="auto" w:fill="E8EDF4"/>
          </w:tcPr>
          <w:p>
            <w:pPr>
              <w:spacing w:after="0"/>
              <w:rPr>
                <w:sz w:val="20"/>
                <w:szCs w:val="20"/>
                <w:color w:val="auto"/>
              </w:rPr>
            </w:pPr>
            <w:r>
              <w:rPr>
                <w:rFonts w:ascii="Arial" w:cs="Arial" w:eastAsia="Arial" w:hAnsi="Arial"/>
                <w:sz w:val="18"/>
                <w:szCs w:val="18"/>
                <w:color w:val="auto"/>
              </w:rPr>
              <w:t>many of the markets serviced by the Company and his extensive executive leadership experience.</w:t>
            </w:r>
          </w:p>
        </w:tc>
        <w:tc>
          <w:tcPr>
            <w:tcW w:w="2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40" w:type="dxa"/>
            <w:vAlign w:val="bottom"/>
            <w:shd w:val="clear" w:color="auto" w:fill="E8EDF4"/>
          </w:tcPr>
          <w:p>
            <w:pPr>
              <w:spacing w:after="0"/>
              <w:rPr>
                <w:sz w:val="24"/>
                <w:szCs w:val="24"/>
                <w:color w:val="auto"/>
              </w:rPr>
            </w:pP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40" w:type="dxa"/>
            <w:vAlign w:val="bottom"/>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20" w:type="dxa"/>
            <w:vAlign w:val="bottom"/>
            <w:shd w:val="clear" w:color="auto" w:fill="4C4C4C"/>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3840" w:type="dxa"/>
            <w:vAlign w:val="bottom"/>
            <w:shd w:val="clear" w:color="auto" w:fill="E8EDF4"/>
          </w:tcPr>
          <w:p>
            <w:pPr>
              <w:spacing w:after="0" w:line="201" w:lineRule="exact"/>
              <w:rPr>
                <w:sz w:val="20"/>
                <w:szCs w:val="20"/>
                <w:color w:val="auto"/>
              </w:rPr>
            </w:pPr>
            <w:r>
              <w:rPr>
                <w:rFonts w:ascii="Arial" w:cs="Arial" w:eastAsia="Arial" w:hAnsi="Arial"/>
                <w:sz w:val="18"/>
                <w:szCs w:val="18"/>
                <w:color w:val="auto"/>
              </w:rPr>
              <w:t>Marvell Semiconductor, Inc.</w:t>
            </w:r>
          </w:p>
        </w:tc>
        <w:tc>
          <w:tcPr>
            <w:tcW w:w="454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color w:val="auto"/>
              </w:rPr>
              <w:t>Cavium, Inc. (until 2018)</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3840" w:type="dxa"/>
            <w:vAlign w:val="bottom"/>
            <w:shd w:val="clear" w:color="auto" w:fill="E8EDF4"/>
          </w:tcPr>
          <w:p>
            <w:pPr>
              <w:spacing w:after="0" w:line="201" w:lineRule="exact"/>
              <w:rPr>
                <w:sz w:val="20"/>
                <w:szCs w:val="20"/>
                <w:color w:val="auto"/>
              </w:rPr>
            </w:pPr>
            <w:r>
              <w:rPr>
                <w:rFonts w:ascii="Arial" w:cs="Arial" w:eastAsia="Arial" w:hAnsi="Arial"/>
                <w:sz w:val="18"/>
                <w:szCs w:val="18"/>
                <w:color w:val="auto"/>
              </w:rPr>
              <w:t>Amesite, Inc.</w:t>
            </w:r>
          </w:p>
        </w:tc>
        <w:tc>
          <w:tcPr>
            <w:tcW w:w="454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color w:val="auto"/>
              </w:rPr>
              <w:t>Fusion-IO, Inc. (until 2014)</w:t>
            </w:r>
          </w:p>
        </w:tc>
        <w:tc>
          <w:tcPr>
            <w:tcW w:w="2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p>
        </w:tc>
        <w:tc>
          <w:tcPr>
            <w:tcW w:w="4540" w:type="dxa"/>
            <w:vAlign w:val="bottom"/>
            <w:shd w:val="clear" w:color="auto" w:fill="E8EDF4"/>
          </w:tcPr>
          <w:p>
            <w:pPr>
              <w:ind w:left="340"/>
              <w:spacing w:after="0"/>
              <w:rPr>
                <w:sz w:val="20"/>
                <w:szCs w:val="20"/>
                <w:color w:val="auto"/>
              </w:rPr>
            </w:pPr>
            <w:r>
              <w:rPr>
                <w:rFonts w:ascii="Arial" w:cs="Arial" w:eastAsia="Arial" w:hAnsi="Arial"/>
                <w:sz w:val="18"/>
                <w:szCs w:val="18"/>
                <w:color w:val="auto"/>
              </w:rPr>
              <w:t>Quantenna Communications, Inc. (until 2018)</w:t>
            </w:r>
          </w:p>
        </w:tc>
        <w:tc>
          <w:tcPr>
            <w:tcW w:w="20" w:type="dxa"/>
            <w:vAlign w:val="bottom"/>
            <w:shd w:val="clear" w:color="auto" w:fill="4C4C4C"/>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400" w:type="dxa"/>
            <w:vAlign w:val="bottom"/>
            <w:tcBorders>
              <w:left w:val="single" w:sz="8" w:color="4C4C4C"/>
              <w:bottom w:val="single" w:sz="8" w:color="4C4C4C"/>
              <w:right w:val="single" w:sz="8" w:color="auto"/>
            </w:tcBorders>
            <w:shd w:val="clear" w:color="auto" w:fill="052B82"/>
          </w:tcPr>
          <w:p>
            <w:pPr>
              <w:spacing w:after="0"/>
              <w:rPr>
                <w:sz w:val="7"/>
                <w:szCs w:val="7"/>
                <w:color w:val="auto"/>
              </w:rPr>
            </w:pPr>
          </w:p>
        </w:tc>
        <w:tc>
          <w:tcPr>
            <w:tcW w:w="100" w:type="dxa"/>
            <w:vAlign w:val="bottom"/>
            <w:tcBorders>
              <w:bottom w:val="single" w:sz="8" w:color="4C4C4C"/>
            </w:tcBorders>
            <w:shd w:val="clear" w:color="auto" w:fill="E8EDF4"/>
          </w:tcPr>
          <w:p>
            <w:pPr>
              <w:spacing w:after="0"/>
              <w:rPr>
                <w:sz w:val="7"/>
                <w:szCs w:val="7"/>
                <w:color w:val="auto"/>
              </w:rPr>
            </w:pPr>
          </w:p>
        </w:tc>
        <w:tc>
          <w:tcPr>
            <w:tcW w:w="3840" w:type="dxa"/>
            <w:vAlign w:val="bottom"/>
            <w:tcBorders>
              <w:bottom w:val="single" w:sz="8" w:color="4C4C4C"/>
            </w:tcBorders>
            <w:shd w:val="clear" w:color="auto" w:fill="E8EDF4"/>
          </w:tcPr>
          <w:p>
            <w:pPr>
              <w:spacing w:after="0"/>
              <w:rPr>
                <w:sz w:val="7"/>
                <w:szCs w:val="7"/>
                <w:color w:val="auto"/>
              </w:rPr>
            </w:pPr>
          </w:p>
        </w:tc>
        <w:tc>
          <w:tcPr>
            <w:tcW w:w="4540" w:type="dxa"/>
            <w:vAlign w:val="bottom"/>
            <w:tcBorders>
              <w:bottom w:val="single" w:sz="8" w:color="4C4C4C"/>
            </w:tcBorders>
            <w:shd w:val="clear" w:color="auto" w:fill="E8EDF4"/>
          </w:tcPr>
          <w:p>
            <w:pPr>
              <w:spacing w:after="0"/>
              <w:rPr>
                <w:sz w:val="7"/>
                <w:szCs w:val="7"/>
                <w:color w:val="auto"/>
              </w:rPr>
            </w:pPr>
          </w:p>
        </w:tc>
        <w:tc>
          <w:tcPr>
            <w:tcW w:w="20" w:type="dxa"/>
            <w:vAlign w:val="bottom"/>
            <w:tcBorders>
              <w:bottom w:val="single" w:sz="8" w:color="4C4C4C"/>
            </w:tcBorders>
            <w:shd w:val="clear" w:color="auto" w:fill="4C4C4C"/>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540" w:type="dxa"/>
            <w:vAlign w:val="bottom"/>
          </w:tcPr>
          <w:p>
            <w:pPr>
              <w:ind w:left="2660"/>
              <w:spacing w:after="0"/>
              <w:rPr>
                <w:sz w:val="20"/>
                <w:szCs w:val="20"/>
                <w:color w:val="auto"/>
              </w:rPr>
            </w:pPr>
            <w:r>
              <w:rPr>
                <w:rFonts w:ascii="Arial" w:cs="Arial" w:eastAsia="Arial" w:hAnsi="Arial"/>
                <w:sz w:val="14"/>
                <w:szCs w:val="14"/>
                <w:b w:val="1"/>
                <w:bCs w:val="1"/>
                <w:color w:val="052B82"/>
              </w:rPr>
              <w:t xml:space="preserve">2019 Proxy Statement   </w:t>
            </w:r>
            <w:r>
              <w:rPr>
                <w:rFonts w:ascii="Arial" w:cs="Arial" w:eastAsia="Arial" w:hAnsi="Arial"/>
                <w:sz w:val="17"/>
                <w:szCs w:val="17"/>
                <w:color w:val="99999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3" w:right="4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70" w:type="dxa"/>
        <w:tblCellMar>
          <w:top w:w="0" w:type="dxa"/>
          <w:left w:w="0" w:type="dxa"/>
          <w:bottom w:w="0" w:type="dxa"/>
          <w:right w:w="0" w:type="dxa"/>
        </w:tblCellMar>
      </w:tblPr>
      <w:tr>
        <w:trPr>
          <w:trHeight w:val="258"/>
        </w:trPr>
        <w:tc>
          <w:tcPr>
            <w:tcW w:w="2420" w:type="dxa"/>
            <w:vAlign w:val="bottom"/>
            <w:tcBorders>
              <w:top w:val="single" w:sz="8" w:color="4C4C4C"/>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21"/>
                <w:szCs w:val="21"/>
                <w:b w:val="1"/>
                <w:bCs w:val="1"/>
                <w:color w:val="FFFFFF"/>
              </w:rPr>
              <w:t>Karen M. Golz</w:t>
            </w:r>
          </w:p>
        </w:tc>
        <w:tc>
          <w:tcPr>
            <w:tcW w:w="100" w:type="dxa"/>
            <w:vAlign w:val="bottom"/>
            <w:tcBorders>
              <w:top w:val="single" w:sz="8" w:color="4C4C4C"/>
            </w:tcBorders>
            <w:shd w:val="clear" w:color="auto" w:fill="E8EDF4"/>
          </w:tcPr>
          <w:p>
            <w:pPr>
              <w:spacing w:after="0"/>
              <w:rPr>
                <w:sz w:val="22"/>
                <w:szCs w:val="22"/>
                <w:color w:val="auto"/>
              </w:rPr>
            </w:pPr>
          </w:p>
        </w:tc>
        <w:tc>
          <w:tcPr>
            <w:tcW w:w="384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60" w:type="dxa"/>
            <w:vAlign w:val="bottom"/>
            <w:tcBorders>
              <w:top w:val="single" w:sz="8" w:color="4C4C4C"/>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Ms. Golz is a retired partner from Ernst &amp; Young, a public accounting firm, where she held various senior</w:t>
            </w:r>
          </w:p>
        </w:tc>
        <w:tc>
          <w:tcPr>
            <w:tcW w:w="0" w:type="dxa"/>
            <w:vAlign w:val="bottom"/>
          </w:tcPr>
          <w:p>
            <w:pPr>
              <w:spacing w:after="0"/>
              <w:rPr>
                <w:sz w:val="1"/>
                <w:szCs w:val="1"/>
                <w:color w:val="auto"/>
              </w:rPr>
            </w:pPr>
          </w:p>
        </w:tc>
      </w:tr>
      <w:tr>
        <w:trPr>
          <w:trHeight w:val="183"/>
        </w:trPr>
        <w:tc>
          <w:tcPr>
            <w:tcW w:w="242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leadership positions during her tenure at the firm, including most recently as Global Vice Chair, Japan</w:t>
            </w:r>
          </w:p>
        </w:tc>
        <w:tc>
          <w:tcPr>
            <w:tcW w:w="0" w:type="dxa"/>
            <w:vAlign w:val="bottom"/>
          </w:tcPr>
          <w:p>
            <w:pPr>
              <w:spacing w:after="0"/>
              <w:rPr>
                <w:sz w:val="1"/>
                <w:szCs w:val="1"/>
                <w:color w:val="auto"/>
              </w:rPr>
            </w:pPr>
          </w:p>
        </w:tc>
      </w:tr>
      <w:tr>
        <w:trPr>
          <w:trHeight w:val="217"/>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2018</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from 2016-2017 and prior thereto, from 2010-2016, Global Vice Chair, Professional Practice. Ms. Golz</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64</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w w:val="98"/>
              </w:rPr>
              <w:t>currently serves as senior advisor to The Boston Consulting Group’s Audit and Risk Committee, a role she</w:t>
            </w:r>
          </w:p>
        </w:tc>
        <w:tc>
          <w:tcPr>
            <w:tcW w:w="0" w:type="dxa"/>
            <w:vAlign w:val="bottom"/>
          </w:tcPr>
          <w:p>
            <w:pPr>
              <w:spacing w:after="0"/>
              <w:rPr>
                <w:sz w:val="1"/>
                <w:szCs w:val="1"/>
                <w:color w:val="auto"/>
              </w:rPr>
            </w:pPr>
          </w:p>
        </w:tc>
      </w:tr>
      <w:tr>
        <w:trPr>
          <w:trHeight w:val="142"/>
        </w:trPr>
        <w:tc>
          <w:tcPr>
            <w:tcW w:w="242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has held since 2017, and she sits on the Board of Trustees of the University of Illinois Foundation.</w:t>
            </w:r>
          </w:p>
        </w:tc>
        <w:tc>
          <w:tcPr>
            <w:tcW w:w="0" w:type="dxa"/>
            <w:vAlign w:val="bottom"/>
          </w:tcPr>
          <w:p>
            <w:pPr>
              <w:spacing w:after="0"/>
              <w:rPr>
                <w:sz w:val="1"/>
                <w:szCs w:val="1"/>
                <w:color w:val="auto"/>
              </w:rPr>
            </w:pPr>
          </w:p>
        </w:tc>
      </w:tr>
      <w:tr>
        <w:trPr>
          <w:trHeight w:val="97"/>
        </w:trPr>
        <w:tc>
          <w:tcPr>
            <w:tcW w:w="2420" w:type="dxa"/>
            <w:vAlign w:val="bottom"/>
            <w:tcBorders>
              <w:left w:val="single" w:sz="8" w:color="4C4C4C"/>
              <w:right w:val="single" w:sz="8" w:color="auto"/>
            </w:tcBorders>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8400" w:type="dxa"/>
            <w:vAlign w:val="bottom"/>
            <w:tcBorders>
              <w:right w:val="single" w:sz="8" w:color="4C4C4C"/>
            </w:tcBorders>
            <w:gridSpan w:val="2"/>
            <w:vMerge w:val="continue"/>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18"/>
                <w:szCs w:val="18"/>
                <w:color w:val="auto"/>
              </w:rPr>
            </w:pPr>
          </w:p>
        </w:tc>
        <w:tc>
          <w:tcPr>
            <w:tcW w:w="384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60" w:type="dxa"/>
            <w:vAlign w:val="bottom"/>
            <w:tcBorders>
              <w:right w:val="single" w:sz="8" w:color="4C4C4C"/>
            </w:tcBorders>
            <w:shd w:val="clear" w:color="auto" w:fill="E8EDF4"/>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11"/>
                <w:szCs w:val="11"/>
                <w:color w:val="auto"/>
              </w:rPr>
            </w:pPr>
          </w:p>
        </w:tc>
        <w:tc>
          <w:tcPr>
            <w:tcW w:w="3840" w:type="dxa"/>
            <w:vAlign w:val="bottom"/>
            <w:vMerge w:val="continue"/>
            <w:shd w:val="clear" w:color="auto" w:fill="E8EDF4"/>
          </w:tcPr>
          <w:p>
            <w:pPr>
              <w:spacing w:after="0"/>
              <w:rPr>
                <w:sz w:val="11"/>
                <w:szCs w:val="11"/>
                <w:color w:val="auto"/>
              </w:rPr>
            </w:pPr>
          </w:p>
        </w:tc>
        <w:tc>
          <w:tcPr>
            <w:tcW w:w="4560" w:type="dxa"/>
            <w:vAlign w:val="bottom"/>
            <w:tcBorders>
              <w:right w:val="single" w:sz="8" w:color="4C4C4C"/>
            </w:tcBorders>
            <w:shd w:val="clear" w:color="auto" w:fill="E8EDF4"/>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420" w:type="dxa"/>
            <w:vAlign w:val="bottom"/>
            <w:tcBorders>
              <w:left w:val="single" w:sz="8" w:color="4C4C4C"/>
              <w:right w:val="single" w:sz="8" w:color="auto"/>
            </w:tcBorders>
            <w:vMerge w:val="continue"/>
            <w:shd w:val="clear" w:color="auto" w:fill="052B82"/>
          </w:tcPr>
          <w:p>
            <w:pPr>
              <w:spacing w:after="0"/>
              <w:rPr>
                <w:sz w:val="9"/>
                <w:szCs w:val="9"/>
                <w:color w:val="auto"/>
              </w:rPr>
            </w:pPr>
          </w:p>
        </w:tc>
        <w:tc>
          <w:tcPr>
            <w:tcW w:w="100" w:type="dxa"/>
            <w:vAlign w:val="bottom"/>
            <w:shd w:val="clear" w:color="auto" w:fill="E8EDF4"/>
          </w:tcPr>
          <w:p>
            <w:pPr>
              <w:spacing w:after="0"/>
              <w:rPr>
                <w:sz w:val="9"/>
                <w:szCs w:val="9"/>
                <w:color w:val="auto"/>
              </w:rPr>
            </w:pPr>
          </w:p>
        </w:tc>
        <w:tc>
          <w:tcPr>
            <w:tcW w:w="8400" w:type="dxa"/>
            <w:vAlign w:val="bottom"/>
            <w:tcBorders>
              <w:right w:val="single" w:sz="8" w:color="4C4C4C"/>
            </w:tcBorders>
            <w:gridSpan w:val="2"/>
            <w:vMerge w:val="restart"/>
            <w:shd w:val="clear" w:color="auto" w:fill="E8EDF4"/>
          </w:tcPr>
          <w:p>
            <w:pPr>
              <w:spacing w:after="0"/>
              <w:rPr>
                <w:sz w:val="20"/>
                <w:szCs w:val="20"/>
                <w:color w:val="auto"/>
              </w:rPr>
            </w:pPr>
            <w:r>
              <w:rPr>
                <w:rFonts w:ascii="Arial" w:cs="Arial" w:eastAsia="Arial" w:hAnsi="Arial"/>
                <w:sz w:val="18"/>
                <w:szCs w:val="18"/>
                <w:color w:val="auto"/>
              </w:rPr>
              <w:t>We believe Ms. Golz’s qualifications to serve on our Board of Directors include her accounting and audit</w:t>
            </w:r>
          </w:p>
        </w:tc>
        <w:tc>
          <w:tcPr>
            <w:tcW w:w="0" w:type="dxa"/>
            <w:vAlign w:val="bottom"/>
          </w:tcPr>
          <w:p>
            <w:pPr>
              <w:spacing w:after="0"/>
              <w:rPr>
                <w:sz w:val="1"/>
                <w:szCs w:val="1"/>
                <w:color w:val="auto"/>
              </w:rPr>
            </w:pPr>
          </w:p>
        </w:tc>
      </w:tr>
      <w:tr>
        <w:trPr>
          <w:trHeight w:val="161"/>
        </w:trPr>
        <w:tc>
          <w:tcPr>
            <w:tcW w:w="2420" w:type="dxa"/>
            <w:vAlign w:val="bottom"/>
            <w:tcBorders>
              <w:left w:val="single" w:sz="8" w:color="4C4C4C"/>
              <w:right w:val="single" w:sz="8" w:color="auto"/>
            </w:tcBorders>
            <w:shd w:val="clear" w:color="auto" w:fill="052B82"/>
          </w:tcPr>
          <w:p>
            <w:pPr>
              <w:spacing w:after="0"/>
              <w:rPr>
                <w:sz w:val="14"/>
                <w:szCs w:val="14"/>
                <w:color w:val="auto"/>
              </w:rPr>
            </w:pPr>
          </w:p>
        </w:tc>
        <w:tc>
          <w:tcPr>
            <w:tcW w:w="100" w:type="dxa"/>
            <w:vAlign w:val="bottom"/>
            <w:shd w:val="clear" w:color="auto" w:fill="E8EDF4"/>
          </w:tcPr>
          <w:p>
            <w:pPr>
              <w:spacing w:after="0"/>
              <w:rPr>
                <w:sz w:val="14"/>
                <w:szCs w:val="14"/>
                <w:color w:val="auto"/>
              </w:rPr>
            </w:pPr>
          </w:p>
        </w:tc>
        <w:tc>
          <w:tcPr>
            <w:tcW w:w="8400" w:type="dxa"/>
            <w:vAlign w:val="bottom"/>
            <w:tcBorders>
              <w:right w:val="single" w:sz="8" w:color="4C4C4C"/>
            </w:tcBorders>
            <w:gridSpan w:val="2"/>
            <w:vMerge w:val="continue"/>
            <w:shd w:val="clear" w:color="auto" w:fill="E8EDF4"/>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expertise and extensive experience helping large organizations successfully navigate the complexities of</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international trade and regulation.</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2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6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2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3840" w:type="dxa"/>
            <w:vAlign w:val="bottom"/>
            <w:tcBorders>
              <w:bottom w:val="single" w:sz="8" w:color="4C4C4C"/>
            </w:tcBorders>
          </w:tcPr>
          <w:p>
            <w:pPr>
              <w:spacing w:after="0"/>
              <w:rPr>
                <w:sz w:val="16"/>
                <w:szCs w:val="16"/>
                <w:color w:val="auto"/>
              </w:rPr>
            </w:pPr>
          </w:p>
        </w:tc>
        <w:tc>
          <w:tcPr>
            <w:tcW w:w="456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Borders>
              <w:left w:val="single" w:sz="8" w:color="4C4C4C"/>
              <w:right w:val="single" w:sz="8" w:color="auto"/>
            </w:tcBorders>
            <w:shd w:val="clear" w:color="auto" w:fill="052B82"/>
          </w:tcPr>
          <w:p>
            <w:pPr>
              <w:ind w:left="220"/>
              <w:spacing w:after="0" w:line="238" w:lineRule="exact"/>
              <w:rPr>
                <w:sz w:val="20"/>
                <w:szCs w:val="20"/>
                <w:color w:val="auto"/>
              </w:rPr>
            </w:pPr>
            <w:r>
              <w:rPr>
                <w:rFonts w:ascii="Arial" w:cs="Arial" w:eastAsia="Arial" w:hAnsi="Arial"/>
                <w:sz w:val="21"/>
                <w:szCs w:val="21"/>
                <w:b w:val="1"/>
                <w:bCs w:val="1"/>
                <w:color w:val="FFFFFF"/>
              </w:rPr>
              <w:t>Mark M. Little</w:t>
            </w: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Dr. Little is the former Senior Vice President, GE Global Research and Chief Technology Officer of</w:t>
            </w:r>
          </w:p>
        </w:tc>
        <w:tc>
          <w:tcPr>
            <w:tcW w:w="0" w:type="dxa"/>
            <w:vAlign w:val="bottom"/>
          </w:tcPr>
          <w:p>
            <w:pPr>
              <w:spacing w:after="0"/>
              <w:rPr>
                <w:sz w:val="1"/>
                <w:szCs w:val="1"/>
                <w:color w:val="auto"/>
              </w:rPr>
            </w:pPr>
          </w:p>
        </w:tc>
      </w:tr>
      <w:tr>
        <w:trPr>
          <w:trHeight w:val="183"/>
        </w:trPr>
        <w:tc>
          <w:tcPr>
            <w:tcW w:w="242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General Electric Company, or GE, a global digital industrial company. Dr. Little joined GE in 1978, and</w:t>
            </w:r>
          </w:p>
        </w:tc>
        <w:tc>
          <w:tcPr>
            <w:tcW w:w="0" w:type="dxa"/>
            <w:vAlign w:val="bottom"/>
          </w:tcPr>
          <w:p>
            <w:pPr>
              <w:spacing w:after="0"/>
              <w:rPr>
                <w:sz w:val="1"/>
                <w:szCs w:val="1"/>
                <w:color w:val="auto"/>
              </w:rPr>
            </w:pPr>
          </w:p>
        </w:tc>
      </w:tr>
      <w:tr>
        <w:trPr>
          <w:trHeight w:val="217"/>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2017</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during his 37-year tenure, held management positions in engineering and business, culminating with his</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66</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most recent position, which he held from 2005 until 2015. In addition to his technology leadership,</w:t>
            </w:r>
          </w:p>
        </w:tc>
        <w:tc>
          <w:tcPr>
            <w:tcW w:w="0" w:type="dxa"/>
            <w:vAlign w:val="bottom"/>
          </w:tcPr>
          <w:p>
            <w:pPr>
              <w:spacing w:after="0"/>
              <w:rPr>
                <w:sz w:val="1"/>
                <w:szCs w:val="1"/>
                <w:color w:val="auto"/>
              </w:rPr>
            </w:pPr>
          </w:p>
        </w:tc>
      </w:tr>
      <w:tr>
        <w:trPr>
          <w:trHeight w:val="142"/>
        </w:trPr>
        <w:tc>
          <w:tcPr>
            <w:tcW w:w="242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line="201" w:lineRule="exact"/>
              <w:rPr>
                <w:sz w:val="20"/>
                <w:szCs w:val="20"/>
                <w:color w:val="auto"/>
              </w:rPr>
            </w:pPr>
            <w:r>
              <w:rPr>
                <w:rFonts w:ascii="Arial" w:cs="Arial" w:eastAsia="Arial" w:hAnsi="Arial"/>
                <w:sz w:val="18"/>
                <w:szCs w:val="18"/>
                <w:color w:val="auto"/>
              </w:rPr>
              <w:t>Dr. Little led several multi-billion dollar business units at GE, including GE Energy’s power-generation</w:t>
            </w:r>
          </w:p>
        </w:tc>
        <w:tc>
          <w:tcPr>
            <w:tcW w:w="0" w:type="dxa"/>
            <w:vAlign w:val="bottom"/>
          </w:tcPr>
          <w:p>
            <w:pPr>
              <w:spacing w:after="0"/>
              <w:rPr>
                <w:sz w:val="1"/>
                <w:szCs w:val="1"/>
                <w:color w:val="auto"/>
              </w:rPr>
            </w:pPr>
          </w:p>
        </w:tc>
      </w:tr>
      <w:tr>
        <w:trPr>
          <w:trHeight w:val="58"/>
        </w:trPr>
        <w:tc>
          <w:tcPr>
            <w:tcW w:w="2420" w:type="dxa"/>
            <w:vAlign w:val="bottom"/>
            <w:tcBorders>
              <w:left w:val="single" w:sz="8" w:color="4C4C4C"/>
              <w:right w:val="single" w:sz="8" w:color="auto"/>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400" w:type="dxa"/>
            <w:vAlign w:val="bottom"/>
            <w:tcBorders>
              <w:right w:val="single" w:sz="8" w:color="4C4C4C"/>
            </w:tcBorders>
            <w:gridSpan w:val="2"/>
            <w:vMerge w:val="continue"/>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2"/>
                <w:szCs w:val="22"/>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segment.</w:t>
            </w:r>
          </w:p>
        </w:tc>
        <w:tc>
          <w:tcPr>
            <w:tcW w:w="4560" w:type="dxa"/>
            <w:vAlign w:val="bottom"/>
            <w:tcBorders>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20"/>
                <w:szCs w:val="20"/>
                <w:color w:val="auto"/>
              </w:rPr>
            </w:pPr>
          </w:p>
        </w:tc>
        <w:tc>
          <w:tcPr>
            <w:tcW w:w="384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420" w:type="dxa"/>
            <w:vAlign w:val="bottom"/>
            <w:tcBorders>
              <w:left w:val="single" w:sz="8" w:color="4C4C4C"/>
              <w:right w:val="single" w:sz="8" w:color="auto"/>
            </w:tcBorders>
            <w:shd w:val="clear" w:color="auto" w:fill="052B82"/>
          </w:tcPr>
          <w:p>
            <w:pPr>
              <w:spacing w:after="0"/>
              <w:rPr>
                <w:sz w:val="7"/>
                <w:szCs w:val="7"/>
                <w:color w:val="auto"/>
              </w:rPr>
            </w:pPr>
          </w:p>
        </w:tc>
        <w:tc>
          <w:tcPr>
            <w:tcW w:w="100" w:type="dxa"/>
            <w:vAlign w:val="bottom"/>
            <w:shd w:val="clear" w:color="auto" w:fill="E8EDF4"/>
          </w:tcPr>
          <w:p>
            <w:pPr>
              <w:spacing w:after="0"/>
              <w:rPr>
                <w:sz w:val="7"/>
                <w:szCs w:val="7"/>
                <w:color w:val="auto"/>
              </w:rPr>
            </w:pPr>
          </w:p>
        </w:tc>
        <w:tc>
          <w:tcPr>
            <w:tcW w:w="3840" w:type="dxa"/>
            <w:vAlign w:val="bottom"/>
            <w:vMerge w:val="continue"/>
            <w:shd w:val="clear" w:color="auto" w:fill="E8EDF4"/>
          </w:tcPr>
          <w:p>
            <w:pPr>
              <w:spacing w:after="0"/>
              <w:rPr>
                <w:sz w:val="7"/>
                <w:szCs w:val="7"/>
                <w:color w:val="auto"/>
              </w:rPr>
            </w:pPr>
          </w:p>
        </w:tc>
        <w:tc>
          <w:tcPr>
            <w:tcW w:w="4560" w:type="dxa"/>
            <w:vAlign w:val="bottom"/>
            <w:tcBorders>
              <w:right w:val="single" w:sz="8" w:color="4C4C4C"/>
            </w:tcBorders>
            <w:shd w:val="clear" w:color="auto" w:fill="E8EDF4"/>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420" w:type="dxa"/>
            <w:vAlign w:val="bottom"/>
            <w:tcBorders>
              <w:left w:val="single" w:sz="8" w:color="4C4C4C"/>
              <w:right w:val="single" w:sz="8" w:color="auto"/>
            </w:tcBorders>
            <w:shd w:val="clear" w:color="auto" w:fill="052B82"/>
          </w:tcPr>
          <w:p>
            <w:pPr>
              <w:spacing w:after="0"/>
              <w:rPr>
                <w:sz w:val="23"/>
                <w:szCs w:val="23"/>
                <w:color w:val="auto"/>
              </w:rPr>
            </w:pPr>
          </w:p>
        </w:tc>
        <w:tc>
          <w:tcPr>
            <w:tcW w:w="100" w:type="dxa"/>
            <w:vAlign w:val="bottom"/>
            <w:shd w:val="clear" w:color="auto" w:fill="E8EDF4"/>
          </w:tcPr>
          <w:p>
            <w:pPr>
              <w:spacing w:after="0"/>
              <w:rPr>
                <w:sz w:val="23"/>
                <w:szCs w:val="23"/>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Dr. Little’s qualifications to serve on our Board of Directors include his extensive leadership</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experience in a global technology company, combined with his experience driving change and innovation</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through GE’s various phases of business transformation.</w:t>
            </w:r>
          </w:p>
        </w:tc>
        <w:tc>
          <w:tcPr>
            <w:tcW w:w="0" w:type="dxa"/>
            <w:vAlign w:val="bottom"/>
          </w:tcPr>
          <w:p>
            <w:pPr>
              <w:spacing w:after="0"/>
              <w:rPr>
                <w:sz w:val="1"/>
                <w:szCs w:val="1"/>
                <w:color w:val="auto"/>
              </w:rPr>
            </w:pPr>
          </w:p>
        </w:tc>
      </w:tr>
      <w:tr>
        <w:trPr>
          <w:trHeight w:val="330"/>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None</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2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6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2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3840" w:type="dxa"/>
            <w:vAlign w:val="bottom"/>
            <w:tcBorders>
              <w:bottom w:val="single" w:sz="8" w:color="4C4C4C"/>
            </w:tcBorders>
          </w:tcPr>
          <w:p>
            <w:pPr>
              <w:spacing w:after="0"/>
              <w:rPr>
                <w:sz w:val="16"/>
                <w:szCs w:val="16"/>
                <w:color w:val="auto"/>
              </w:rPr>
            </w:pPr>
          </w:p>
        </w:tc>
        <w:tc>
          <w:tcPr>
            <w:tcW w:w="456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Borders>
              <w:left w:val="single" w:sz="8" w:color="4C4C4C"/>
              <w:right w:val="single" w:sz="8" w:color="auto"/>
            </w:tcBorders>
            <w:shd w:val="clear" w:color="auto" w:fill="052B82"/>
          </w:tcPr>
          <w:p>
            <w:pPr>
              <w:ind w:left="220"/>
              <w:spacing w:after="0" w:line="238" w:lineRule="exact"/>
              <w:rPr>
                <w:sz w:val="20"/>
                <w:szCs w:val="20"/>
                <w:color w:val="auto"/>
              </w:rPr>
            </w:pPr>
            <w:r>
              <w:rPr>
                <w:rFonts w:ascii="Arial" w:cs="Arial" w:eastAsia="Arial" w:hAnsi="Arial"/>
                <w:sz w:val="21"/>
                <w:szCs w:val="21"/>
                <w:b w:val="1"/>
                <w:bCs w:val="1"/>
                <w:color w:val="FFFFFF"/>
              </w:rPr>
              <w:t>Neil Novich</w:t>
            </w: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w w:val="99"/>
              </w:rPr>
              <w:t>Mr. Novich is the former Chairman, President and Chief Executive Officer of Ryerson Inc., a global metals</w:t>
            </w:r>
          </w:p>
        </w:tc>
        <w:tc>
          <w:tcPr>
            <w:tcW w:w="0" w:type="dxa"/>
            <w:vAlign w:val="bottom"/>
          </w:tcPr>
          <w:p>
            <w:pPr>
              <w:spacing w:after="0"/>
              <w:rPr>
                <w:sz w:val="1"/>
                <w:szCs w:val="1"/>
                <w:color w:val="auto"/>
              </w:rPr>
            </w:pPr>
          </w:p>
        </w:tc>
      </w:tr>
      <w:tr>
        <w:trPr>
          <w:trHeight w:val="183"/>
        </w:trPr>
        <w:tc>
          <w:tcPr>
            <w:tcW w:w="242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distributor and fabricator. He joined Ryerson in 1994 as Chief Operating Officer and served in that role</w:t>
            </w:r>
          </w:p>
        </w:tc>
        <w:tc>
          <w:tcPr>
            <w:tcW w:w="0" w:type="dxa"/>
            <w:vAlign w:val="bottom"/>
          </w:tcPr>
          <w:p>
            <w:pPr>
              <w:spacing w:after="0"/>
              <w:rPr>
                <w:sz w:val="1"/>
                <w:szCs w:val="1"/>
                <w:color w:val="auto"/>
              </w:rPr>
            </w:pPr>
          </w:p>
        </w:tc>
      </w:tr>
      <w:tr>
        <w:trPr>
          <w:trHeight w:val="217"/>
        </w:trPr>
        <w:tc>
          <w:tcPr>
            <w:tcW w:w="2420" w:type="dxa"/>
            <w:vAlign w:val="bottom"/>
            <w:tcBorders>
              <w:left w:val="single" w:sz="8" w:color="4C4C4C"/>
              <w:right w:val="single" w:sz="8" w:color="auto"/>
            </w:tcBorders>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2008</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until 1999 when he was named Chairman, President and Chief Executive Officer, a position he held</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64</w:t>
            </w: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through 2007. Prior to that, he was a partner at Bain &amp; Company, an international consulting firm.</w:t>
            </w:r>
          </w:p>
        </w:tc>
        <w:tc>
          <w:tcPr>
            <w:tcW w:w="0" w:type="dxa"/>
            <w:vAlign w:val="bottom"/>
          </w:tcPr>
          <w:p>
            <w:pPr>
              <w:spacing w:after="0"/>
              <w:rPr>
                <w:sz w:val="1"/>
                <w:szCs w:val="1"/>
                <w:color w:val="auto"/>
              </w:rPr>
            </w:pPr>
          </w:p>
        </w:tc>
      </w:tr>
      <w:tr>
        <w:trPr>
          <w:trHeight w:val="103"/>
        </w:trPr>
        <w:tc>
          <w:tcPr>
            <w:tcW w:w="2420" w:type="dxa"/>
            <w:vAlign w:val="bottom"/>
            <w:tcBorders>
              <w:left w:val="single" w:sz="8" w:color="4C4C4C"/>
              <w:right w:val="single" w:sz="8" w:color="auto"/>
            </w:tcBorders>
            <w:vMerge w:val="continue"/>
            <w:shd w:val="clear" w:color="auto" w:fill="052B82"/>
          </w:tcPr>
          <w:p>
            <w:pPr>
              <w:spacing w:after="0"/>
              <w:rPr>
                <w:sz w:val="8"/>
                <w:szCs w:val="8"/>
                <w:color w:val="auto"/>
              </w:rPr>
            </w:pPr>
          </w:p>
        </w:tc>
        <w:tc>
          <w:tcPr>
            <w:tcW w:w="100" w:type="dxa"/>
            <w:vAlign w:val="bottom"/>
            <w:shd w:val="clear" w:color="auto" w:fill="E8EDF4"/>
          </w:tcPr>
          <w:p>
            <w:pPr>
              <w:spacing w:after="0"/>
              <w:rPr>
                <w:sz w:val="8"/>
                <w:szCs w:val="8"/>
                <w:color w:val="auto"/>
              </w:rPr>
            </w:pPr>
          </w:p>
        </w:tc>
        <w:tc>
          <w:tcPr>
            <w:tcW w:w="3840" w:type="dxa"/>
            <w:vAlign w:val="bottom"/>
            <w:vMerge w:val="restart"/>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60" w:type="dxa"/>
            <w:vAlign w:val="bottom"/>
            <w:tcBorders>
              <w:right w:val="single" w:sz="8" w:color="4C4C4C"/>
            </w:tcBorders>
            <w:shd w:val="clear" w:color="auto" w:fill="E8EDF4"/>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2420" w:type="dxa"/>
            <w:vAlign w:val="bottom"/>
            <w:tcBorders>
              <w:left w:val="single" w:sz="8" w:color="4C4C4C"/>
              <w:right w:val="single" w:sz="8" w:color="auto"/>
            </w:tcBorders>
            <w:vMerge w:val="restart"/>
            <w:shd w:val="clear" w:color="auto" w:fill="052B82"/>
          </w:tcPr>
          <w:p>
            <w:pPr>
              <w:ind w:left="22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0"/>
                <w:szCs w:val="20"/>
                <w:color w:val="auto"/>
              </w:rPr>
            </w:pPr>
          </w:p>
        </w:tc>
        <w:tc>
          <w:tcPr>
            <w:tcW w:w="3840" w:type="dxa"/>
            <w:vAlign w:val="bottom"/>
            <w:vMerge w:val="continue"/>
            <w:shd w:val="clear" w:color="auto" w:fill="E8EDF4"/>
          </w:tcPr>
          <w:p>
            <w:pPr>
              <w:spacing w:after="0"/>
              <w:rPr>
                <w:sz w:val="20"/>
                <w:szCs w:val="20"/>
                <w:color w:val="auto"/>
              </w:rPr>
            </w:pP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420" w:type="dxa"/>
            <w:vAlign w:val="bottom"/>
            <w:tcBorders>
              <w:left w:val="single" w:sz="8" w:color="4C4C4C"/>
              <w:right w:val="single" w:sz="8" w:color="auto"/>
            </w:tcBorders>
            <w:vMerge w:val="continue"/>
            <w:shd w:val="clear" w:color="auto" w:fill="052B82"/>
          </w:tcPr>
          <w:p>
            <w:pPr>
              <w:spacing w:after="0"/>
              <w:rPr>
                <w:sz w:val="6"/>
                <w:szCs w:val="6"/>
                <w:color w:val="auto"/>
              </w:rPr>
            </w:pPr>
          </w:p>
        </w:tc>
        <w:tc>
          <w:tcPr>
            <w:tcW w:w="100" w:type="dxa"/>
            <w:vAlign w:val="bottom"/>
            <w:shd w:val="clear" w:color="auto" w:fill="E8EDF4"/>
          </w:tcPr>
          <w:p>
            <w:pPr>
              <w:spacing w:after="0"/>
              <w:rPr>
                <w:sz w:val="6"/>
                <w:szCs w:val="6"/>
                <w:color w:val="auto"/>
              </w:rPr>
            </w:pPr>
          </w:p>
        </w:tc>
        <w:tc>
          <w:tcPr>
            <w:tcW w:w="3840" w:type="dxa"/>
            <w:vAlign w:val="bottom"/>
            <w:shd w:val="clear" w:color="auto" w:fill="E8EDF4"/>
          </w:tcPr>
          <w:p>
            <w:pPr>
              <w:spacing w:after="0"/>
              <w:rPr>
                <w:sz w:val="6"/>
                <w:szCs w:val="6"/>
                <w:color w:val="auto"/>
              </w:rPr>
            </w:pPr>
          </w:p>
        </w:tc>
        <w:tc>
          <w:tcPr>
            <w:tcW w:w="4560" w:type="dxa"/>
            <w:vAlign w:val="bottom"/>
            <w:tcBorders>
              <w:right w:val="single" w:sz="8" w:color="4C4C4C"/>
            </w:tcBorders>
            <w:shd w:val="clear" w:color="auto" w:fill="E8EDF4"/>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ind w:left="220"/>
              <w:spacing w:after="0" w:line="201" w:lineRule="exact"/>
              <w:rPr>
                <w:sz w:val="20"/>
                <w:szCs w:val="20"/>
                <w:color w:val="auto"/>
              </w:rPr>
            </w:pPr>
            <w:r>
              <w:rPr>
                <w:rFonts w:ascii="Arial" w:cs="Arial" w:eastAsia="Arial" w:hAnsi="Arial"/>
                <w:sz w:val="18"/>
                <w:szCs w:val="18"/>
                <w:color w:val="FFFFFF"/>
              </w:rPr>
              <w:t>Compensation</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w w:val="99"/>
              </w:rPr>
              <w:t>We believe Mr. Novich’s qualifications to serve on our Board of Directors include his experience as a chief</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executive officer leading a complex global organization, combined with his broad operational and</w:t>
            </w: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corporate governance expertise.</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2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3840" w:type="dxa"/>
            <w:vAlign w:val="bottom"/>
            <w:shd w:val="clear" w:color="auto" w:fill="E8EDF4"/>
          </w:tcPr>
          <w:p>
            <w:pPr>
              <w:spacing w:after="0" w:line="201" w:lineRule="exact"/>
              <w:rPr>
                <w:sz w:val="20"/>
                <w:szCs w:val="20"/>
                <w:color w:val="auto"/>
              </w:rPr>
            </w:pPr>
            <w:r>
              <w:rPr>
                <w:rFonts w:ascii="Arial" w:cs="Arial" w:eastAsia="Arial" w:hAnsi="Arial"/>
                <w:sz w:val="18"/>
                <w:szCs w:val="18"/>
                <w:color w:val="auto"/>
              </w:rPr>
              <w:t>W.W. Grainger, Inc.</w:t>
            </w:r>
          </w:p>
        </w:tc>
        <w:tc>
          <w:tcPr>
            <w:tcW w:w="4560" w:type="dxa"/>
            <w:vAlign w:val="bottom"/>
            <w:tcBorders>
              <w:right w:val="single" w:sz="8" w:color="4C4C4C"/>
            </w:tcBorders>
            <w:shd w:val="clear" w:color="auto" w:fill="E8EDF4"/>
          </w:tcPr>
          <w:p>
            <w:pPr>
              <w:ind w:left="340"/>
              <w:spacing w:after="0" w:line="201"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0"/>
        </w:trPr>
        <w:tc>
          <w:tcPr>
            <w:tcW w:w="242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3840" w:type="dxa"/>
            <w:vAlign w:val="bottom"/>
            <w:shd w:val="clear" w:color="auto" w:fill="E8EDF4"/>
          </w:tcPr>
          <w:p>
            <w:pPr>
              <w:spacing w:after="0" w:line="201" w:lineRule="exact"/>
              <w:rPr>
                <w:sz w:val="20"/>
                <w:szCs w:val="20"/>
                <w:color w:val="auto"/>
              </w:rPr>
            </w:pPr>
            <w:r>
              <w:rPr>
                <w:rFonts w:ascii="Arial" w:cs="Arial" w:eastAsia="Arial" w:hAnsi="Arial"/>
                <w:sz w:val="18"/>
                <w:szCs w:val="18"/>
                <w:color w:val="auto"/>
              </w:rPr>
              <w:t>Hillenbrand, Inc.</w:t>
            </w:r>
          </w:p>
        </w:tc>
        <w:tc>
          <w:tcPr>
            <w:tcW w:w="4560" w:type="dxa"/>
            <w:vAlign w:val="bottom"/>
            <w:tcBorders>
              <w:right w:val="single" w:sz="8" w:color="4C4C4C"/>
            </w:tcBorders>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Beacon Roofing Supply, Inc.</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42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6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420" w:type="dxa"/>
            <w:vAlign w:val="bottom"/>
          </w:tcPr>
          <w:p>
            <w:pPr>
              <w:spacing w:after="0"/>
              <w:rPr>
                <w:sz w:val="20"/>
                <w:szCs w:val="20"/>
                <w:color w:val="auto"/>
              </w:rPr>
            </w:pPr>
            <w:r>
              <w:rPr>
                <w:rFonts w:ascii="Arial" w:cs="Arial" w:eastAsia="Arial" w:hAnsi="Arial"/>
                <w:sz w:val="18"/>
                <w:szCs w:val="18"/>
                <w:color w:val="999999"/>
              </w:rPr>
              <w:t xml:space="preserve">22  </w:t>
            </w:r>
            <w:r>
              <w:rPr>
                <w:rFonts w:ascii="Arial" w:cs="Arial" w:eastAsia="Arial" w:hAnsi="Arial"/>
                <w:sz w:val="14"/>
                <w:szCs w:val="14"/>
                <w:b w:val="1"/>
                <w:bCs w:val="1"/>
                <w:color w:val="052B82"/>
              </w:rPr>
              <w:t>Analog Devices, Inc.</w:t>
            </w: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3"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90" w:type="dxa"/>
        <w:tblCellMar>
          <w:top w:w="0" w:type="dxa"/>
          <w:left w:w="0" w:type="dxa"/>
          <w:bottom w:w="0" w:type="dxa"/>
          <w:right w:w="0" w:type="dxa"/>
        </w:tblCellMar>
      </w:tblPr>
      <w:tr>
        <w:trPr>
          <w:trHeight w:val="258"/>
        </w:trPr>
        <w:tc>
          <w:tcPr>
            <w:tcW w:w="2400" w:type="dxa"/>
            <w:vAlign w:val="bottom"/>
            <w:tcBorders>
              <w:top w:val="single" w:sz="8" w:color="4C4C4C"/>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21"/>
                <w:szCs w:val="21"/>
                <w:b w:val="1"/>
                <w:bCs w:val="1"/>
                <w:color w:val="FFFFFF"/>
              </w:rPr>
              <w:t>Kenton J. Sicchitano</w:t>
            </w:r>
          </w:p>
        </w:tc>
        <w:tc>
          <w:tcPr>
            <w:tcW w:w="100" w:type="dxa"/>
            <w:vAlign w:val="bottom"/>
            <w:tcBorders>
              <w:top w:val="single" w:sz="8" w:color="4C4C4C"/>
            </w:tcBorders>
            <w:shd w:val="clear" w:color="auto" w:fill="E8EDF4"/>
          </w:tcPr>
          <w:p>
            <w:pPr>
              <w:spacing w:after="0"/>
              <w:rPr>
                <w:sz w:val="22"/>
                <w:szCs w:val="22"/>
                <w:color w:val="auto"/>
              </w:rPr>
            </w:pPr>
          </w:p>
        </w:tc>
        <w:tc>
          <w:tcPr>
            <w:tcW w:w="3840" w:type="dxa"/>
            <w:vAlign w:val="bottom"/>
            <w:tcBorders>
              <w:top w:val="single" w:sz="8" w:color="4C4C4C"/>
            </w:tcBorders>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60" w:type="dxa"/>
            <w:vAlign w:val="bottom"/>
            <w:tcBorders>
              <w:top w:val="single" w:sz="8" w:color="4C4C4C"/>
              <w:right w:val="single" w:sz="8" w:color="4C4C4C"/>
            </w:tcBorders>
            <w:shd w:val="clear" w:color="auto" w:fill="E8EDF4"/>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Mr. Sicchitano retired from PricewaterhouseCoopers LLP, or PwC, a public accounting firm, in July 2001.</w:t>
            </w:r>
          </w:p>
        </w:tc>
        <w:tc>
          <w:tcPr>
            <w:tcW w:w="0" w:type="dxa"/>
            <w:vAlign w:val="bottom"/>
          </w:tcPr>
          <w:p>
            <w:pPr>
              <w:spacing w:after="0"/>
              <w:rPr>
                <w:sz w:val="1"/>
                <w:szCs w:val="1"/>
                <w:color w:val="auto"/>
              </w:rPr>
            </w:pPr>
          </w:p>
        </w:tc>
      </w:tr>
      <w:tr>
        <w:trPr>
          <w:trHeight w:val="183"/>
        </w:trPr>
        <w:tc>
          <w:tcPr>
            <w:tcW w:w="240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At the time of his retirement, Mr. Sicchitano was the Global Managing Partner of Independence and</w:t>
            </w: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2003</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Regulatory Matters for PwC. Mr. Sicchitano joined Price Waterhouse LLP, a predecessor firm of PwC, in</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74</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1970 and became a partner in 1979. During his 31-year tenure with PwC, Mr. Sicchitano held various</w:t>
            </w:r>
          </w:p>
        </w:tc>
        <w:tc>
          <w:tcPr>
            <w:tcW w:w="0" w:type="dxa"/>
            <w:vAlign w:val="bottom"/>
          </w:tcPr>
          <w:p>
            <w:pPr>
              <w:spacing w:after="0"/>
              <w:rPr>
                <w:sz w:val="1"/>
                <w:szCs w:val="1"/>
                <w:color w:val="auto"/>
              </w:rPr>
            </w:pPr>
          </w:p>
        </w:tc>
      </w:tr>
      <w:tr>
        <w:trPr>
          <w:trHeight w:val="142"/>
        </w:trPr>
        <w:tc>
          <w:tcPr>
            <w:tcW w:w="240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line="201" w:lineRule="exact"/>
              <w:rPr>
                <w:sz w:val="20"/>
                <w:szCs w:val="20"/>
                <w:color w:val="auto"/>
              </w:rPr>
            </w:pPr>
            <w:r>
              <w:rPr>
                <w:rFonts w:ascii="Arial" w:cs="Arial" w:eastAsia="Arial" w:hAnsi="Arial"/>
                <w:sz w:val="18"/>
                <w:szCs w:val="18"/>
                <w:color w:val="auto"/>
              </w:rPr>
              <w:t>positions including the Global Managing Partner of Audit/Business Advisory Services and the Global</w:t>
            </w:r>
          </w:p>
        </w:tc>
        <w:tc>
          <w:tcPr>
            <w:tcW w:w="0" w:type="dxa"/>
            <w:vAlign w:val="bottom"/>
          </w:tcPr>
          <w:p>
            <w:pPr>
              <w:spacing w:after="0"/>
              <w:rPr>
                <w:sz w:val="1"/>
                <w:szCs w:val="1"/>
                <w:color w:val="auto"/>
              </w:rPr>
            </w:pPr>
          </w:p>
        </w:tc>
      </w:tr>
      <w:tr>
        <w:trPr>
          <w:trHeight w:val="58"/>
        </w:trPr>
        <w:tc>
          <w:tcPr>
            <w:tcW w:w="2400" w:type="dxa"/>
            <w:vAlign w:val="bottom"/>
            <w:tcBorders>
              <w:left w:val="single" w:sz="8" w:color="4C4C4C"/>
              <w:right w:val="single" w:sz="8" w:color="auto"/>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400" w:type="dxa"/>
            <w:vAlign w:val="bottom"/>
            <w:tcBorders>
              <w:right w:val="single" w:sz="8" w:color="4C4C4C"/>
            </w:tcBorders>
            <w:gridSpan w:val="2"/>
            <w:vMerge w:val="continue"/>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2"/>
                <w:szCs w:val="22"/>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Managing Partner responsible for Audit/Business Advisory, Tax and Financial Advisory Services.</w:t>
            </w:r>
          </w:p>
        </w:tc>
        <w:tc>
          <w:tcPr>
            <w:tcW w:w="0" w:type="dxa"/>
            <w:vAlign w:val="bottom"/>
          </w:tcPr>
          <w:p>
            <w:pPr>
              <w:spacing w:after="0"/>
              <w:rPr>
                <w:sz w:val="1"/>
                <w:szCs w:val="1"/>
                <w:color w:val="auto"/>
              </w:rPr>
            </w:pPr>
          </w:p>
        </w:tc>
      </w:tr>
      <w:tr>
        <w:trPr>
          <w:trHeight w:val="289"/>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color w:val="FFFFFF"/>
              </w:rPr>
              <w:t>Audit</w:t>
            </w: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We believe Mr. Sicchitano’s qualifications to serve on our Board of Directors include his extensive</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experience with public and financial accounting matters for complex global organizations.</w:t>
            </w:r>
          </w:p>
        </w:tc>
        <w:tc>
          <w:tcPr>
            <w:tcW w:w="0" w:type="dxa"/>
            <w:vAlign w:val="bottom"/>
          </w:tcPr>
          <w:p>
            <w:pPr>
              <w:spacing w:after="0"/>
              <w:rPr>
                <w:sz w:val="1"/>
                <w:szCs w:val="1"/>
                <w:color w:val="auto"/>
              </w:rPr>
            </w:pPr>
          </w:p>
        </w:tc>
      </w:tr>
      <w:tr>
        <w:trPr>
          <w:trHeight w:val="290"/>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Borders>
              <w:left w:val="single" w:sz="8" w:color="4C4C4C"/>
              <w:right w:val="single" w:sz="8" w:color="auto"/>
            </w:tcBorders>
            <w:shd w:val="clear" w:color="auto" w:fill="052B82"/>
          </w:tcPr>
          <w:p>
            <w:pPr>
              <w:spacing w:after="0"/>
              <w:rPr>
                <w:sz w:val="21"/>
                <w:szCs w:val="21"/>
                <w:color w:val="auto"/>
              </w:rPr>
            </w:pPr>
          </w:p>
        </w:tc>
        <w:tc>
          <w:tcPr>
            <w:tcW w:w="100" w:type="dxa"/>
            <w:vAlign w:val="bottom"/>
            <w:shd w:val="clear" w:color="auto" w:fill="E8EDF4"/>
          </w:tcPr>
          <w:p>
            <w:pPr>
              <w:spacing w:after="0"/>
              <w:rPr>
                <w:sz w:val="21"/>
                <w:szCs w:val="21"/>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3840" w:type="dxa"/>
            <w:vAlign w:val="bottom"/>
            <w:shd w:val="clear" w:color="auto" w:fill="E8EDF4"/>
          </w:tcPr>
          <w:p>
            <w:pPr>
              <w:spacing w:after="0" w:line="201" w:lineRule="exact"/>
              <w:rPr>
                <w:sz w:val="20"/>
                <w:szCs w:val="20"/>
                <w:color w:val="auto"/>
              </w:rPr>
            </w:pPr>
            <w:r>
              <w:rPr>
                <w:rFonts w:ascii="Arial" w:cs="Arial" w:eastAsia="Arial" w:hAnsi="Arial"/>
                <w:sz w:val="18"/>
                <w:szCs w:val="18"/>
                <w:color w:val="auto"/>
              </w:rPr>
              <w:t>None</w:t>
            </w:r>
          </w:p>
        </w:tc>
        <w:tc>
          <w:tcPr>
            <w:tcW w:w="4560" w:type="dxa"/>
            <w:vAlign w:val="bottom"/>
            <w:tcBorders>
              <w:right w:val="single" w:sz="8" w:color="4C4C4C"/>
            </w:tcBorders>
            <w:shd w:val="clear" w:color="auto" w:fill="E8EDF4"/>
          </w:tcPr>
          <w:p>
            <w:pPr>
              <w:ind w:left="340"/>
              <w:spacing w:after="0" w:line="201" w:lineRule="exact"/>
              <w:rPr>
                <w:sz w:val="20"/>
                <w:szCs w:val="20"/>
                <w:color w:val="auto"/>
              </w:rPr>
            </w:pPr>
            <w:r>
              <w:rPr>
                <w:rFonts w:ascii="Arial" w:cs="Arial" w:eastAsia="Arial" w:hAnsi="Arial"/>
                <w:sz w:val="18"/>
                <w:szCs w:val="18"/>
                <w:color w:val="auto"/>
              </w:rPr>
              <w:t>PerkinElmer, Inc. (until 2017)</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color w:val="auto"/>
              </w:rPr>
              <w:t>Metlife, Inc. (until 2017)</w:t>
            </w:r>
          </w:p>
        </w:tc>
        <w:tc>
          <w:tcPr>
            <w:tcW w:w="0" w:type="dxa"/>
            <w:vAlign w:val="bottom"/>
          </w:tcPr>
          <w:p>
            <w:pPr>
              <w:spacing w:after="0"/>
              <w:rPr>
                <w:sz w:val="1"/>
                <w:szCs w:val="1"/>
                <w:color w:val="auto"/>
              </w:rPr>
            </w:pPr>
          </w:p>
        </w:tc>
      </w:tr>
      <w:tr>
        <w:trPr>
          <w:trHeight w:val="64"/>
        </w:trPr>
        <w:tc>
          <w:tcPr>
            <w:tcW w:w="240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6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400" w:type="dxa"/>
            <w:vAlign w:val="bottom"/>
            <w:tcBorders>
              <w:bottom w:val="single" w:sz="8" w:color="4C4C4C"/>
            </w:tcBorders>
          </w:tcPr>
          <w:p>
            <w:pPr>
              <w:spacing w:after="0"/>
              <w:rPr>
                <w:sz w:val="16"/>
                <w:szCs w:val="16"/>
                <w:color w:val="auto"/>
              </w:rPr>
            </w:pPr>
          </w:p>
        </w:tc>
        <w:tc>
          <w:tcPr>
            <w:tcW w:w="100" w:type="dxa"/>
            <w:vAlign w:val="bottom"/>
            <w:tcBorders>
              <w:bottom w:val="single" w:sz="8" w:color="4C4C4C"/>
            </w:tcBorders>
          </w:tcPr>
          <w:p>
            <w:pPr>
              <w:spacing w:after="0"/>
              <w:rPr>
                <w:sz w:val="16"/>
                <w:szCs w:val="16"/>
                <w:color w:val="auto"/>
              </w:rPr>
            </w:pPr>
          </w:p>
        </w:tc>
        <w:tc>
          <w:tcPr>
            <w:tcW w:w="3840" w:type="dxa"/>
            <w:vAlign w:val="bottom"/>
            <w:tcBorders>
              <w:bottom w:val="single" w:sz="8" w:color="4C4C4C"/>
            </w:tcBorders>
          </w:tcPr>
          <w:p>
            <w:pPr>
              <w:spacing w:after="0"/>
              <w:rPr>
                <w:sz w:val="16"/>
                <w:szCs w:val="16"/>
                <w:color w:val="auto"/>
              </w:rPr>
            </w:pPr>
          </w:p>
        </w:tc>
        <w:tc>
          <w:tcPr>
            <w:tcW w:w="4560" w:type="dxa"/>
            <w:vAlign w:val="bottom"/>
            <w:tcBorders>
              <w:bottom w:val="single" w:sz="8" w:color="4C4C4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0" w:type="dxa"/>
            <w:vAlign w:val="bottom"/>
            <w:tcBorders>
              <w:left w:val="single" w:sz="8" w:color="4C4C4C"/>
              <w:right w:val="single" w:sz="8" w:color="auto"/>
            </w:tcBorders>
            <w:shd w:val="clear" w:color="auto" w:fill="052B82"/>
          </w:tcPr>
          <w:p>
            <w:pPr>
              <w:ind w:left="200"/>
              <w:spacing w:after="0" w:line="238" w:lineRule="exact"/>
              <w:rPr>
                <w:sz w:val="20"/>
                <w:szCs w:val="20"/>
                <w:color w:val="auto"/>
              </w:rPr>
            </w:pPr>
            <w:r>
              <w:rPr>
                <w:rFonts w:ascii="Arial" w:cs="Arial" w:eastAsia="Arial" w:hAnsi="Arial"/>
                <w:sz w:val="21"/>
                <w:szCs w:val="21"/>
                <w:b w:val="1"/>
                <w:bCs w:val="1"/>
                <w:color w:val="FFFFFF"/>
              </w:rPr>
              <w:t>Lisa T. Su</w:t>
            </w: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Professional Experience and Background</w:t>
            </w:r>
          </w:p>
        </w:tc>
        <w:tc>
          <w:tcPr>
            <w:tcW w:w="4560" w:type="dxa"/>
            <w:vAlign w:val="bottom"/>
            <w:tcBorders>
              <w:right w:val="single" w:sz="8" w:color="4C4C4C"/>
            </w:tcBorders>
            <w:shd w:val="clear" w:color="auto" w:fill="E8EDF4"/>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Independent</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Dr. Su has served as President and Chief Executive Officer of Advanced Micro Devices, Inc., or AMD, a</w:t>
            </w:r>
          </w:p>
        </w:tc>
        <w:tc>
          <w:tcPr>
            <w:tcW w:w="0" w:type="dxa"/>
            <w:vAlign w:val="bottom"/>
          </w:tcPr>
          <w:p>
            <w:pPr>
              <w:spacing w:after="0"/>
              <w:rPr>
                <w:sz w:val="1"/>
                <w:szCs w:val="1"/>
                <w:color w:val="auto"/>
              </w:rPr>
            </w:pPr>
          </w:p>
        </w:tc>
      </w:tr>
      <w:tr>
        <w:trPr>
          <w:trHeight w:val="183"/>
        </w:trPr>
        <w:tc>
          <w:tcPr>
            <w:tcW w:w="2400" w:type="dxa"/>
            <w:vAlign w:val="bottom"/>
            <w:tcBorders>
              <w:left w:val="single" w:sz="8" w:color="4C4C4C"/>
              <w:right w:val="single" w:sz="8" w:color="auto"/>
            </w:tcBorders>
            <w:vMerge w:val="continue"/>
            <w:shd w:val="clear" w:color="auto" w:fill="052B82"/>
          </w:tcPr>
          <w:p>
            <w:pPr>
              <w:spacing w:after="0"/>
              <w:rPr>
                <w:sz w:val="15"/>
                <w:szCs w:val="15"/>
                <w:color w:val="auto"/>
              </w:rPr>
            </w:pPr>
          </w:p>
        </w:tc>
        <w:tc>
          <w:tcPr>
            <w:tcW w:w="100" w:type="dxa"/>
            <w:vAlign w:val="bottom"/>
            <w:shd w:val="clear" w:color="auto" w:fill="E8EDF4"/>
          </w:tcPr>
          <w:p>
            <w:pPr>
              <w:spacing w:after="0"/>
              <w:rPr>
                <w:sz w:val="15"/>
                <w:szCs w:val="15"/>
                <w:color w:val="auto"/>
              </w:rPr>
            </w:pPr>
          </w:p>
        </w:tc>
        <w:tc>
          <w:tcPr>
            <w:tcW w:w="8400" w:type="dxa"/>
            <w:vAlign w:val="bottom"/>
            <w:tcBorders>
              <w:right w:val="single" w:sz="8" w:color="4C4C4C"/>
            </w:tcBorders>
            <w:gridSpan w:val="2"/>
            <w:shd w:val="clear" w:color="auto" w:fill="E8EDF4"/>
          </w:tcPr>
          <w:p>
            <w:pPr>
              <w:spacing w:after="0" w:line="183" w:lineRule="exact"/>
              <w:rPr>
                <w:sz w:val="20"/>
                <w:szCs w:val="20"/>
                <w:color w:val="auto"/>
              </w:rPr>
            </w:pPr>
            <w:r>
              <w:rPr>
                <w:rFonts w:ascii="Arial" w:cs="Arial" w:eastAsia="Arial" w:hAnsi="Arial"/>
                <w:sz w:val="18"/>
                <w:szCs w:val="18"/>
                <w:color w:val="auto"/>
              </w:rPr>
              <w:t>semiconductor manufacturer, since October 2014. Previously she served at AMD as Senior Vice</w:t>
            </w:r>
          </w:p>
        </w:tc>
        <w:tc>
          <w:tcPr>
            <w:tcW w:w="0" w:type="dxa"/>
            <w:vAlign w:val="bottom"/>
          </w:tcPr>
          <w:p>
            <w:pPr>
              <w:spacing w:after="0"/>
              <w:rPr>
                <w:sz w:val="1"/>
                <w:szCs w:val="1"/>
                <w:color w:val="auto"/>
              </w:rPr>
            </w:pPr>
          </w:p>
        </w:tc>
      </w:tr>
      <w:tr>
        <w:trPr>
          <w:trHeight w:val="217"/>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Director since: </w:t>
            </w:r>
            <w:r>
              <w:rPr>
                <w:rFonts w:ascii="Arial" w:cs="Arial" w:eastAsia="Arial" w:hAnsi="Arial"/>
                <w:sz w:val="18"/>
                <w:szCs w:val="18"/>
                <w:color w:val="FFFFFF"/>
              </w:rPr>
              <w:t>2012</w:t>
            </w:r>
          </w:p>
        </w:tc>
        <w:tc>
          <w:tcPr>
            <w:tcW w:w="100" w:type="dxa"/>
            <w:vAlign w:val="bottom"/>
            <w:shd w:val="clear" w:color="auto" w:fill="E8EDF4"/>
          </w:tcPr>
          <w:p>
            <w:pPr>
              <w:spacing w:after="0"/>
              <w:rPr>
                <w:sz w:val="18"/>
                <w:szCs w:val="18"/>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President and Chief Operating Officer from July 2014 to October 2014 and Senior Vice President and</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vMerge w:val="restart"/>
            <w:shd w:val="clear" w:color="auto" w:fill="052B82"/>
          </w:tcPr>
          <w:p>
            <w:pPr>
              <w:ind w:left="200"/>
              <w:spacing w:after="0"/>
              <w:rPr>
                <w:sz w:val="20"/>
                <w:szCs w:val="20"/>
                <w:color w:val="auto"/>
              </w:rPr>
            </w:pPr>
            <w:r>
              <w:rPr>
                <w:rFonts w:ascii="Arial" w:cs="Arial" w:eastAsia="Arial" w:hAnsi="Arial"/>
                <w:sz w:val="18"/>
                <w:szCs w:val="18"/>
                <w:b w:val="1"/>
                <w:bCs w:val="1"/>
                <w:color w:val="FFFFFF"/>
              </w:rPr>
              <w:t xml:space="preserve">Age: </w:t>
            </w:r>
            <w:r>
              <w:rPr>
                <w:rFonts w:ascii="Arial" w:cs="Arial" w:eastAsia="Arial" w:hAnsi="Arial"/>
                <w:sz w:val="18"/>
                <w:szCs w:val="18"/>
                <w:color w:val="FFFFFF"/>
              </w:rPr>
              <w:t>49</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w w:val="99"/>
              </w:rPr>
              <w:t>General Manager, Global Business Units from January 2012 to July 2014. Prior to joining AMD in January</w:t>
            </w:r>
          </w:p>
        </w:tc>
        <w:tc>
          <w:tcPr>
            <w:tcW w:w="0" w:type="dxa"/>
            <w:vAlign w:val="bottom"/>
          </w:tcPr>
          <w:p>
            <w:pPr>
              <w:spacing w:after="0"/>
              <w:rPr>
                <w:sz w:val="1"/>
                <w:szCs w:val="1"/>
                <w:color w:val="auto"/>
              </w:rPr>
            </w:pPr>
          </w:p>
        </w:tc>
      </w:tr>
      <w:tr>
        <w:trPr>
          <w:trHeight w:val="142"/>
        </w:trPr>
        <w:tc>
          <w:tcPr>
            <w:tcW w:w="2400" w:type="dxa"/>
            <w:vAlign w:val="bottom"/>
            <w:tcBorders>
              <w:left w:val="single" w:sz="8" w:color="4C4C4C"/>
              <w:right w:val="single" w:sz="8" w:color="auto"/>
            </w:tcBorders>
            <w:vMerge w:val="continue"/>
            <w:shd w:val="clear" w:color="auto" w:fill="052B82"/>
          </w:tcPr>
          <w:p>
            <w:pPr>
              <w:spacing w:after="0"/>
              <w:rPr>
                <w:sz w:val="12"/>
                <w:szCs w:val="12"/>
                <w:color w:val="auto"/>
              </w:rPr>
            </w:pPr>
          </w:p>
        </w:tc>
        <w:tc>
          <w:tcPr>
            <w:tcW w:w="100" w:type="dxa"/>
            <w:vAlign w:val="bottom"/>
            <w:shd w:val="clear" w:color="auto" w:fill="E8EDF4"/>
          </w:tcPr>
          <w:p>
            <w:pPr>
              <w:spacing w:after="0"/>
              <w:rPr>
                <w:sz w:val="12"/>
                <w:szCs w:val="12"/>
                <w:color w:val="auto"/>
              </w:rPr>
            </w:pPr>
          </w:p>
        </w:tc>
        <w:tc>
          <w:tcPr>
            <w:tcW w:w="8400" w:type="dxa"/>
            <w:vAlign w:val="bottom"/>
            <w:tcBorders>
              <w:right w:val="single" w:sz="8" w:color="4C4C4C"/>
            </w:tcBorders>
            <w:gridSpan w:val="2"/>
            <w:vMerge w:val="restart"/>
            <w:shd w:val="clear" w:color="auto" w:fill="E8EDF4"/>
          </w:tcPr>
          <w:p>
            <w:pPr>
              <w:spacing w:after="0" w:line="201" w:lineRule="exact"/>
              <w:rPr>
                <w:sz w:val="20"/>
                <w:szCs w:val="20"/>
                <w:color w:val="auto"/>
              </w:rPr>
            </w:pPr>
            <w:r>
              <w:rPr>
                <w:rFonts w:ascii="Arial" w:cs="Arial" w:eastAsia="Arial" w:hAnsi="Arial"/>
                <w:sz w:val="18"/>
                <w:szCs w:val="18"/>
                <w:color w:val="auto"/>
              </w:rPr>
              <w:t>2012, Dr. Su served as senior vice president and general manager, Networking and Multimedia, at</w:t>
            </w:r>
          </w:p>
        </w:tc>
        <w:tc>
          <w:tcPr>
            <w:tcW w:w="0" w:type="dxa"/>
            <w:vAlign w:val="bottom"/>
          </w:tcPr>
          <w:p>
            <w:pPr>
              <w:spacing w:after="0"/>
              <w:rPr>
                <w:sz w:val="1"/>
                <w:szCs w:val="1"/>
                <w:color w:val="auto"/>
              </w:rPr>
            </w:pPr>
          </w:p>
        </w:tc>
      </w:tr>
      <w:tr>
        <w:trPr>
          <w:trHeight w:val="58"/>
        </w:trPr>
        <w:tc>
          <w:tcPr>
            <w:tcW w:w="2400" w:type="dxa"/>
            <w:vAlign w:val="bottom"/>
            <w:tcBorders>
              <w:left w:val="single" w:sz="8" w:color="4C4C4C"/>
              <w:right w:val="single" w:sz="8" w:color="auto"/>
            </w:tcBorders>
            <w:shd w:val="clear" w:color="auto" w:fill="052B82"/>
          </w:tcPr>
          <w:p>
            <w:pPr>
              <w:spacing w:after="0"/>
              <w:rPr>
                <w:sz w:val="5"/>
                <w:szCs w:val="5"/>
                <w:color w:val="auto"/>
              </w:rPr>
            </w:pPr>
          </w:p>
        </w:tc>
        <w:tc>
          <w:tcPr>
            <w:tcW w:w="100" w:type="dxa"/>
            <w:vAlign w:val="bottom"/>
            <w:shd w:val="clear" w:color="auto" w:fill="E8EDF4"/>
          </w:tcPr>
          <w:p>
            <w:pPr>
              <w:spacing w:after="0"/>
              <w:rPr>
                <w:sz w:val="5"/>
                <w:szCs w:val="5"/>
                <w:color w:val="auto"/>
              </w:rPr>
            </w:pPr>
          </w:p>
        </w:tc>
        <w:tc>
          <w:tcPr>
            <w:tcW w:w="8400" w:type="dxa"/>
            <w:vAlign w:val="bottom"/>
            <w:tcBorders>
              <w:right w:val="single" w:sz="8" w:color="4C4C4C"/>
            </w:tcBorders>
            <w:gridSpan w:val="2"/>
            <w:vMerge w:val="continue"/>
            <w:shd w:val="clear" w:color="auto" w:fill="E8EDF4"/>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400" w:type="dxa"/>
            <w:vAlign w:val="bottom"/>
            <w:tcBorders>
              <w:left w:val="single" w:sz="8" w:color="4C4C4C"/>
              <w:right w:val="single" w:sz="8" w:color="auto"/>
            </w:tcBorders>
            <w:shd w:val="clear" w:color="auto" w:fill="052B82"/>
          </w:tcPr>
          <w:p>
            <w:pPr>
              <w:ind w:left="200"/>
              <w:spacing w:after="0"/>
              <w:rPr>
                <w:sz w:val="20"/>
                <w:szCs w:val="20"/>
                <w:color w:val="auto"/>
              </w:rPr>
            </w:pPr>
            <w:r>
              <w:rPr>
                <w:rFonts w:ascii="Arial" w:cs="Arial" w:eastAsia="Arial" w:hAnsi="Arial"/>
                <w:sz w:val="18"/>
                <w:szCs w:val="18"/>
                <w:b w:val="1"/>
                <w:bCs w:val="1"/>
                <w:color w:val="FFFFFF"/>
              </w:rPr>
              <w:t>Committee(s):</w:t>
            </w: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Freescale Semiconductor, Inc., a semiconductor manufacturer, from 2008 to 2011 and prior to that, as</w:t>
            </w:r>
          </w:p>
        </w:tc>
        <w:tc>
          <w:tcPr>
            <w:tcW w:w="0" w:type="dxa"/>
            <w:vAlign w:val="bottom"/>
          </w:tcPr>
          <w:p>
            <w:pPr>
              <w:spacing w:after="0"/>
              <w:rPr>
                <w:sz w:val="1"/>
                <w:szCs w:val="1"/>
                <w:color w:val="auto"/>
              </w:rPr>
            </w:pPr>
          </w:p>
        </w:tc>
      </w:tr>
      <w:tr>
        <w:trPr>
          <w:trHeight w:val="200"/>
        </w:trPr>
        <w:tc>
          <w:tcPr>
            <w:tcW w:w="2400" w:type="dxa"/>
            <w:vAlign w:val="bottom"/>
            <w:tcBorders>
              <w:left w:val="single" w:sz="8" w:color="4C4C4C"/>
              <w:right w:val="single" w:sz="8" w:color="auto"/>
            </w:tcBorders>
            <w:shd w:val="clear" w:color="auto" w:fill="052B82"/>
          </w:tcPr>
          <w:p>
            <w:pPr>
              <w:ind w:left="200"/>
              <w:spacing w:after="0" w:line="201" w:lineRule="exact"/>
              <w:rPr>
                <w:sz w:val="20"/>
                <w:szCs w:val="20"/>
                <w:color w:val="auto"/>
              </w:rPr>
            </w:pPr>
            <w:r>
              <w:rPr>
                <w:rFonts w:ascii="Arial" w:cs="Arial" w:eastAsia="Arial" w:hAnsi="Arial"/>
                <w:sz w:val="18"/>
                <w:szCs w:val="18"/>
                <w:color w:val="FFFFFF"/>
              </w:rPr>
              <w:t>Compensation</w:t>
            </w:r>
          </w:p>
        </w:tc>
        <w:tc>
          <w:tcPr>
            <w:tcW w:w="100" w:type="dxa"/>
            <w:vAlign w:val="bottom"/>
            <w:shd w:val="clear" w:color="auto" w:fill="E8EDF4"/>
          </w:tcPr>
          <w:p>
            <w:pPr>
              <w:spacing w:after="0"/>
              <w:rPr>
                <w:sz w:val="17"/>
                <w:szCs w:val="17"/>
                <w:color w:val="auto"/>
              </w:rPr>
            </w:pPr>
          </w:p>
        </w:tc>
        <w:tc>
          <w:tcPr>
            <w:tcW w:w="8400" w:type="dxa"/>
            <w:vAlign w:val="bottom"/>
            <w:tcBorders>
              <w:right w:val="single" w:sz="8" w:color="4C4C4C"/>
            </w:tcBorders>
            <w:gridSpan w:val="2"/>
            <w:shd w:val="clear" w:color="auto" w:fill="E8EDF4"/>
          </w:tcPr>
          <w:p>
            <w:pPr>
              <w:spacing w:after="0" w:line="201" w:lineRule="exact"/>
              <w:rPr>
                <w:sz w:val="20"/>
                <w:szCs w:val="20"/>
                <w:color w:val="auto"/>
              </w:rPr>
            </w:pPr>
            <w:r>
              <w:rPr>
                <w:rFonts w:ascii="Arial" w:cs="Arial" w:eastAsia="Arial" w:hAnsi="Arial"/>
                <w:sz w:val="18"/>
                <w:szCs w:val="18"/>
                <w:color w:val="auto"/>
              </w:rPr>
              <w:t>Chief Technology Officer from 2007 to 2008. Dr. Su also spent 13 years with International Business</w:t>
            </w:r>
          </w:p>
        </w:tc>
        <w:tc>
          <w:tcPr>
            <w:tcW w:w="0" w:type="dxa"/>
            <w:vAlign w:val="bottom"/>
          </w:tcPr>
          <w:p>
            <w:pPr>
              <w:spacing w:after="0"/>
              <w:rPr>
                <w:sz w:val="1"/>
                <w:szCs w:val="1"/>
                <w:color w:val="auto"/>
              </w:rPr>
            </w:pPr>
          </w:p>
        </w:tc>
      </w:tr>
      <w:tr>
        <w:trPr>
          <w:trHeight w:val="164"/>
        </w:trPr>
        <w:tc>
          <w:tcPr>
            <w:tcW w:w="2400" w:type="dxa"/>
            <w:vAlign w:val="bottom"/>
            <w:tcBorders>
              <w:left w:val="single" w:sz="8" w:color="4C4C4C"/>
              <w:right w:val="single" w:sz="8" w:color="auto"/>
            </w:tcBorders>
            <w:shd w:val="clear" w:color="auto" w:fill="052B82"/>
          </w:tcPr>
          <w:p>
            <w:pPr>
              <w:spacing w:after="0"/>
              <w:rPr>
                <w:sz w:val="14"/>
                <w:szCs w:val="14"/>
                <w:color w:val="auto"/>
              </w:rPr>
            </w:pPr>
          </w:p>
        </w:tc>
        <w:tc>
          <w:tcPr>
            <w:tcW w:w="100" w:type="dxa"/>
            <w:vAlign w:val="bottom"/>
            <w:shd w:val="clear" w:color="auto" w:fill="E8EDF4"/>
          </w:tcPr>
          <w:p>
            <w:pPr>
              <w:spacing w:after="0"/>
              <w:rPr>
                <w:sz w:val="14"/>
                <w:szCs w:val="14"/>
                <w:color w:val="auto"/>
              </w:rPr>
            </w:pPr>
          </w:p>
        </w:tc>
        <w:tc>
          <w:tcPr>
            <w:tcW w:w="8400" w:type="dxa"/>
            <w:vAlign w:val="bottom"/>
            <w:tcBorders>
              <w:right w:val="single" w:sz="8" w:color="4C4C4C"/>
            </w:tcBorders>
            <w:gridSpan w:val="2"/>
            <w:shd w:val="clear" w:color="auto" w:fill="E8EDF4"/>
          </w:tcPr>
          <w:p>
            <w:pPr>
              <w:spacing w:after="0" w:line="164" w:lineRule="exact"/>
              <w:rPr>
                <w:sz w:val="20"/>
                <w:szCs w:val="20"/>
                <w:color w:val="auto"/>
              </w:rPr>
            </w:pPr>
            <w:r>
              <w:rPr>
                <w:rFonts w:ascii="Arial" w:cs="Arial" w:eastAsia="Arial" w:hAnsi="Arial"/>
                <w:sz w:val="18"/>
                <w:szCs w:val="18"/>
                <w:color w:val="auto"/>
              </w:rPr>
              <w:t>Machines Corporation, or IBM, in various engineering and business leadership positions; and was a</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member of the technical staff at Texas Instruments in the Semiconductor Process and Device Center.</w:t>
            </w:r>
          </w:p>
        </w:tc>
        <w:tc>
          <w:tcPr>
            <w:tcW w:w="0" w:type="dxa"/>
            <w:vAlign w:val="bottom"/>
          </w:tcPr>
          <w:p>
            <w:pPr>
              <w:spacing w:after="0"/>
              <w:rPr>
                <w:sz w:val="1"/>
                <w:szCs w:val="1"/>
                <w:color w:val="auto"/>
              </w:rPr>
            </w:pPr>
          </w:p>
        </w:tc>
      </w:tr>
      <w:tr>
        <w:trPr>
          <w:trHeight w:val="304"/>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Key Qualifications and Expertise</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w w:val="98"/>
              </w:rPr>
              <w:t>We believe Dr. Su’s qualifications to serve on our Board of Directors include her experience as a CEO of a</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8400" w:type="dxa"/>
            <w:vAlign w:val="bottom"/>
            <w:tcBorders>
              <w:right w:val="single" w:sz="8" w:color="4C4C4C"/>
            </w:tcBorders>
            <w:gridSpan w:val="2"/>
            <w:shd w:val="clear" w:color="auto" w:fill="E8EDF4"/>
          </w:tcPr>
          <w:p>
            <w:pPr>
              <w:spacing w:after="0"/>
              <w:rPr>
                <w:sz w:val="20"/>
                <w:szCs w:val="20"/>
                <w:color w:val="auto"/>
              </w:rPr>
            </w:pPr>
            <w:r>
              <w:rPr>
                <w:rFonts w:ascii="Arial" w:cs="Arial" w:eastAsia="Arial" w:hAnsi="Arial"/>
                <w:sz w:val="18"/>
                <w:szCs w:val="18"/>
                <w:color w:val="auto"/>
              </w:rPr>
              <w:t>global semiconductor company and her understanding of complex technologies.</w:t>
            </w:r>
          </w:p>
        </w:tc>
        <w:tc>
          <w:tcPr>
            <w:tcW w:w="0" w:type="dxa"/>
            <w:vAlign w:val="bottom"/>
          </w:tcPr>
          <w:p>
            <w:pPr>
              <w:spacing w:after="0"/>
              <w:rPr>
                <w:sz w:val="1"/>
                <w:szCs w:val="1"/>
                <w:color w:val="auto"/>
              </w:rPr>
            </w:pPr>
          </w:p>
        </w:tc>
      </w:tr>
      <w:tr>
        <w:trPr>
          <w:trHeight w:val="290"/>
        </w:trPr>
        <w:tc>
          <w:tcPr>
            <w:tcW w:w="2400" w:type="dxa"/>
            <w:vAlign w:val="bottom"/>
            <w:tcBorders>
              <w:left w:val="single" w:sz="8" w:color="4C4C4C"/>
              <w:right w:val="single" w:sz="8" w:color="auto"/>
            </w:tcBorders>
            <w:shd w:val="clear" w:color="auto" w:fill="052B82"/>
          </w:tcPr>
          <w:p>
            <w:pPr>
              <w:spacing w:after="0"/>
              <w:rPr>
                <w:sz w:val="24"/>
                <w:szCs w:val="24"/>
                <w:color w:val="auto"/>
              </w:rPr>
            </w:pPr>
          </w:p>
        </w:tc>
        <w:tc>
          <w:tcPr>
            <w:tcW w:w="100" w:type="dxa"/>
            <w:vAlign w:val="bottom"/>
            <w:shd w:val="clear" w:color="auto" w:fill="E8EDF4"/>
          </w:tcPr>
          <w:p>
            <w:pPr>
              <w:spacing w:after="0"/>
              <w:rPr>
                <w:sz w:val="24"/>
                <w:szCs w:val="24"/>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Other Public Company Boards</w:t>
            </w:r>
          </w:p>
        </w:tc>
        <w:tc>
          <w:tcPr>
            <w:tcW w:w="4560" w:type="dxa"/>
            <w:vAlign w:val="bottom"/>
            <w:tcBorders>
              <w:right w:val="single" w:sz="8" w:color="4C4C4C"/>
            </w:tcBorders>
            <w:shd w:val="clear" w:color="auto" w:fill="E8EDF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Borders>
              <w:left w:val="single" w:sz="8" w:color="4C4C4C"/>
              <w:right w:val="single" w:sz="8" w:color="auto"/>
            </w:tcBorders>
            <w:shd w:val="clear" w:color="auto" w:fill="052B82"/>
          </w:tcPr>
          <w:p>
            <w:pPr>
              <w:spacing w:after="0"/>
              <w:rPr>
                <w:sz w:val="21"/>
                <w:szCs w:val="21"/>
                <w:color w:val="auto"/>
              </w:rPr>
            </w:pPr>
          </w:p>
        </w:tc>
        <w:tc>
          <w:tcPr>
            <w:tcW w:w="100" w:type="dxa"/>
            <w:vAlign w:val="bottom"/>
            <w:shd w:val="clear" w:color="auto" w:fill="E8EDF4"/>
          </w:tcPr>
          <w:p>
            <w:pPr>
              <w:spacing w:after="0"/>
              <w:rPr>
                <w:sz w:val="21"/>
                <w:szCs w:val="21"/>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b w:val="1"/>
                <w:bCs w:val="1"/>
                <w:color w:val="auto"/>
              </w:rPr>
              <w:t>Current</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b w:val="1"/>
                <w:bCs w:val="1"/>
                <w:color w:val="auto"/>
              </w:rPr>
              <w:t>Past 5 Years</w:t>
            </w:r>
          </w:p>
        </w:tc>
        <w:tc>
          <w:tcPr>
            <w:tcW w:w="0" w:type="dxa"/>
            <w:vAlign w:val="bottom"/>
          </w:tcPr>
          <w:p>
            <w:pPr>
              <w:spacing w:after="0"/>
              <w:rPr>
                <w:sz w:val="1"/>
                <w:szCs w:val="1"/>
                <w:color w:val="auto"/>
              </w:rPr>
            </w:pPr>
          </w:p>
        </w:tc>
      </w:tr>
      <w:tr>
        <w:trPr>
          <w:trHeight w:val="239"/>
        </w:trPr>
        <w:tc>
          <w:tcPr>
            <w:tcW w:w="2400" w:type="dxa"/>
            <w:vAlign w:val="bottom"/>
            <w:tcBorders>
              <w:left w:val="single" w:sz="8" w:color="4C4C4C"/>
              <w:right w:val="single" w:sz="8" w:color="auto"/>
            </w:tcBorders>
            <w:shd w:val="clear" w:color="auto" w:fill="052B82"/>
          </w:tcPr>
          <w:p>
            <w:pPr>
              <w:spacing w:after="0"/>
              <w:rPr>
                <w:sz w:val="20"/>
                <w:szCs w:val="20"/>
                <w:color w:val="auto"/>
              </w:rPr>
            </w:pPr>
          </w:p>
        </w:tc>
        <w:tc>
          <w:tcPr>
            <w:tcW w:w="100" w:type="dxa"/>
            <w:vAlign w:val="bottom"/>
            <w:shd w:val="clear" w:color="auto" w:fill="E8EDF4"/>
          </w:tcPr>
          <w:p>
            <w:pPr>
              <w:spacing w:after="0"/>
              <w:rPr>
                <w:sz w:val="20"/>
                <w:szCs w:val="20"/>
                <w:color w:val="auto"/>
              </w:rPr>
            </w:pPr>
          </w:p>
        </w:tc>
        <w:tc>
          <w:tcPr>
            <w:tcW w:w="3840" w:type="dxa"/>
            <w:vAlign w:val="bottom"/>
            <w:shd w:val="clear" w:color="auto" w:fill="E8EDF4"/>
          </w:tcPr>
          <w:p>
            <w:pPr>
              <w:spacing w:after="0"/>
              <w:rPr>
                <w:sz w:val="20"/>
                <w:szCs w:val="20"/>
                <w:color w:val="auto"/>
              </w:rPr>
            </w:pPr>
            <w:r>
              <w:rPr>
                <w:rFonts w:ascii="Arial" w:cs="Arial" w:eastAsia="Arial" w:hAnsi="Arial"/>
                <w:sz w:val="18"/>
                <w:szCs w:val="18"/>
                <w:color w:val="auto"/>
              </w:rPr>
              <w:t>Advanced Micro Devices, Inc.</w:t>
            </w:r>
          </w:p>
        </w:tc>
        <w:tc>
          <w:tcPr>
            <w:tcW w:w="4560" w:type="dxa"/>
            <w:vAlign w:val="bottom"/>
            <w:tcBorders>
              <w:right w:val="single" w:sz="8" w:color="4C4C4C"/>
            </w:tcBorders>
            <w:shd w:val="clear" w:color="auto" w:fill="E8EDF4"/>
          </w:tcPr>
          <w:p>
            <w:pPr>
              <w:ind w:left="3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64"/>
        </w:trPr>
        <w:tc>
          <w:tcPr>
            <w:tcW w:w="2400" w:type="dxa"/>
            <w:vAlign w:val="bottom"/>
            <w:tcBorders>
              <w:left w:val="single" w:sz="8" w:color="4C4C4C"/>
              <w:bottom w:val="single" w:sz="8" w:color="4C4C4C"/>
              <w:right w:val="single" w:sz="8" w:color="auto"/>
            </w:tcBorders>
            <w:shd w:val="clear" w:color="auto" w:fill="052B82"/>
          </w:tcPr>
          <w:p>
            <w:pPr>
              <w:spacing w:after="0"/>
              <w:rPr>
                <w:sz w:val="5"/>
                <w:szCs w:val="5"/>
                <w:color w:val="auto"/>
              </w:rPr>
            </w:pPr>
          </w:p>
        </w:tc>
        <w:tc>
          <w:tcPr>
            <w:tcW w:w="100" w:type="dxa"/>
            <w:vAlign w:val="bottom"/>
            <w:tcBorders>
              <w:bottom w:val="single" w:sz="8" w:color="4C4C4C"/>
            </w:tcBorders>
            <w:shd w:val="clear" w:color="auto" w:fill="E8EDF4"/>
          </w:tcPr>
          <w:p>
            <w:pPr>
              <w:spacing w:after="0"/>
              <w:rPr>
                <w:sz w:val="5"/>
                <w:szCs w:val="5"/>
                <w:color w:val="auto"/>
              </w:rPr>
            </w:pPr>
          </w:p>
        </w:tc>
        <w:tc>
          <w:tcPr>
            <w:tcW w:w="3840" w:type="dxa"/>
            <w:vAlign w:val="bottom"/>
            <w:tcBorders>
              <w:bottom w:val="single" w:sz="8" w:color="4C4C4C"/>
            </w:tcBorders>
            <w:shd w:val="clear" w:color="auto" w:fill="E8EDF4"/>
          </w:tcPr>
          <w:p>
            <w:pPr>
              <w:spacing w:after="0"/>
              <w:rPr>
                <w:sz w:val="5"/>
                <w:szCs w:val="5"/>
                <w:color w:val="auto"/>
              </w:rPr>
            </w:pPr>
          </w:p>
        </w:tc>
        <w:tc>
          <w:tcPr>
            <w:tcW w:w="4560" w:type="dxa"/>
            <w:vAlign w:val="bottom"/>
            <w:tcBorders>
              <w:bottom w:val="single" w:sz="8" w:color="4C4C4C"/>
              <w:right w:val="single" w:sz="8" w:color="4C4C4C"/>
            </w:tcBorders>
            <w:shd w:val="clear" w:color="auto" w:fill="E8EDF4"/>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00"/>
        <w:spacing w:after="0"/>
        <w:rPr>
          <w:sz w:val="20"/>
          <w:szCs w:val="20"/>
          <w:color w:val="auto"/>
        </w:rPr>
      </w:pPr>
      <w:r>
        <w:rPr>
          <w:sz w:val="1"/>
          <w:szCs w:val="1"/>
          <w:color w:val="auto"/>
        </w:rPr>
        <w:drawing>
          <wp:inline distT="0" distB="0" distL="0" distR="0">
            <wp:extent cx="262890" cy="27114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2890" cy="271145"/>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the election of each of the above nominees.</w:t>
      </w:r>
    </w:p>
    <w:p>
      <w:pPr>
        <w:spacing w:after="0" w:line="126" w:lineRule="exact"/>
        <w:rPr>
          <w:sz w:val="20"/>
          <w:szCs w:val="20"/>
          <w:color w:val="auto"/>
        </w:rPr>
      </w:pPr>
    </w:p>
    <w:p>
      <w:pPr>
        <w:ind w:left="9280"/>
        <w:spacing w:after="0"/>
        <w:tabs>
          <w:tab w:leader="none" w:pos="109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23</w:t>
      </w:r>
    </w:p>
    <w:p>
      <w:pPr>
        <w:sectPr>
          <w:pgSz w:w="11900" w:h="16838" w:orient="portrait"/>
          <w:cols w:equalWidth="0" w:num="1">
            <w:col w:w="11180"/>
          </w:cols>
          <w:pgMar w:left="240" w:top="453"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CORPORATE GOVERNANCE</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GENERAL</w:t>
      </w:r>
    </w:p>
    <w:p>
      <w:pPr>
        <w:spacing w:after="0" w:line="102" w:lineRule="exact"/>
        <w:rPr>
          <w:sz w:val="20"/>
          <w:szCs w:val="20"/>
          <w:color w:val="auto"/>
        </w:rPr>
      </w:pPr>
    </w:p>
    <w:p>
      <w:pPr>
        <w:ind w:left="260" w:right="200" w:firstLine="435"/>
        <w:spacing w:after="0" w:line="241" w:lineRule="auto"/>
        <w:rPr>
          <w:sz w:val="20"/>
          <w:szCs w:val="20"/>
          <w:color w:val="auto"/>
        </w:rPr>
      </w:pPr>
      <w:r>
        <w:rPr>
          <w:rFonts w:ascii="Arial" w:cs="Arial" w:eastAsia="Arial" w:hAnsi="Arial"/>
          <w:sz w:val="18"/>
          <w:szCs w:val="18"/>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policies and procedures that we believe are in the best interests of Analog Devices and our shareholders. In particular, we have adopted the following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142875</wp:posOffset>
            </wp:positionV>
            <wp:extent cx="6917690" cy="4967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17690" cy="4967605"/>
                    </a:xfrm>
                    <a:prstGeom prst="rect">
                      <a:avLst/>
                    </a:prstGeom>
                    <a:noFill/>
                  </pic:spPr>
                </pic:pic>
              </a:graphicData>
            </a:graphic>
          </wp:anchor>
        </w:drawing>
      </w:r>
    </w:p>
    <w:p>
      <w:pPr>
        <w:spacing w:after="0" w:line="205" w:lineRule="exact"/>
        <w:rPr>
          <w:sz w:val="20"/>
          <w:szCs w:val="20"/>
          <w:color w:val="auto"/>
        </w:rPr>
      </w:pPr>
    </w:p>
    <w:tbl>
      <w:tblPr>
        <w:tblLayout w:type="fixed"/>
        <w:tblInd w:w="280" w:type="dxa"/>
        <w:tblCellMar>
          <w:top w:w="0" w:type="dxa"/>
          <w:left w:w="0" w:type="dxa"/>
          <w:bottom w:w="0" w:type="dxa"/>
          <w:right w:w="0" w:type="dxa"/>
        </w:tblCellMar>
      </w:tblPr>
      <w:tr>
        <w:trPr>
          <w:trHeight w:val="107"/>
        </w:trPr>
        <w:tc>
          <w:tcPr>
            <w:tcW w:w="2400" w:type="dxa"/>
            <w:vAlign w:val="bottom"/>
            <w:shd w:val="clear" w:color="auto" w:fill="052B82"/>
          </w:tcPr>
          <w:p>
            <w:pPr>
              <w:spacing w:after="0"/>
              <w:rPr>
                <w:sz w:val="9"/>
                <w:szCs w:val="9"/>
                <w:color w:val="auto"/>
              </w:rPr>
            </w:pPr>
          </w:p>
        </w:tc>
        <w:tc>
          <w:tcPr>
            <w:tcW w:w="8480" w:type="dxa"/>
            <w:vAlign w:val="bottom"/>
            <w:vMerge w:val="restart"/>
            <w:shd w:val="clear" w:color="auto" w:fill="052B82"/>
          </w:tcPr>
          <w:p>
            <w:pPr>
              <w:ind w:left="4060"/>
              <w:spacing w:after="0"/>
              <w:rPr>
                <w:sz w:val="20"/>
                <w:szCs w:val="20"/>
                <w:color w:val="auto"/>
              </w:rPr>
            </w:pPr>
            <w:r>
              <w:rPr>
                <w:rFonts w:ascii="Arial" w:cs="Arial" w:eastAsia="Arial" w:hAnsi="Arial"/>
                <w:sz w:val="18"/>
                <w:szCs w:val="18"/>
                <w:b w:val="1"/>
                <w:bCs w:val="1"/>
                <w:color w:val="FFFFFF"/>
              </w:rPr>
              <w:t>Summary</w:t>
            </w:r>
          </w:p>
        </w:tc>
        <w:tc>
          <w:tcPr>
            <w:tcW w:w="0" w:type="dxa"/>
            <w:vAlign w:val="bottom"/>
          </w:tcPr>
          <w:p>
            <w:pPr>
              <w:spacing w:after="0"/>
              <w:rPr>
                <w:sz w:val="1"/>
                <w:szCs w:val="1"/>
                <w:color w:val="auto"/>
              </w:rPr>
            </w:pPr>
          </w:p>
        </w:tc>
      </w:tr>
      <w:tr>
        <w:trPr>
          <w:trHeight w:val="251"/>
        </w:trPr>
        <w:tc>
          <w:tcPr>
            <w:tcW w:w="2400" w:type="dxa"/>
            <w:vAlign w:val="bottom"/>
          </w:tcPr>
          <w:p>
            <w:pPr>
              <w:ind w:left="620"/>
              <w:spacing w:after="0"/>
              <w:rPr>
                <w:sz w:val="20"/>
                <w:szCs w:val="20"/>
                <w:color w:val="auto"/>
              </w:rPr>
            </w:pPr>
            <w:r>
              <w:rPr>
                <w:rFonts w:ascii="Arial" w:cs="Arial" w:eastAsia="Arial" w:hAnsi="Arial"/>
                <w:sz w:val="18"/>
                <w:szCs w:val="18"/>
                <w:b w:val="1"/>
                <w:bCs w:val="1"/>
                <w:color w:val="FFFFFF"/>
              </w:rPr>
              <w:t>Policy/Practice</w:t>
            </w:r>
          </w:p>
        </w:tc>
        <w:tc>
          <w:tcPr>
            <w:tcW w:w="8480" w:type="dxa"/>
            <w:vAlign w:val="bottom"/>
            <w:vMerge w:val="continue"/>
            <w:shd w:val="clear" w:color="auto" w:fill="052B82"/>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8480" w:type="dxa"/>
            <w:vAlign w:val="bottom"/>
            <w:shd w:val="clear" w:color="auto" w:fill="052B82"/>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160"/>
          </w:cols>
          <w:pgMar w:left="240" w:top="453" w:right="499" w:bottom="1440" w:gutter="0" w:footer="0" w:header="0"/>
        </w:sectPr>
      </w:pPr>
    </w:p>
    <w:p>
      <w:pPr>
        <w:spacing w:after="0" w:line="238" w:lineRule="exact"/>
        <w:rPr>
          <w:sz w:val="20"/>
          <w:szCs w:val="20"/>
          <w:color w:val="auto"/>
        </w:rPr>
      </w:pPr>
    </w:p>
    <w:p>
      <w:pPr>
        <w:ind w:left="420" w:right="60"/>
        <w:spacing w:after="0" w:line="314" w:lineRule="auto"/>
        <w:rPr>
          <w:sz w:val="20"/>
          <w:szCs w:val="20"/>
          <w:color w:val="auto"/>
        </w:rPr>
      </w:pPr>
      <w:r>
        <w:rPr>
          <w:rFonts w:ascii="Arial" w:cs="Arial" w:eastAsia="Arial" w:hAnsi="Arial"/>
          <w:sz w:val="17"/>
          <w:szCs w:val="17"/>
          <w:b w:val="1"/>
          <w:bCs w:val="1"/>
          <w:color w:val="FFFFFF"/>
        </w:rPr>
        <w:t>Corporate Governance Guidelines</w:t>
      </w:r>
    </w:p>
    <w:p>
      <w:pPr>
        <w:spacing w:after="0" w:line="383" w:lineRule="exact"/>
        <w:rPr>
          <w:sz w:val="20"/>
          <w:szCs w:val="20"/>
          <w:color w:val="auto"/>
        </w:rPr>
      </w:pPr>
    </w:p>
    <w:p>
      <w:pPr>
        <w:ind w:left="420" w:right="160"/>
        <w:spacing w:after="0" w:line="283" w:lineRule="auto"/>
        <w:rPr>
          <w:sz w:val="20"/>
          <w:szCs w:val="20"/>
          <w:color w:val="auto"/>
        </w:rPr>
      </w:pPr>
      <w:r>
        <w:rPr>
          <w:rFonts w:ascii="Arial" w:cs="Arial" w:eastAsia="Arial" w:hAnsi="Arial"/>
          <w:sz w:val="18"/>
          <w:szCs w:val="18"/>
          <w:b w:val="1"/>
          <w:bCs w:val="1"/>
          <w:color w:val="FFFFFF"/>
        </w:rPr>
        <w:t>Declassified Board of Directors</w:t>
      </w:r>
    </w:p>
    <w:p>
      <w:pPr>
        <w:spacing w:after="0" w:line="200" w:lineRule="exact"/>
        <w:rPr>
          <w:sz w:val="20"/>
          <w:szCs w:val="20"/>
          <w:color w:val="auto"/>
        </w:rPr>
      </w:pPr>
    </w:p>
    <w:p>
      <w:pPr>
        <w:spacing w:after="0" w:line="313" w:lineRule="exact"/>
        <w:rPr>
          <w:sz w:val="20"/>
          <w:szCs w:val="20"/>
          <w:color w:val="auto"/>
        </w:rPr>
      </w:pPr>
    </w:p>
    <w:p>
      <w:pPr>
        <w:ind w:left="420" w:right="240"/>
        <w:spacing w:after="0" w:line="314" w:lineRule="auto"/>
        <w:rPr>
          <w:sz w:val="20"/>
          <w:szCs w:val="20"/>
          <w:color w:val="auto"/>
        </w:rPr>
      </w:pPr>
      <w:r>
        <w:rPr>
          <w:rFonts w:ascii="Arial" w:cs="Arial" w:eastAsia="Arial" w:hAnsi="Arial"/>
          <w:sz w:val="17"/>
          <w:szCs w:val="17"/>
          <w:b w:val="1"/>
          <w:bCs w:val="1"/>
          <w:color w:val="FFFFFF"/>
        </w:rPr>
        <w:t>Majority Voting for Election of Directors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Executive Sessions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No Hedging Policy</w:t>
      </w: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No Pledging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0" w:right="320"/>
        <w:spacing w:after="0" w:line="283" w:lineRule="auto"/>
        <w:rPr>
          <w:sz w:val="20"/>
          <w:szCs w:val="20"/>
          <w:color w:val="auto"/>
        </w:rPr>
      </w:pPr>
      <w:r>
        <w:rPr>
          <w:rFonts w:ascii="Arial" w:cs="Arial" w:eastAsia="Arial" w:hAnsi="Arial"/>
          <w:sz w:val="18"/>
          <w:szCs w:val="18"/>
          <w:b w:val="1"/>
          <w:bCs w:val="1"/>
          <w:color w:val="FFFFFF"/>
        </w:rPr>
        <w:t>Equity Award Grant Date Policy</w:t>
      </w:r>
    </w:p>
    <w:p>
      <w:pPr>
        <w:spacing w:after="0" w:line="20" w:lineRule="exact"/>
        <w:rPr>
          <w:sz w:val="20"/>
          <w:szCs w:val="20"/>
          <w:color w:val="auto"/>
        </w:rPr>
      </w:pPr>
      <w:r>
        <w:rPr>
          <w:sz w:val="20"/>
          <w:szCs w:val="20"/>
          <w:color w:val="auto"/>
        </w:rPr>
        <w:br w:type="column"/>
      </w:r>
    </w:p>
    <w:p>
      <w:pPr>
        <w:ind w:right="200"/>
        <w:spacing w:after="0" w:line="244" w:lineRule="auto"/>
        <w:rPr>
          <w:sz w:val="20"/>
          <w:szCs w:val="20"/>
          <w:color w:val="auto"/>
        </w:rPr>
      </w:pPr>
      <w:r>
        <w:rPr>
          <w:rFonts w:ascii="Arial" w:cs="Arial" w:eastAsia="Arial" w:hAnsi="Arial"/>
          <w:sz w:val="18"/>
          <w:szCs w:val="18"/>
          <w:color w:val="auto"/>
        </w:rPr>
        <w:t>Our Board of Directors has adopted Corporate Governance Guidelines for our Company that establishes a common set of expectations to assist the Board and its committees in performing their duties. The Board reviews these Guidelines at least annually, and updates them as necessary to reflect changing regulatory requirements and evolving practices.</w:t>
      </w:r>
    </w:p>
    <w:p>
      <w:pPr>
        <w:spacing w:after="0" w:line="16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declassified Board of Directors and our bylaws provide that each director will serve for a term ending on the date of the annual meeting following the one at which such director was elected. All of our directors will stand for election for terms expiring at the next annual meeting of shareholders.</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Our bylaws provide for a majority voting standard in uncontested director elections, so a nominee is elected to the Board of Directors if the votes “for” that director exceed the votes “against” (with abstentions and broker non-votes not counted as for or against the election). If a nominee does not receive more “for” votes than “against” votes, the director must offer his or her resignation, which the Board of Directors must determine whether to accept and publicly disclose that determination.</w:t>
      </w:r>
    </w:p>
    <w:p>
      <w:pPr>
        <w:spacing w:after="0" w:line="147"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At least twice per year, our Board of Directors holds executive sessions of non-employee directors, who are all independent as defined under The Nasdaq Stock Market, Inc. Marketplace Rules, or Nasdaq Rules. Our Presiding Director, James A. Champy, presides at these executive sessions. In addition, the committees of our Board of Directors also regularly hold executive sessions with their advisors without management present.</w:t>
      </w:r>
    </w:p>
    <w:p>
      <w:pPr>
        <w:spacing w:after="0" w:line="16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We prohibit all hedging transactions or short sales involving Company securities by our directors and employees, including our executive officers.</w:t>
      </w:r>
    </w:p>
    <w:p>
      <w:pPr>
        <w:spacing w:after="0" w:line="13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Since January 2013, we have prohibited our directors and executive officers from holding any Company securities in a margin account, and from any future pledging of their Company securities as collateral for a loan.</w:t>
      </w:r>
    </w:p>
    <w:p>
      <w:pPr>
        <w:spacing w:after="0" w:line="22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do not time or select the grant dates of any stock options or stock-based awards in coordination with our release of material non-public information, nor do we have any program, plan or practice to do so. In addition, the Compensation Committee has adopted specific written policies regarding the grant dates of stock option and stock-based awards made to our directors, executive officers and employees. See “— Director Compensation” and “INFORMATION ABOUT EXECUTIVE COMPENSATION — Compensation Discussion and Analysis — Equity Award Grant Date Policy” below for more information.</w:t>
      </w:r>
    </w:p>
    <w:p>
      <w:pPr>
        <w:spacing w:after="0" w:line="200" w:lineRule="exact"/>
        <w:rPr>
          <w:sz w:val="20"/>
          <w:szCs w:val="20"/>
          <w:color w:val="auto"/>
        </w:rPr>
      </w:pPr>
    </w:p>
    <w:p>
      <w:pPr>
        <w:sectPr>
          <w:pgSz w:w="11900" w:h="16838" w:orient="portrait"/>
          <w:cols w:equalWidth="0" w:num="2">
            <w:col w:w="2400" w:space="720"/>
            <w:col w:w="8040"/>
          </w:cols>
          <w:pgMar w:left="240" w:top="453" w:right="499" w:bottom="1440" w:gutter="0" w:footer="0" w:header="0"/>
          <w:type w:val="continuous"/>
        </w:sectPr>
      </w:pPr>
    </w:p>
    <w:p>
      <w:pPr>
        <w:spacing w:after="0" w:line="87" w:lineRule="exact"/>
        <w:rPr>
          <w:sz w:val="20"/>
          <w:szCs w:val="20"/>
          <w:color w:val="auto"/>
        </w:rPr>
      </w:pPr>
    </w:p>
    <w:p>
      <w:pPr>
        <w:ind w:left="660" w:hanging="393"/>
        <w:spacing w:after="0"/>
        <w:tabs>
          <w:tab w:leader="none" w:pos="660" w:val="left"/>
        </w:tabs>
        <w:numPr>
          <w:ilvl w:val="0"/>
          <w:numId w:val="5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6917690" cy="2348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17690" cy="234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107"/>
        </w:trPr>
        <w:tc>
          <w:tcPr>
            <w:tcW w:w="2400" w:type="dxa"/>
            <w:vAlign w:val="bottom"/>
            <w:shd w:val="clear" w:color="auto" w:fill="052B82"/>
          </w:tcPr>
          <w:p>
            <w:pPr>
              <w:spacing w:after="0"/>
              <w:rPr>
                <w:sz w:val="9"/>
                <w:szCs w:val="9"/>
                <w:color w:val="auto"/>
              </w:rPr>
            </w:pPr>
          </w:p>
        </w:tc>
        <w:tc>
          <w:tcPr>
            <w:tcW w:w="8480" w:type="dxa"/>
            <w:vAlign w:val="bottom"/>
            <w:vMerge w:val="restart"/>
            <w:shd w:val="clear" w:color="auto" w:fill="052B82"/>
          </w:tcPr>
          <w:p>
            <w:pPr>
              <w:ind w:left="4060"/>
              <w:spacing w:after="0"/>
              <w:rPr>
                <w:sz w:val="20"/>
                <w:szCs w:val="20"/>
                <w:color w:val="auto"/>
              </w:rPr>
            </w:pPr>
            <w:r>
              <w:rPr>
                <w:rFonts w:ascii="Arial" w:cs="Arial" w:eastAsia="Arial" w:hAnsi="Arial"/>
                <w:sz w:val="18"/>
                <w:szCs w:val="18"/>
                <w:b w:val="1"/>
                <w:bCs w:val="1"/>
                <w:color w:val="FFFFFF"/>
              </w:rPr>
              <w:t>Summary</w:t>
            </w:r>
          </w:p>
        </w:tc>
        <w:tc>
          <w:tcPr>
            <w:tcW w:w="0" w:type="dxa"/>
            <w:vAlign w:val="bottom"/>
          </w:tcPr>
          <w:p>
            <w:pPr>
              <w:spacing w:after="0"/>
              <w:rPr>
                <w:sz w:val="1"/>
                <w:szCs w:val="1"/>
                <w:color w:val="auto"/>
              </w:rPr>
            </w:pPr>
          </w:p>
        </w:tc>
      </w:tr>
      <w:tr>
        <w:trPr>
          <w:trHeight w:val="251"/>
        </w:trPr>
        <w:tc>
          <w:tcPr>
            <w:tcW w:w="2400" w:type="dxa"/>
            <w:vAlign w:val="bottom"/>
          </w:tcPr>
          <w:p>
            <w:pPr>
              <w:ind w:left="620"/>
              <w:spacing w:after="0"/>
              <w:rPr>
                <w:sz w:val="20"/>
                <w:szCs w:val="20"/>
                <w:color w:val="auto"/>
              </w:rPr>
            </w:pPr>
            <w:r>
              <w:rPr>
                <w:rFonts w:ascii="Arial" w:cs="Arial" w:eastAsia="Arial" w:hAnsi="Arial"/>
                <w:sz w:val="18"/>
                <w:szCs w:val="18"/>
                <w:b w:val="1"/>
                <w:bCs w:val="1"/>
                <w:color w:val="FFFFFF"/>
              </w:rPr>
              <w:t>Policy/Practice</w:t>
            </w:r>
          </w:p>
        </w:tc>
        <w:tc>
          <w:tcPr>
            <w:tcW w:w="8480" w:type="dxa"/>
            <w:vAlign w:val="bottom"/>
            <w:vMerge w:val="continue"/>
            <w:shd w:val="clear" w:color="auto" w:fill="052B82"/>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8480" w:type="dxa"/>
            <w:vAlign w:val="bottom"/>
            <w:shd w:val="clear" w:color="auto" w:fill="052B82"/>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20" w:right="100"/>
        <w:spacing w:after="0" w:line="314" w:lineRule="auto"/>
        <w:rPr>
          <w:sz w:val="20"/>
          <w:szCs w:val="20"/>
          <w:color w:val="auto"/>
        </w:rPr>
      </w:pPr>
      <w:r>
        <w:rPr>
          <w:rFonts w:ascii="Arial" w:cs="Arial" w:eastAsia="Arial" w:hAnsi="Arial"/>
          <w:sz w:val="17"/>
          <w:szCs w:val="17"/>
          <w:b w:val="1"/>
          <w:bCs w:val="1"/>
          <w:color w:val="FFFFFF"/>
        </w:rPr>
        <w:t>Executive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Adoption of Proxy</w:t>
      </w:r>
    </w:p>
    <w:p>
      <w:pPr>
        <w:spacing w:after="0" w:line="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FFFFF"/>
        </w:rPr>
        <w:t>Access Right</w:t>
      </w:r>
    </w:p>
    <w:p>
      <w:pPr>
        <w:spacing w:after="0" w:line="20" w:lineRule="exact"/>
        <w:rPr>
          <w:sz w:val="20"/>
          <w:szCs w:val="20"/>
          <w:color w:val="auto"/>
        </w:rPr>
      </w:pPr>
      <w:r>
        <w:rPr>
          <w:sz w:val="20"/>
          <w:szCs w:val="20"/>
          <w:color w:val="auto"/>
        </w:rPr>
        <w:br w:type="column"/>
      </w:r>
    </w:p>
    <w:p>
      <w:pPr>
        <w:ind w:right="60"/>
        <w:spacing w:after="0" w:line="237" w:lineRule="auto"/>
        <w:rPr>
          <w:sz w:val="20"/>
          <w:szCs w:val="20"/>
          <w:color w:val="auto"/>
        </w:rPr>
      </w:pPr>
      <w:r>
        <w:rPr>
          <w:rFonts w:ascii="Arial" w:cs="Arial" w:eastAsia="Arial" w:hAnsi="Arial"/>
          <w:sz w:val="18"/>
          <w:szCs w:val="18"/>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the fiscal year ended November 3, 2018, or fiscal 2018.</w:t>
      </w:r>
    </w:p>
    <w:p>
      <w:pPr>
        <w:spacing w:after="0" w:line="163"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Our Board of Directors approved a bylaw amendment implementing proxy access, which allows shareholders that meet standard eligibility requirements to submit director candidates for election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69850</wp:posOffset>
            </wp:positionV>
            <wp:extent cx="53917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040"/>
          </w:cols>
          <w:pgMar w:left="240" w:top="453" w:right="499" w:bottom="1440" w:gutter="0" w:footer="0" w:header="0"/>
          <w:type w:val="continuous"/>
        </w:sectPr>
      </w:pPr>
    </w:p>
    <w:p>
      <w:pPr>
        <w:spacing w:after="0" w:line="114" w:lineRule="exact"/>
        <w:rPr>
          <w:sz w:val="20"/>
          <w:szCs w:val="20"/>
          <w:color w:val="auto"/>
        </w:rPr>
      </w:pPr>
    </w:p>
    <w:p>
      <w:pPr>
        <w:ind w:left="260" w:right="100" w:firstLine="435"/>
        <w:spacing w:after="0" w:line="250" w:lineRule="auto"/>
        <w:rPr>
          <w:sz w:val="20"/>
          <w:szCs w:val="20"/>
          <w:color w:val="auto"/>
        </w:rPr>
      </w:pPr>
      <w:r>
        <w:rPr>
          <w:rFonts w:ascii="Arial" w:cs="Arial" w:eastAsia="Arial" w:hAnsi="Arial"/>
          <w:sz w:val="18"/>
          <w:szCs w:val="18"/>
          <w:color w:val="auto"/>
        </w:rPr>
        <w:t>You can access our bylaws, the current charters for our Audit Committee, Compensation Committee and Nominating and Corporate Governance Committee, our Corporate Governance Guidelines, our Code of Business Conduct and Ethics, our Related Person Transaction Policy and our Equity Award Grant Date Policy at investor.analog.com/corporate-governance.cfm or by writing to:</w:t>
      </w:r>
    </w:p>
    <w:p>
      <w:pPr>
        <w:spacing w:after="0" w:line="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Investor Relations Department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Analog Devices, Inc.</w:t>
      </w:r>
    </w:p>
    <w:p>
      <w:pPr>
        <w:ind w:left="700"/>
        <w:spacing w:after="0" w:line="232" w:lineRule="auto"/>
        <w:rPr>
          <w:sz w:val="20"/>
          <w:szCs w:val="20"/>
          <w:color w:val="auto"/>
        </w:rPr>
      </w:pPr>
      <w:r>
        <w:rPr>
          <w:rFonts w:ascii="Arial" w:cs="Arial" w:eastAsia="Arial" w:hAnsi="Arial"/>
          <w:sz w:val="18"/>
          <w:szCs w:val="18"/>
          <w:color w:val="auto"/>
        </w:rPr>
        <w:t>One Technology Way</w:t>
      </w:r>
    </w:p>
    <w:p>
      <w:pPr>
        <w:ind w:left="700"/>
        <w:spacing w:after="0" w:line="232" w:lineRule="auto"/>
        <w:rPr>
          <w:sz w:val="20"/>
          <w:szCs w:val="20"/>
          <w:color w:val="auto"/>
        </w:rPr>
      </w:pPr>
      <w:r>
        <w:rPr>
          <w:rFonts w:ascii="Arial" w:cs="Arial" w:eastAsia="Arial" w:hAnsi="Arial"/>
          <w:sz w:val="18"/>
          <w:szCs w:val="18"/>
          <w:color w:val="auto"/>
        </w:rPr>
        <w:t>Norwood, Massachusetts 02062</w:t>
      </w:r>
    </w:p>
    <w:p>
      <w:pPr>
        <w:ind w:left="700"/>
        <w:spacing w:after="0" w:line="232" w:lineRule="auto"/>
        <w:rPr>
          <w:sz w:val="20"/>
          <w:szCs w:val="20"/>
          <w:color w:val="auto"/>
        </w:rPr>
      </w:pPr>
      <w:r>
        <w:rPr>
          <w:rFonts w:ascii="Arial" w:cs="Arial" w:eastAsia="Arial" w:hAnsi="Arial"/>
          <w:sz w:val="18"/>
          <w:szCs w:val="18"/>
          <w:color w:val="auto"/>
        </w:rPr>
        <w:t>Phone: 781-461-3282</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Email: investor.relations@analog.com</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ENGAGEMENT WITH OUR SHAREHOLDERS</w:t>
      </w:r>
    </w:p>
    <w:p>
      <w:pPr>
        <w:spacing w:after="0" w:line="102" w:lineRule="exact"/>
        <w:rPr>
          <w:sz w:val="20"/>
          <w:szCs w:val="20"/>
          <w:color w:val="auto"/>
        </w:rPr>
      </w:pPr>
    </w:p>
    <w:p>
      <w:pPr>
        <w:ind w:left="260" w:right="200" w:firstLine="435"/>
        <w:spacing w:after="0" w:line="238" w:lineRule="auto"/>
        <w:rPr>
          <w:sz w:val="20"/>
          <w:szCs w:val="20"/>
          <w:color w:val="auto"/>
        </w:rPr>
      </w:pPr>
      <w:r>
        <w:rPr>
          <w:rFonts w:ascii="Arial" w:cs="Arial" w:eastAsia="Arial" w:hAnsi="Arial"/>
          <w:sz w:val="18"/>
          <w:szCs w:val="18"/>
          <w:color w:val="auto"/>
        </w:rPr>
        <w:t>Since our inception as a public company, we have maintained an active engagement program with our shareholders, meeting with them extensively throughout the year as part of our investor outreach efforts. In fiscal 2018, we held more than 330 meetings with our shareholders, including the majority of our top 25 shareholders, to discuss the Company’s performance and prospects, as well as trends affecting the semiconductor industry. We also continued our specific outreach effort with our institutional investors to discuss corporate governance issues affecting the Company. During 2018, we reached out to our top 25 shareholders, representing approximately 63% of outstanding shares with an invitation to have discussions with their corporate governance teams. Of the shareholders who accepted our engagement invitation, topics covered in these meetings included:</w:t>
      </w:r>
    </w:p>
    <w:p>
      <w:pPr>
        <w:spacing w:after="0" w:line="85" w:lineRule="exact"/>
        <w:rPr>
          <w:sz w:val="20"/>
          <w:szCs w:val="20"/>
          <w:color w:val="auto"/>
        </w:rPr>
      </w:pPr>
    </w:p>
    <w:p>
      <w:pPr>
        <w:ind w:left="1120" w:hanging="31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composition: diversity, qualifications, skills and leadership structure</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Board evaluations and refreshment</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Corporate governance trends, including environmental, social and governance considerations</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 compensation policies and design</w:t>
      </w:r>
    </w:p>
    <w:p>
      <w:pPr>
        <w:spacing w:after="0" w:line="207" w:lineRule="exact"/>
        <w:rPr>
          <w:sz w:val="20"/>
          <w:szCs w:val="20"/>
          <w:color w:val="auto"/>
        </w:rPr>
      </w:pPr>
    </w:p>
    <w:p>
      <w:pPr>
        <w:ind w:left="260" w:right="40" w:firstLine="435"/>
        <w:spacing w:after="0" w:line="272" w:lineRule="auto"/>
        <w:rPr>
          <w:sz w:val="20"/>
          <w:szCs w:val="20"/>
          <w:color w:val="auto"/>
        </w:rPr>
      </w:pPr>
      <w:r>
        <w:rPr>
          <w:rFonts w:ascii="Arial" w:cs="Arial" w:eastAsia="Arial" w:hAnsi="Arial"/>
          <w:sz w:val="17"/>
          <w:szCs w:val="17"/>
          <w:color w:val="auto"/>
        </w:rPr>
        <w:t>In the spirit of continuous improvement, we have reviewed with our Board of Directors the key takeaways from these meetings with the goal of continuing to evolve our corporate governance practices to best meet the needs of the Company and our shareholders. We intend to continue our shareholder outreach efforts on an on-going basis and look forward to other meetings with our valued shareholders.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CORPORATE RESPONSIBILITY</w:t>
      </w:r>
    </w:p>
    <w:p>
      <w:pPr>
        <w:spacing w:after="0" w:line="102" w:lineRule="exact"/>
        <w:rPr>
          <w:sz w:val="20"/>
          <w:szCs w:val="20"/>
          <w:color w:val="auto"/>
        </w:rPr>
      </w:pPr>
    </w:p>
    <w:p>
      <w:pPr>
        <w:ind w:left="260" w:right="260" w:firstLine="435"/>
        <w:spacing w:after="0" w:line="269" w:lineRule="auto"/>
        <w:rPr>
          <w:sz w:val="20"/>
          <w:szCs w:val="20"/>
          <w:color w:val="auto"/>
        </w:rPr>
      </w:pPr>
      <w:r>
        <w:rPr>
          <w:rFonts w:ascii="Arial" w:cs="Arial" w:eastAsia="Arial" w:hAnsi="Arial"/>
          <w:sz w:val="18"/>
          <w:szCs w:val="18"/>
          <w:color w:val="auto"/>
        </w:rPr>
        <w:t>We have a long history of leadership in corporate responsibility, and pursue corporate social responsibility and sustainability along four axes—economic, environmental, social, and governance and ethics.</w:t>
      </w:r>
    </w:p>
    <w:p>
      <w:pPr>
        <w:spacing w:after="0" w:line="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25</w:t>
      </w:r>
    </w:p>
    <w:p>
      <w:pPr>
        <w:sectPr>
          <w:pgSz w:w="11900" w:h="16838" w:orient="portrait"/>
          <w:cols w:equalWidth="0" w:num="1">
            <w:col w:w="11160"/>
          </w:cols>
          <w:pgMar w:left="240" w:top="453" w:right="49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400" w:firstLine="435"/>
        <w:spacing w:after="0" w:line="244" w:lineRule="auto"/>
        <w:rPr>
          <w:sz w:val="20"/>
          <w:szCs w:val="20"/>
          <w:color w:val="auto"/>
        </w:rPr>
      </w:pPr>
      <w:r>
        <w:rPr>
          <w:rFonts w:ascii="Arial" w:cs="Arial" w:eastAsia="Arial" w:hAnsi="Arial"/>
          <w:sz w:val="18"/>
          <w:szCs w:val="18"/>
          <w:b w:val="1"/>
          <w:bCs w:val="1"/>
          <w:i w:val="1"/>
          <w:iCs w:val="1"/>
          <w:color w:val="auto"/>
        </w:rPr>
        <w:t xml:space="preserve">Economic Sustainability. </w:t>
      </w:r>
      <w:r>
        <w:rPr>
          <w:rFonts w:ascii="Arial" w:cs="Arial" w:eastAsia="Arial" w:hAnsi="Arial"/>
          <w:sz w:val="18"/>
          <w:szCs w:val="18"/>
          <w:color w:val="auto"/>
        </w:rPr>
        <w:t>ADI works to ensure that our technological innovations continue to have impact and our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partners and investors continue to share in the success of ADI. This is executed through our best-in-class financial model, global operations, and smart supply chain management. Economic sustainability considers the economic conditions of all of our stakeholders: employees, their families and communities, the communities where we operate, and world we all live in.</w:t>
      </w:r>
    </w:p>
    <w:p>
      <w:pPr>
        <w:spacing w:after="0" w:line="173" w:lineRule="exact"/>
        <w:rPr>
          <w:sz w:val="20"/>
          <w:szCs w:val="20"/>
          <w:color w:val="auto"/>
        </w:rPr>
      </w:pPr>
    </w:p>
    <w:p>
      <w:pPr>
        <w:ind w:left="260" w:right="240" w:firstLine="435"/>
        <w:spacing w:after="0" w:line="244" w:lineRule="auto"/>
        <w:rPr>
          <w:sz w:val="20"/>
          <w:szCs w:val="20"/>
          <w:color w:val="auto"/>
        </w:rPr>
      </w:pPr>
      <w:r>
        <w:rPr>
          <w:rFonts w:ascii="Arial" w:cs="Arial" w:eastAsia="Arial" w:hAnsi="Arial"/>
          <w:sz w:val="18"/>
          <w:szCs w:val="18"/>
          <w:b w:val="1"/>
          <w:bCs w:val="1"/>
          <w:i w:val="1"/>
          <w:iCs w:val="1"/>
          <w:color w:val="auto"/>
        </w:rPr>
        <w:t xml:space="preserve">Environmental Sustainability. </w:t>
      </w:r>
      <w:r>
        <w:rPr>
          <w:rFonts w:ascii="Arial" w:cs="Arial" w:eastAsia="Arial" w:hAnsi="Arial"/>
          <w:sz w:val="18"/>
          <w:szCs w:val="18"/>
          <w:color w:val="auto"/>
        </w:rPr>
        <w:t>At ADI, we are committed to operating in a way that minimizes impacts to the environment.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environmental performance objectives using a five-year planning horizon, and make annual updates to our objectives, targets, and programs. Progress is reviewed quarterly at the corporate level and monthly at the site level, and senior management allocates resources appropriately to help keep programs on plan.</w:t>
      </w:r>
    </w:p>
    <w:p>
      <w:pPr>
        <w:spacing w:after="0" w:line="173" w:lineRule="exact"/>
        <w:rPr>
          <w:sz w:val="20"/>
          <w:szCs w:val="20"/>
          <w:color w:val="auto"/>
        </w:rPr>
      </w:pPr>
    </w:p>
    <w:p>
      <w:pPr>
        <w:ind w:left="260" w:right="80" w:firstLine="435"/>
        <w:spacing w:after="0" w:line="244" w:lineRule="auto"/>
        <w:rPr>
          <w:sz w:val="20"/>
          <w:szCs w:val="20"/>
          <w:color w:val="auto"/>
        </w:rPr>
      </w:pPr>
      <w:r>
        <w:rPr>
          <w:rFonts w:ascii="Arial" w:cs="Arial" w:eastAsia="Arial" w:hAnsi="Arial"/>
          <w:sz w:val="18"/>
          <w:szCs w:val="18"/>
          <w:b w:val="1"/>
          <w:bCs w:val="1"/>
          <w:i w:val="1"/>
          <w:iCs w:val="1"/>
          <w:color w:val="auto"/>
        </w:rPr>
        <w:t xml:space="preserve">Social Sustainability. </w:t>
      </w:r>
      <w:r>
        <w:rPr>
          <w:rFonts w:ascii="Arial" w:cs="Arial" w:eastAsia="Arial" w:hAnsi="Arial"/>
          <w:sz w:val="18"/>
          <w:szCs w:val="18"/>
          <w:color w:val="auto"/>
        </w:rPr>
        <w:t>ADI’s stakeholder ecosystem extends beyond the typical focus on investors, employees, and 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communities and world in which we operate. We strive to be a positive influence in our communities by living up to the highest ethical standards, pursuing socially minded business practices, providing rewarding career and employment opportunities, and giving back to our communities in concert with our employees’ individual efforts.</w:t>
      </w:r>
    </w:p>
    <w:p>
      <w:pPr>
        <w:spacing w:after="0" w:line="173" w:lineRule="exact"/>
        <w:rPr>
          <w:sz w:val="20"/>
          <w:szCs w:val="20"/>
          <w:color w:val="auto"/>
        </w:rPr>
      </w:pPr>
    </w:p>
    <w:p>
      <w:pPr>
        <w:ind w:left="260" w:right="140" w:firstLine="435"/>
        <w:spacing w:after="0" w:line="241" w:lineRule="auto"/>
        <w:rPr>
          <w:sz w:val="20"/>
          <w:szCs w:val="20"/>
          <w:color w:val="auto"/>
        </w:rPr>
      </w:pPr>
      <w:r>
        <w:rPr>
          <w:rFonts w:ascii="Arial" w:cs="Arial" w:eastAsia="Arial" w:hAnsi="Arial"/>
          <w:sz w:val="18"/>
          <w:szCs w:val="18"/>
          <w:b w:val="1"/>
          <w:bCs w:val="1"/>
          <w:i w:val="1"/>
          <w:iCs w:val="1"/>
          <w:color w:val="auto"/>
        </w:rPr>
        <w:t xml:space="preserve">Governance and Ethical Sustainability. </w:t>
      </w:r>
      <w:r>
        <w:rPr>
          <w:rFonts w:ascii="Arial" w:cs="Arial" w:eastAsia="Arial" w:hAnsi="Arial"/>
          <w:sz w:val="18"/>
          <w:szCs w:val="18"/>
          <w:color w:val="auto"/>
        </w:rPr>
        <w:t>Ethical behavior has been a core tenet of our Company’s values since our earliest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employees, across all locations and job functions, have internalized the value of ethical behavior, routinely going beyond mere compliance with applicable laws and regulations. Our long history of leadership in the area of governance and ethics has resulted in a trusted reputation among our customers, investors, and employees, as well as the communities where we operate. That is a trust that we have worked hard to earn and one we don’t take lightly.</w:t>
      </w:r>
    </w:p>
    <w:p>
      <w:pPr>
        <w:spacing w:after="0" w:line="176" w:lineRule="exact"/>
        <w:rPr>
          <w:sz w:val="20"/>
          <w:szCs w:val="20"/>
          <w:color w:val="auto"/>
        </w:rPr>
      </w:pPr>
    </w:p>
    <w:p>
      <w:pPr>
        <w:ind w:left="260" w:right="460" w:firstLine="435"/>
        <w:spacing w:after="0" w:line="269" w:lineRule="auto"/>
        <w:rPr>
          <w:sz w:val="20"/>
          <w:szCs w:val="20"/>
          <w:color w:val="auto"/>
        </w:rPr>
      </w:pPr>
      <w:r>
        <w:rPr>
          <w:rFonts w:ascii="Arial" w:cs="Arial" w:eastAsia="Arial" w:hAnsi="Arial"/>
          <w:sz w:val="18"/>
          <w:szCs w:val="18"/>
          <w:color w:val="auto"/>
        </w:rPr>
        <w:t>For more information about our corporate responsibility efforts, please refer to our Sustainability Report available on the Analog Devices web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127000</wp:posOffset>
            </wp:positionV>
            <wp:extent cx="3119755" cy="771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975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Greenhouse gas emissions and non-hazardous waste and water recycling data excludes legacy Linear Technology sites.</w:t>
      </w:r>
    </w:p>
    <w:p>
      <w:pPr>
        <w:spacing w:after="0" w:line="1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Greenhouse gas emissions data compared to 2015 levels. Non-hazardous waste and water recycling for calendar year 2017.</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DETERMINATION OF INDEPENDENCE</w:t>
      </w:r>
    </w:p>
    <w:p>
      <w:pPr>
        <w:spacing w:after="0" w:line="102" w:lineRule="exact"/>
        <w:rPr>
          <w:sz w:val="20"/>
          <w:szCs w:val="20"/>
          <w:color w:val="auto"/>
        </w:rPr>
      </w:pPr>
    </w:p>
    <w:p>
      <w:pPr>
        <w:ind w:left="260" w:firstLine="435"/>
        <w:spacing w:after="0" w:line="235" w:lineRule="auto"/>
        <w:rPr>
          <w:sz w:val="20"/>
          <w:szCs w:val="20"/>
          <w:color w:val="auto"/>
        </w:rPr>
      </w:pPr>
      <w:r>
        <w:rPr>
          <w:rFonts w:ascii="Arial" w:cs="Arial" w:eastAsia="Arial" w:hAnsi="Arial"/>
          <w:sz w:val="18"/>
          <w:szCs w:val="18"/>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Champy, Evans, Novich and Sicchitano, Ms. Golz and Drs. Chandrakasan, Frank, Little and Su has a relationship which would interfere with the exercise of independent judgment in carrying out the responsibilities of a director and that each of these directors is an “independent director” as defined under Rule 5605(a)(2) of the Nasdaq Rules. The Board of Directors has determined that Mr. Roche, our President and Chief Executive Officer, and Mr. Stata, our Chairman and founder, are not “independent” under the Nasdaq Rules because Mr. Roche is a current employee and Mr. Stata is our founder. The Board of Directors considered the Company’s annual laboratory membership and sponsorship of university research projects with MIT (of which Anantha P. Chandrakasan is the Dean of the School of Engineering and James A. Champy is a board member) and Karen Golz’s former affiliation with Ernst &amp; Young and determined that those relationships would not interfere with the exercise of independent judgment in carrying out the responsibilities of a director.</w:t>
      </w:r>
    </w:p>
    <w:p>
      <w:pPr>
        <w:spacing w:after="0" w:line="136" w:lineRule="exact"/>
        <w:rPr>
          <w:sz w:val="20"/>
          <w:szCs w:val="20"/>
          <w:color w:val="auto"/>
        </w:rPr>
      </w:pPr>
    </w:p>
    <w:p>
      <w:pPr>
        <w:ind w:left="660" w:hanging="393"/>
        <w:spacing w:after="0"/>
        <w:tabs>
          <w:tab w:leader="none" w:pos="660" w:val="left"/>
        </w:tabs>
        <w:numPr>
          <w:ilvl w:val="0"/>
          <w:numId w:val="5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DIRECTOR CANDIDATES</w:t>
      </w:r>
    </w:p>
    <w:p>
      <w:pPr>
        <w:spacing w:after="0" w:line="102" w:lineRule="exact"/>
        <w:rPr>
          <w:sz w:val="20"/>
          <w:szCs w:val="20"/>
          <w:color w:val="auto"/>
        </w:rPr>
      </w:pPr>
    </w:p>
    <w:p>
      <w:pPr>
        <w:ind w:left="260" w:right="100" w:firstLine="435"/>
        <w:spacing w:after="0" w:line="241" w:lineRule="auto"/>
        <w:rPr>
          <w:sz w:val="20"/>
          <w:szCs w:val="20"/>
          <w:color w:val="auto"/>
        </w:rPr>
      </w:pPr>
      <w:r>
        <w:rPr>
          <w:rFonts w:ascii="Arial" w:cs="Arial" w:eastAsia="Arial" w:hAnsi="Arial"/>
          <w:sz w:val="18"/>
          <w:szCs w:val="18"/>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176" w:lineRule="exact"/>
        <w:rPr>
          <w:sz w:val="20"/>
          <w:szCs w:val="20"/>
          <w:color w:val="auto"/>
        </w:rPr>
      </w:pPr>
    </w:p>
    <w:p>
      <w:pPr>
        <w:ind w:left="260" w:firstLine="435"/>
        <w:spacing w:after="0" w:line="256" w:lineRule="auto"/>
        <w:rPr>
          <w:sz w:val="20"/>
          <w:szCs w:val="20"/>
          <w:color w:val="auto"/>
        </w:rPr>
      </w:pPr>
      <w:r>
        <w:rPr>
          <w:rFonts w:ascii="Arial" w:cs="Arial" w:eastAsia="Arial" w:hAnsi="Arial"/>
          <w:sz w:val="17"/>
          <w:szCs w:val="17"/>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Margaret K. Seif, Secretary, Analog Devices, Inc., One Technology Way, Norwood, Massachusetts 02062. The Nominating and Corporate Governance Committee will consider a recommendation only if appropriate biographical information and background material is provided on a timely basis.</w:t>
      </w:r>
    </w:p>
    <w:p>
      <w:pPr>
        <w:spacing w:after="0" w:line="164" w:lineRule="exact"/>
        <w:rPr>
          <w:sz w:val="20"/>
          <w:szCs w:val="20"/>
          <w:color w:val="auto"/>
        </w:rPr>
      </w:pPr>
    </w:p>
    <w:p>
      <w:pPr>
        <w:ind w:left="260" w:right="80" w:firstLine="435"/>
        <w:spacing w:after="0" w:line="237" w:lineRule="auto"/>
        <w:rPr>
          <w:sz w:val="20"/>
          <w:szCs w:val="20"/>
          <w:color w:val="auto"/>
        </w:rPr>
      </w:pPr>
      <w:r>
        <w:rPr>
          <w:rFonts w:ascii="Arial" w:cs="Arial" w:eastAsia="Arial" w:hAnsi="Arial"/>
          <w:sz w:val="18"/>
          <w:szCs w:val="18"/>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180" w:lineRule="exact"/>
        <w:rPr>
          <w:sz w:val="20"/>
          <w:szCs w:val="20"/>
          <w:color w:val="auto"/>
        </w:rPr>
      </w:pPr>
    </w:p>
    <w:p>
      <w:pPr>
        <w:ind w:left="260" w:right="140" w:firstLine="435"/>
        <w:spacing w:after="0" w:line="248" w:lineRule="auto"/>
        <w:rPr>
          <w:sz w:val="20"/>
          <w:szCs w:val="20"/>
          <w:color w:val="auto"/>
        </w:rPr>
      </w:pPr>
      <w:r>
        <w:rPr>
          <w:rFonts w:ascii="Arial" w:cs="Arial" w:eastAsia="Arial" w:hAnsi="Arial"/>
          <w:sz w:val="18"/>
          <w:szCs w:val="18"/>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ADI’s amended and restated bylaws and described in the response to the question </w:t>
      </w:r>
      <w:r>
        <w:rPr>
          <w:rFonts w:ascii="Arial" w:cs="Arial" w:eastAsia="Arial" w:hAnsi="Arial"/>
          <w:sz w:val="18"/>
          <w:szCs w:val="18"/>
          <w:b w:val="1"/>
          <w:bCs w:val="1"/>
          <w:color w:val="auto"/>
        </w:rPr>
        <w:t>“How and when may I submit a shareholder proposal, including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shareholder nomination for director, for the 2020 annual meeting of shareholders?” </w:t>
      </w:r>
      <w:r>
        <w:rPr>
          <w:rFonts w:ascii="Arial" w:cs="Arial" w:eastAsia="Arial" w:hAnsi="Arial"/>
          <w:sz w:val="18"/>
          <w:szCs w:val="18"/>
          <w:color w:val="auto"/>
        </w:rPr>
        <w:t>above.</w:t>
      </w:r>
    </w:p>
    <w:p>
      <w:pPr>
        <w:spacing w:after="0" w:line="159" w:lineRule="exact"/>
        <w:rPr>
          <w:sz w:val="20"/>
          <w:szCs w:val="20"/>
          <w:color w:val="auto"/>
        </w:rPr>
      </w:pPr>
    </w:p>
    <w:p>
      <w:pPr>
        <w:ind w:left="260" w:right="120" w:firstLine="435"/>
        <w:spacing w:after="0" w:line="236" w:lineRule="auto"/>
        <w:rPr>
          <w:sz w:val="20"/>
          <w:szCs w:val="20"/>
          <w:color w:val="auto"/>
        </w:rPr>
      </w:pPr>
      <w:r>
        <w:rPr>
          <w:rFonts w:ascii="Arial" w:cs="Arial" w:eastAsia="Arial" w:hAnsi="Arial"/>
          <w:sz w:val="18"/>
          <w:szCs w:val="18"/>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COMMUNICATIONS FROM SHAREHOLDERS AND OTHER INTERESTED PARTIES</w:t>
      </w:r>
    </w:p>
    <w:p>
      <w:pPr>
        <w:spacing w:after="0" w:line="102" w:lineRule="exact"/>
        <w:rPr>
          <w:sz w:val="20"/>
          <w:szCs w:val="20"/>
          <w:color w:val="auto"/>
        </w:rPr>
      </w:pPr>
    </w:p>
    <w:p>
      <w:pPr>
        <w:ind w:left="260" w:right="80" w:firstLine="435"/>
        <w:spacing w:after="0" w:line="254" w:lineRule="auto"/>
        <w:rPr>
          <w:sz w:val="20"/>
          <w:szCs w:val="20"/>
          <w:color w:val="auto"/>
        </w:rPr>
      </w:pPr>
      <w:r>
        <w:rPr>
          <w:rFonts w:ascii="Arial" w:cs="Arial" w:eastAsia="Arial" w:hAnsi="Arial"/>
          <w:sz w:val="17"/>
          <w:szCs w:val="17"/>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Chairman of the Nominating and Corporate Governance Committee will, with the assistance of Analog Devices’ internal legal counsel,</w:t>
      </w:r>
    </w:p>
    <w:p>
      <w:pPr>
        <w:spacing w:after="0" w:line="2" w:lineRule="exact"/>
        <w:rPr>
          <w:sz w:val="20"/>
          <w:szCs w:val="20"/>
          <w:color w:val="auto"/>
        </w:rPr>
      </w:pPr>
    </w:p>
    <w:p>
      <w:pPr>
        <w:ind w:left="260" w:right="560" w:firstLine="7"/>
        <w:spacing w:after="0" w:line="243" w:lineRule="auto"/>
        <w:tabs>
          <w:tab w:leader="none" w:pos="5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 primarily responsible for monitoring communications from shareholders and other interested parties and (2) provide copies or summaries of such communications to the other directors as he considers appropriate.</w:t>
      </w:r>
    </w:p>
    <w:p>
      <w:pPr>
        <w:spacing w:after="0" w:line="1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27</w:t>
      </w:r>
    </w:p>
    <w:p>
      <w:pPr>
        <w:sectPr>
          <w:pgSz w:w="11900" w:h="16838" w:orient="portrait"/>
          <w:cols w:equalWidth="0" w:num="1">
            <w:col w:w="11160"/>
          </w:cols>
          <w:pgMar w:left="240" w:top="453" w:right="4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60" w:firstLine="435"/>
        <w:spacing w:after="0" w:line="241" w:lineRule="auto"/>
        <w:rPr>
          <w:sz w:val="20"/>
          <w:szCs w:val="20"/>
          <w:color w:val="auto"/>
        </w:rPr>
      </w:pPr>
      <w:r>
        <w:rPr>
          <w:rFonts w:ascii="Arial" w:cs="Arial" w:eastAsia="Arial" w:hAnsi="Arial"/>
          <w:sz w:val="18"/>
          <w:szCs w:val="18"/>
          <w:color w:val="auto"/>
        </w:rPr>
        <w:t>Communications will be forwarded to all directors if they relate to substantive matters and include suggestions or comments that the Chairman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176" w:lineRule="exact"/>
        <w:rPr>
          <w:sz w:val="20"/>
          <w:szCs w:val="20"/>
          <w:color w:val="auto"/>
        </w:rPr>
      </w:pPr>
    </w:p>
    <w:p>
      <w:pPr>
        <w:ind w:left="260" w:firstLine="435"/>
        <w:spacing w:after="0" w:line="250" w:lineRule="auto"/>
        <w:rPr>
          <w:sz w:val="20"/>
          <w:szCs w:val="20"/>
          <w:color w:val="auto"/>
        </w:rPr>
      </w:pPr>
      <w:r>
        <w:rPr>
          <w:rFonts w:ascii="Arial" w:cs="Arial" w:eastAsia="Arial" w:hAnsi="Arial"/>
          <w:sz w:val="18"/>
          <w:szCs w:val="18"/>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Secretary, Analog Devices, Inc., One Technology Way, Norwood, Massachusetts 02062.</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BOARD OF DIRECTORS LEADERSHIP STRUCTURE</w:t>
      </w:r>
    </w:p>
    <w:p>
      <w:pPr>
        <w:spacing w:after="0" w:line="102" w:lineRule="exact"/>
        <w:rPr>
          <w:sz w:val="20"/>
          <w:szCs w:val="20"/>
          <w:color w:val="auto"/>
        </w:rPr>
      </w:pPr>
    </w:p>
    <w:p>
      <w:pPr>
        <w:ind w:left="260" w:right="60" w:firstLine="435"/>
        <w:spacing w:after="0" w:line="237" w:lineRule="auto"/>
        <w:rPr>
          <w:sz w:val="20"/>
          <w:szCs w:val="20"/>
          <w:color w:val="auto"/>
        </w:rPr>
      </w:pPr>
      <w:r>
        <w:rPr>
          <w:rFonts w:ascii="Arial" w:cs="Arial" w:eastAsia="Arial" w:hAnsi="Arial"/>
          <w:sz w:val="18"/>
          <w:szCs w:val="18"/>
          <w:color w:val="auto"/>
        </w:rPr>
        <w:t>Our Corporate Governance Guidelines provide that the roles of Chief Executive Officer and Chairman of the Board of Directors should be separate, unless otherwise determined by a majority of the Board of Directors, and we currently separate these roles. Our Chief Executive Officer is responsible for setting the strategic direction for the Company and the day-to-day leadership and performance of the Company, while our Chairman of the Board of Directors provides guidance to the Chief Executive Officer, sets the agenda for Board meetings and presides over meetings of the full Board of Directors. Because our Board of Directors has determined that Mr. Stata, our Chairman and founder, is not an independent director under the Nasdaq Rules, our Board of Directors has appointed James A. Champy as Presiding Director to preside at all executive sessions of directors without management present. The Board of Directors meets in executive session at each regular meeting.</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BOARD OF DIRECTORS MEETINGS AND COMMITTEES</w:t>
      </w:r>
    </w:p>
    <w:p>
      <w:pPr>
        <w:spacing w:after="0" w:line="102" w:lineRule="exact"/>
        <w:rPr>
          <w:sz w:val="20"/>
          <w:szCs w:val="20"/>
          <w:color w:val="auto"/>
        </w:rPr>
      </w:pPr>
    </w:p>
    <w:p>
      <w:pPr>
        <w:ind w:left="260" w:right="120" w:firstLine="435"/>
        <w:spacing w:after="0" w:line="237" w:lineRule="auto"/>
        <w:rPr>
          <w:sz w:val="20"/>
          <w:szCs w:val="20"/>
          <w:color w:val="auto"/>
        </w:rPr>
      </w:pPr>
      <w:r>
        <w:rPr>
          <w:rFonts w:ascii="Arial" w:cs="Arial" w:eastAsia="Arial" w:hAnsi="Arial"/>
          <w:sz w:val="18"/>
          <w:szCs w:val="18"/>
          <w:color w:val="auto"/>
        </w:rPr>
        <w:t>The Board of Directors has responsibility for reviewing our overall performance, rather than day-to-day operations. The Board of Directors’ primary responsibility is to oversee the management of the Company and, in so doing,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participates in decisions that have a potential major economic impact on Analog Devices. Management keeps the directors informed of Company activity through regular written reports and presentations at Board and committee meetings.</w:t>
      </w:r>
    </w:p>
    <w:p>
      <w:pPr>
        <w:spacing w:after="0" w:line="180" w:lineRule="exact"/>
        <w:rPr>
          <w:sz w:val="20"/>
          <w:szCs w:val="20"/>
          <w:color w:val="auto"/>
        </w:rPr>
      </w:pPr>
    </w:p>
    <w:p>
      <w:pPr>
        <w:ind w:left="260" w:right="60" w:firstLine="435"/>
        <w:spacing w:after="0" w:line="237" w:lineRule="auto"/>
        <w:rPr>
          <w:sz w:val="20"/>
          <w:szCs w:val="20"/>
          <w:color w:val="auto"/>
        </w:rPr>
      </w:pPr>
      <w:r>
        <w:rPr>
          <w:rFonts w:ascii="Arial" w:cs="Arial" w:eastAsia="Arial" w:hAnsi="Arial"/>
          <w:sz w:val="18"/>
          <w:szCs w:val="18"/>
          <w:color w:val="auto"/>
        </w:rPr>
        <w:t>The Board of Directors met 12 times in fiscal 2018 (including by telephone conference). During fiscal 2018, each of our directors attended 75% or more of the total number of meetings of the Board of Directors and the committees on which he or she served. The Board of Directors has standing Audit, Compensation, and Nominating and Corporate Governance Committees. All members of all three committees are independent, non-employee directors. Each committee has a charter that has been approved by the Board of Directors and is reviewed annually. In addition, each Committee conducts an annual self-evaluation of its own performance. Mr. Roche is the only current director who is, or has been in the past three years, an employee of Analog Devices. Messrs. Roche and Stata do not serve on any standing Board committee and do not participate in the portion of any Board or committee meeting during which their compensation is evaluated. The independent directors met in executive session without Messrs. Stata or Roche at each in-person Board meeting in fiscal 2018.</w:t>
      </w:r>
    </w:p>
    <w:p>
      <w:pPr>
        <w:spacing w:after="0" w:line="176" w:lineRule="exact"/>
        <w:rPr>
          <w:sz w:val="20"/>
          <w:szCs w:val="20"/>
          <w:color w:val="auto"/>
        </w:rPr>
      </w:pPr>
    </w:p>
    <w:p>
      <w:pPr>
        <w:ind w:left="260" w:right="80" w:firstLine="435"/>
        <w:spacing w:after="0" w:line="269" w:lineRule="auto"/>
        <w:rPr>
          <w:sz w:val="20"/>
          <w:szCs w:val="20"/>
          <w:color w:val="auto"/>
        </w:rPr>
      </w:pPr>
      <w:r>
        <w:rPr>
          <w:rFonts w:ascii="Arial" w:cs="Arial" w:eastAsia="Arial" w:hAnsi="Arial"/>
          <w:sz w:val="18"/>
          <w:szCs w:val="18"/>
          <w:color w:val="auto"/>
        </w:rPr>
        <w:t>Our Corporate Governance Guidelines set forth our policy that directors are expected to attend annual meetings of shareholders. All of our then-serving directors attended the 2018 Annual Meeting of Shareholders.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Audit Committee</w:t>
      </w:r>
    </w:p>
    <w:p>
      <w:pPr>
        <w:spacing w:after="0" w:line="102" w:lineRule="exact"/>
        <w:rPr>
          <w:sz w:val="20"/>
          <w:szCs w:val="20"/>
          <w:color w:val="auto"/>
        </w:rPr>
      </w:pPr>
    </w:p>
    <w:p>
      <w:pPr>
        <w:ind w:left="260" w:right="380" w:firstLine="435"/>
        <w:spacing w:after="0" w:line="244" w:lineRule="auto"/>
        <w:rPr>
          <w:sz w:val="20"/>
          <w:szCs w:val="20"/>
          <w:color w:val="auto"/>
        </w:rPr>
      </w:pPr>
      <w:r>
        <w:rPr>
          <w:rFonts w:ascii="Arial" w:cs="Arial" w:eastAsia="Arial" w:hAnsi="Arial"/>
          <w:sz w:val="18"/>
          <w:szCs w:val="18"/>
          <w:color w:val="auto"/>
        </w:rPr>
        <w:t>The current members of our Audit Committee are Messrs. Sicchitano (Chair) and Evans, Ms. Golz and Dr. Little. The Board of Directors has determined that each of Messrs. Sicchitano and Evans, Ms. Golz and Dr. Little qualifies as an “audit committee financial expert” under the rules of the SEC and is independent as defined under the Nasdaq Rules and the independence requirements under Rule 10A-3(b)(1) of the</w:t>
      </w:r>
    </w:p>
    <w:p>
      <w:pPr>
        <w:spacing w:after="0" w:line="134" w:lineRule="exact"/>
        <w:rPr>
          <w:sz w:val="20"/>
          <w:szCs w:val="20"/>
          <w:color w:val="auto"/>
        </w:rPr>
      </w:pPr>
    </w:p>
    <w:p>
      <w:pPr>
        <w:ind w:left="660" w:hanging="393"/>
        <w:spacing w:after="0"/>
        <w:tabs>
          <w:tab w:leader="none" w:pos="660" w:val="left"/>
        </w:tabs>
        <w:numPr>
          <w:ilvl w:val="0"/>
          <w:numId w:val="5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0"/>
        <w:spacing w:after="0" w:line="239" w:lineRule="auto"/>
        <w:rPr>
          <w:sz w:val="20"/>
          <w:szCs w:val="20"/>
          <w:color w:val="auto"/>
        </w:rPr>
      </w:pPr>
      <w:r>
        <w:rPr>
          <w:rFonts w:ascii="Arial" w:cs="Arial" w:eastAsia="Arial" w:hAnsi="Arial"/>
          <w:sz w:val="18"/>
          <w:szCs w:val="18"/>
          <w:color w:val="auto"/>
        </w:rPr>
        <w:t>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 employment experience in finance or accounting as required by the Nasdaq Rules. None of Messrs. Sicchitano and Evans, Ms. Golz or Dr. Little serves on the audit committees of more than two other public companies.</w:t>
      </w:r>
    </w:p>
    <w:p>
      <w:pPr>
        <w:spacing w:after="0" w:line="178" w:lineRule="exact"/>
        <w:rPr>
          <w:sz w:val="20"/>
          <w:szCs w:val="20"/>
          <w:color w:val="auto"/>
        </w:rPr>
      </w:pPr>
    </w:p>
    <w:p>
      <w:pPr>
        <w:ind w:left="260" w:firstLine="435"/>
        <w:spacing w:after="0" w:line="236" w:lineRule="auto"/>
        <w:rPr>
          <w:sz w:val="20"/>
          <w:szCs w:val="20"/>
          <w:color w:val="auto"/>
        </w:rPr>
      </w:pPr>
      <w:r>
        <w:rPr>
          <w:rFonts w:ascii="Arial" w:cs="Arial" w:eastAsia="Arial" w:hAnsi="Arial"/>
          <w:sz w:val="18"/>
          <w:szCs w:val="18"/>
          <w:color w:val="auto"/>
        </w:rPr>
        <w:t>The primary purpose of the Audit Committee is to assist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2018. The Audit Committee met 9 times during fiscal 2018 (including by telephone conference). The responsibilities of our Audit Committee and its activities during fiscal 2018 are described in the Report of the Audit Committee below.</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Committee</w:t>
      </w:r>
    </w:p>
    <w:p>
      <w:pPr>
        <w:spacing w:after="0" w:line="102" w:lineRule="exact"/>
        <w:rPr>
          <w:sz w:val="20"/>
          <w:szCs w:val="20"/>
          <w:color w:val="auto"/>
        </w:rPr>
      </w:pPr>
    </w:p>
    <w:p>
      <w:pPr>
        <w:ind w:left="260" w:right="80" w:firstLine="435"/>
        <w:spacing w:after="0" w:line="235" w:lineRule="auto"/>
        <w:rPr>
          <w:sz w:val="20"/>
          <w:szCs w:val="20"/>
          <w:color w:val="auto"/>
        </w:rPr>
      </w:pPr>
      <w:r>
        <w:rPr>
          <w:rFonts w:ascii="Arial" w:cs="Arial" w:eastAsia="Arial" w:hAnsi="Arial"/>
          <w:sz w:val="18"/>
          <w:szCs w:val="18"/>
          <w:color w:val="auto"/>
        </w:rPr>
        <w:t>The current members of our Compensation Committee are Mr. Novich (Chair) and Drs. Frank and Su. The Board of Directors has determined that each of Mr. Novich and Drs. Frank and Su is independent as defined under the Nasdaq Rules and the independence requirements under Rule 10C-1 of the Exchange Act. The Compensation Committee evaluates and sets the compensation of our Chief Executive Officer and our other executive officers, and makes recommendations to our Board of Directors regarding the compensation of our directors. The Compensation Committee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Stock Option and Stock-Based Award Grant Date Policies) to our officers. In accordance with the terms of our Amended and Restated 2006 Stock Incentive Plan, which we refer to as the 2006 Stock Incentive Plan, the Amended and Restated 2005 Equity Incentive Plan, which we refer to as the 2005 Plan, and the Amended and Restated 2010 Equity Incentive Plan, which we refer to as the 2010 Plan (the latter two of which were assumed by us in the Linear Technology acquisition), the Compensation Committee has delegated to our Chief Executive Officer the power to grant and modify options, RSUs and other stock awards to employees who are not executive officers or directors, subject to specified thresholds, parameters and applicable law. Our Compensation Committee held 12 meetings (including by telephone conference) during fiscal 2018.</w:t>
      </w:r>
    </w:p>
    <w:p>
      <w:pPr>
        <w:spacing w:after="0" w:line="180" w:lineRule="exact"/>
        <w:rPr>
          <w:sz w:val="20"/>
          <w:szCs w:val="20"/>
          <w:color w:val="auto"/>
        </w:rPr>
      </w:pPr>
    </w:p>
    <w:p>
      <w:pPr>
        <w:ind w:left="260" w:right="40" w:firstLine="435"/>
        <w:spacing w:after="0" w:line="254" w:lineRule="auto"/>
        <w:rPr>
          <w:sz w:val="20"/>
          <w:szCs w:val="20"/>
          <w:color w:val="auto"/>
        </w:rPr>
      </w:pPr>
      <w:r>
        <w:rPr>
          <w:rFonts w:ascii="Arial" w:cs="Arial" w:eastAsia="Arial" w:hAnsi="Arial"/>
          <w:sz w:val="17"/>
          <w:szCs w:val="17"/>
          <w:i w:val="1"/>
          <w:iCs w:val="1"/>
          <w:color w:val="auto"/>
        </w:rPr>
        <w:t xml:space="preserve">Compensation Committee Consultants. </w:t>
      </w:r>
      <w:r>
        <w:rPr>
          <w:rFonts w:ascii="Arial" w:cs="Arial" w:eastAsia="Arial" w:hAnsi="Arial"/>
          <w:sz w:val="17"/>
          <w:szCs w:val="17"/>
          <w:color w:val="auto"/>
        </w:rPr>
        <w:t>The Compensation Committee has the authority, in its sole discretion, to retain or obtain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advice of any 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or Pearl Meyer, an independent compensation consultant, during fiscal 2018. Pearl Meyer reports directly to the Compensation Committee and assists the Compensation Committee in evaluating and designing our executive and director compensation program and policies. In fiscal 2018, the Compensation Committee instructed Pearl Meyer to assist in the following matters:</w:t>
      </w:r>
    </w:p>
    <w:p>
      <w:pPr>
        <w:spacing w:after="0" w:line="74" w:lineRule="exact"/>
        <w:rPr>
          <w:sz w:val="20"/>
          <w:szCs w:val="20"/>
          <w:color w:val="auto"/>
        </w:rPr>
      </w:pPr>
    </w:p>
    <w:p>
      <w:pPr>
        <w:ind w:left="1120" w:hanging="319"/>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defining a peer group of companies;</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comparing our executive and director compensation arrangements to those of our defined peer group;</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assisting the Compensation Committee in defining a comparator group of companies for the 2018 performance-based RSUs;</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29</w:t>
      </w:r>
    </w:p>
    <w:p>
      <w:pPr>
        <w:sectPr>
          <w:pgSz w:w="11900" w:h="16838" w:orient="portrait"/>
          <w:cols w:equalWidth="0" w:num="1">
            <w:col w:w="11160"/>
          </w:cols>
          <w:pgMar w:left="240" w:top="453"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20" w:right="800" w:hanging="319"/>
        <w:spacing w:after="0" w:line="269"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market data and advice regarding executive and director compensation plan design, design of the executive performance incentive plan and equity incentive mix and design;</w:t>
      </w:r>
    </w:p>
    <w:p>
      <w:pPr>
        <w:spacing w:after="0" w:line="56" w:lineRule="exact"/>
        <w:rPr>
          <w:rFonts w:ascii="Arial" w:cs="Arial" w:eastAsia="Arial" w:hAnsi="Arial"/>
          <w:sz w:val="18"/>
          <w:szCs w:val="18"/>
          <w:color w:val="auto"/>
        </w:rPr>
      </w:pPr>
    </w:p>
    <w:p>
      <w:pPr>
        <w:ind w:left="1120" w:right="400" w:hanging="319"/>
        <w:spacing w:after="0" w:line="269"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conducting a detailed analysis of the competitiveness and appropriateness of the Company’s total executive compensation opportunity in comparison to our defined peer group; and</w:t>
      </w:r>
    </w:p>
    <w:p>
      <w:pPr>
        <w:spacing w:after="0" w:line="56" w:lineRule="exact"/>
        <w:rPr>
          <w:rFonts w:ascii="Arial" w:cs="Arial" w:eastAsia="Arial" w:hAnsi="Arial"/>
          <w:sz w:val="18"/>
          <w:szCs w:val="18"/>
          <w:color w:val="auto"/>
        </w:rPr>
      </w:pPr>
    </w:p>
    <w:p>
      <w:pPr>
        <w:ind w:left="1120" w:hanging="319"/>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conducting a risk assessment of our executive compensation program.</w:t>
      </w:r>
    </w:p>
    <w:p>
      <w:pPr>
        <w:spacing w:after="0" w:line="207" w:lineRule="exact"/>
        <w:rPr>
          <w:sz w:val="20"/>
          <w:szCs w:val="20"/>
          <w:color w:val="auto"/>
        </w:rPr>
      </w:pPr>
    </w:p>
    <w:p>
      <w:pPr>
        <w:ind w:left="260" w:right="20" w:firstLine="435"/>
        <w:spacing w:after="0" w:line="236" w:lineRule="auto"/>
        <w:rPr>
          <w:sz w:val="20"/>
          <w:szCs w:val="20"/>
          <w:color w:val="auto"/>
        </w:rPr>
      </w:pPr>
      <w:r>
        <w:rPr>
          <w:rFonts w:ascii="Arial" w:cs="Arial" w:eastAsia="Arial" w:hAnsi="Arial"/>
          <w:sz w:val="18"/>
          <w:szCs w:val="18"/>
          <w:color w:val="auto"/>
        </w:rPr>
        <w:t>In connection with its work for the Compensation Committee, Pearl Meyer is invited to attend the Compensation Committee’s meetings and, upon request of the Compensation Committee, attends executive sessions of the Compensation Committee. Pearl Meyer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Pearl Meyer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2018. The activities of our Compensation Committee and the services Pearl Meyer performed for the Compensation Committee during fiscal 2018 are further described in “INFORMATION ABOUT EXECUTIVE COMPENSATION — Compensation Discussion and Analysis” below.</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02" w:lineRule="exact"/>
        <w:rPr>
          <w:sz w:val="20"/>
          <w:szCs w:val="20"/>
          <w:color w:val="auto"/>
        </w:rPr>
      </w:pPr>
    </w:p>
    <w:p>
      <w:pPr>
        <w:ind w:left="260" w:firstLine="435"/>
        <w:spacing w:after="0" w:line="235" w:lineRule="auto"/>
        <w:rPr>
          <w:sz w:val="20"/>
          <w:szCs w:val="20"/>
          <w:color w:val="auto"/>
        </w:rPr>
      </w:pPr>
      <w:r>
        <w:rPr>
          <w:rFonts w:ascii="Arial" w:cs="Arial" w:eastAsia="Arial" w:hAnsi="Arial"/>
          <w:sz w:val="18"/>
          <w:szCs w:val="18"/>
          <w:color w:val="auto"/>
        </w:rPr>
        <w:t>The current members of our Nominating and Corporate Governance Committee are Mr. Champy (Chair) and Dr. Frank. The Board of Directors has determined that each of Mr. Champy and Dr. Frank is independent as defined under the Nasdaq Rules. The primary responsibility of the Nominating and Corporate Governance Committee is to identify individuals qualified to become Board members consistent with criteria approved by the Board of Directors, recommend to the Board of Directors the persons to be nominated by the Board of Directors for election as directors at any meeting of shareholders and the persons to be elected by the Board to fill any vacancies on the Board,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and oversight of our Code of Business Conduct and Ethics. 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 Director Candidates” above. Our Nominating and Corporate Governance Committee held five meetings during fiscal 2018 (including by telephone conference).</w:t>
      </w:r>
    </w:p>
    <w:p>
      <w:pPr>
        <w:spacing w:after="0" w:line="139" w:lineRule="exact"/>
        <w:rPr>
          <w:sz w:val="20"/>
          <w:szCs w:val="20"/>
          <w:color w:val="auto"/>
        </w:rPr>
      </w:pPr>
    </w:p>
    <w:p>
      <w:pPr>
        <w:ind w:left="660" w:hanging="393"/>
        <w:spacing w:after="0"/>
        <w:tabs>
          <w:tab w:leader="none" w:pos="660" w:val="left"/>
        </w:tabs>
        <w:numPr>
          <w:ilvl w:val="0"/>
          <w:numId w:val="62"/>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THE BOARD OF DIRECTORS’ ROLE IN RISK OVERSIGHT</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management’s and the Board of Directors’ role in risk management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170180</wp:posOffset>
            </wp:positionV>
            <wp:extent cx="6917690" cy="3145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17690" cy="3145155"/>
                    </a:xfrm>
                    <a:prstGeom prst="rect">
                      <a:avLst/>
                    </a:prstGeom>
                    <a:noFill/>
                  </pic:spPr>
                </pic:pic>
              </a:graphicData>
            </a:graphic>
          </wp:anchor>
        </w:drawing>
      </w:r>
    </w:p>
    <w:p>
      <w:pPr>
        <w:sectPr>
          <w:pgSz w:w="11900" w:h="16838" w:orient="portrait"/>
          <w:cols w:equalWidth="0" w:num="1">
            <w:col w:w="11160"/>
          </w:cols>
          <w:pgMar w:left="240" w:top="453"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Management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Audit Committee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Compensation</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Committee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Nominating and</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Corporate</w:t>
      </w:r>
    </w:p>
    <w:p>
      <w:pPr>
        <w:ind w:left="520"/>
        <w:spacing w:after="0" w:line="232" w:lineRule="auto"/>
        <w:rPr>
          <w:sz w:val="20"/>
          <w:szCs w:val="20"/>
          <w:color w:val="auto"/>
        </w:rPr>
      </w:pPr>
      <w:r>
        <w:rPr>
          <w:rFonts w:ascii="Arial" w:cs="Arial" w:eastAsia="Arial" w:hAnsi="Arial"/>
          <w:sz w:val="18"/>
          <w:szCs w:val="18"/>
          <w:b w:val="1"/>
          <w:bCs w:val="1"/>
          <w:color w:val="FFFFFF"/>
        </w:rPr>
        <w:t>Governance</w:t>
      </w:r>
    </w:p>
    <w:p>
      <w:pPr>
        <w:ind w:left="520"/>
        <w:spacing w:after="0"/>
        <w:rPr>
          <w:sz w:val="20"/>
          <w:szCs w:val="20"/>
          <w:color w:val="auto"/>
        </w:rPr>
      </w:pPr>
      <w:r>
        <w:rPr>
          <w:rFonts w:ascii="Arial" w:cs="Arial" w:eastAsia="Arial" w:hAnsi="Arial"/>
          <w:sz w:val="18"/>
          <w:szCs w:val="18"/>
          <w:b w:val="1"/>
          <w:bCs w:val="1"/>
          <w:color w:val="FFFFFF"/>
        </w:rPr>
        <w:t>Committee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Our management team is responsible for day-to-day risk management activities. Members of management report to the Board of Directors (or the appropriate committee in the case of risks that are under the purview of a particular committee) regarding risk identification, risk management and risk mitigation strategies.</w:t>
      </w:r>
    </w:p>
    <w:p>
      <w:pPr>
        <w:spacing w:after="0" w:line="16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Board of Directors’ role in the Company’s risk oversight process includes receiving regular reports from members of senior management on areas of material risk to the Company, including operational, financial, legal and regulatory, culture and human capital management and strategic and reputational risks.</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Audit Committee discusses ADI’s policies with respect to risk assessment and risk management as they apply to ADI’s financial statement integrity and reporting and internal controls. The Audit Committee also receives regular reports from our Director of Internal Audit on internal audit matters and receives reports at least annually from our Chief Information Officer on information security, technology and data privacy and protection. The Chief Information Officer also provides an annual report to the full Board of Directors regarding cybersecurity risk.</w:t>
      </w:r>
    </w:p>
    <w:p>
      <w:pPr>
        <w:spacing w:after="0" w:line="165" w:lineRule="exact"/>
        <w:rPr>
          <w:sz w:val="20"/>
          <w:szCs w:val="20"/>
          <w:color w:val="auto"/>
        </w:rPr>
      </w:pPr>
    </w:p>
    <w:p>
      <w:pPr>
        <w:ind w:right="360"/>
        <w:spacing w:after="0" w:line="299" w:lineRule="auto"/>
        <w:rPr>
          <w:sz w:val="20"/>
          <w:szCs w:val="20"/>
          <w:color w:val="auto"/>
        </w:rPr>
      </w:pPr>
      <w:r>
        <w:rPr>
          <w:rFonts w:ascii="Arial" w:cs="Arial" w:eastAsia="Arial" w:hAnsi="Arial"/>
          <w:sz w:val="17"/>
          <w:szCs w:val="17"/>
          <w:color w:val="auto"/>
        </w:rPr>
        <w:t>The Compensation Committee considers whether ADI’s executive compensation program and non-executive director compensation practices encourage excessive or inappropriate risk taking.</w:t>
      </w:r>
    </w:p>
    <w:p>
      <w:pPr>
        <w:spacing w:after="0" w:line="140"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Nominating and Corporate Governance Committee leads the Board with respect to the adequacy of the Company’s governance structure and process and of succession planning for the Company’s Board of Directors, Chief Executive Officer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112395</wp:posOffset>
            </wp:positionV>
            <wp:extent cx="5255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55895" cy="8255"/>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2500" w:space="720"/>
            <w:col w:w="7940"/>
          </w:cols>
          <w:pgMar w:left="240" w:top="453" w:right="499" w:bottom="1440" w:gutter="0" w:footer="0" w:header="0"/>
          <w:type w:val="continuous"/>
        </w:sectPr>
      </w:pP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REPORT OF THE AUDIT COMMITTEE</w:t>
      </w:r>
    </w:p>
    <w:p>
      <w:pPr>
        <w:spacing w:after="0" w:line="102" w:lineRule="exact"/>
        <w:rPr>
          <w:sz w:val="20"/>
          <w:szCs w:val="20"/>
          <w:color w:val="auto"/>
        </w:rPr>
      </w:pPr>
    </w:p>
    <w:p>
      <w:pPr>
        <w:ind w:left="260" w:right="20" w:firstLine="435"/>
        <w:spacing w:after="0" w:line="234" w:lineRule="auto"/>
        <w:rPr>
          <w:sz w:val="20"/>
          <w:szCs w:val="20"/>
          <w:color w:val="auto"/>
        </w:rPr>
      </w:pPr>
      <w:r>
        <w:rPr>
          <w:rFonts w:ascii="Arial" w:cs="Arial" w:eastAsia="Arial" w:hAnsi="Arial"/>
          <w:sz w:val="18"/>
          <w:szCs w:val="18"/>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controls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controls over financial reporting. In fulfilling its oversight responsibilities, the Audit Committee reviewed and discussed with management the audited financial statements contained in our Annual Report on Form 10-K and the quarterly financial statements during fiscal 2018,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1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31</w:t>
      </w:r>
    </w:p>
    <w:p>
      <w:pPr>
        <w:sectPr>
          <w:pgSz w:w="11900" w:h="16838" w:orient="portrait"/>
          <w:cols w:equalWidth="0" w:num="1">
            <w:col w:w="11160"/>
          </w:cols>
          <w:pgMar w:left="240" w:top="453" w:right="49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60" w:firstLine="435"/>
        <w:spacing w:after="0" w:line="236" w:lineRule="auto"/>
        <w:rPr>
          <w:sz w:val="20"/>
          <w:szCs w:val="20"/>
          <w:color w:val="auto"/>
        </w:rPr>
      </w:pPr>
      <w:r>
        <w:rPr>
          <w:rFonts w:ascii="Arial" w:cs="Arial" w:eastAsia="Arial" w:hAnsi="Arial"/>
          <w:sz w:val="18"/>
          <w:szCs w:val="18"/>
          <w:color w:val="auto"/>
        </w:rPr>
        <w:t xml:space="preserve">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to be discussed as required by AS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(PCAOB) and (ii) the independent registered public accounting firm’s independence from Analog Devices and its management, including the matters in the written disclosures and the letter we received from the independent registered public accounting firm required by the PCAOB Ethics and Independence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Concerning Independence</w:t>
      </w:r>
      <w:r>
        <w:rPr>
          <w:rFonts w:ascii="Arial" w:cs="Arial" w:eastAsia="Arial" w:hAnsi="Arial"/>
          <w:sz w:val="18"/>
          <w:szCs w:val="18"/>
          <w:color w:val="auto"/>
        </w:rPr>
        <w:t>, regarding the independent registered public accounting firm’s communications with the Audit Committee on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The Audit Committee considered the appropriateness of the provision of non-audit services by the independent registered public accounting firm relative to their independence.</w:t>
      </w:r>
    </w:p>
    <w:p>
      <w:pPr>
        <w:spacing w:after="0" w:line="178" w:lineRule="exact"/>
        <w:rPr>
          <w:sz w:val="20"/>
          <w:szCs w:val="20"/>
          <w:color w:val="auto"/>
        </w:rPr>
      </w:pPr>
    </w:p>
    <w:p>
      <w:pPr>
        <w:ind w:left="260" w:right="60" w:firstLine="435"/>
        <w:spacing w:after="0" w:line="244" w:lineRule="auto"/>
        <w:rPr>
          <w:sz w:val="20"/>
          <w:szCs w:val="20"/>
          <w:color w:val="auto"/>
        </w:rPr>
      </w:pPr>
      <w:r>
        <w:rPr>
          <w:rFonts w:ascii="Arial" w:cs="Arial" w:eastAsia="Arial" w:hAnsi="Arial"/>
          <w:sz w:val="18"/>
          <w:szCs w:val="18"/>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November 3, 2018. The Audit Committee also selected Ernst &amp; Young LLP as our independent registered public accounting firm for the fiscal year ending November 2, 2019.</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Audit Committee</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Kenton J. Sicchitano, </w:t>
      </w:r>
      <w:r>
        <w:rPr>
          <w:rFonts w:ascii="Arial" w:cs="Arial" w:eastAsia="Arial" w:hAnsi="Arial"/>
          <w:sz w:val="18"/>
          <w:szCs w:val="18"/>
          <w:i w:val="1"/>
          <w:iCs w:val="1"/>
          <w:color w:val="auto"/>
        </w:rPr>
        <w:t>Chairman</w:t>
      </w:r>
    </w:p>
    <w:p>
      <w:pPr>
        <w:ind w:left="700"/>
        <w:spacing w:after="0" w:line="232" w:lineRule="auto"/>
        <w:rPr>
          <w:sz w:val="20"/>
          <w:szCs w:val="20"/>
          <w:color w:val="auto"/>
        </w:rPr>
      </w:pPr>
      <w:r>
        <w:rPr>
          <w:rFonts w:ascii="Arial" w:cs="Arial" w:eastAsia="Arial" w:hAnsi="Arial"/>
          <w:sz w:val="18"/>
          <w:szCs w:val="18"/>
          <w:color w:val="auto"/>
        </w:rPr>
        <w:t>Bruce R. Evans</w:t>
      </w:r>
    </w:p>
    <w:p>
      <w:pPr>
        <w:ind w:left="700"/>
        <w:spacing w:after="0" w:line="232" w:lineRule="auto"/>
        <w:rPr>
          <w:sz w:val="20"/>
          <w:szCs w:val="20"/>
          <w:color w:val="auto"/>
        </w:rPr>
      </w:pPr>
      <w:r>
        <w:rPr>
          <w:rFonts w:ascii="Arial" w:cs="Arial" w:eastAsia="Arial" w:hAnsi="Arial"/>
          <w:sz w:val="18"/>
          <w:szCs w:val="18"/>
          <w:color w:val="auto"/>
        </w:rPr>
        <w:t>Karen M. Golz</w:t>
      </w:r>
    </w:p>
    <w:p>
      <w:pPr>
        <w:ind w:left="700"/>
        <w:spacing w:after="0"/>
        <w:rPr>
          <w:sz w:val="20"/>
          <w:szCs w:val="20"/>
          <w:color w:val="auto"/>
        </w:rPr>
      </w:pPr>
      <w:r>
        <w:rPr>
          <w:rFonts w:ascii="Arial" w:cs="Arial" w:eastAsia="Arial" w:hAnsi="Arial"/>
          <w:sz w:val="18"/>
          <w:szCs w:val="18"/>
          <w:color w:val="auto"/>
        </w:rPr>
        <w:t>Mark M. Little</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INDEPENDENT REGISTERED PUBLIC ACCOUNTING FIRM FEES AND OTHER MATTERS</w:t>
      </w:r>
    </w:p>
    <w:p>
      <w:pPr>
        <w:spacing w:after="0" w:line="102" w:lineRule="exact"/>
        <w:rPr>
          <w:sz w:val="20"/>
          <w:szCs w:val="20"/>
          <w:color w:val="auto"/>
        </w:rPr>
      </w:pPr>
    </w:p>
    <w:p>
      <w:pPr>
        <w:ind w:left="260" w:firstLine="435"/>
        <w:spacing w:after="0" w:line="269" w:lineRule="auto"/>
        <w:rPr>
          <w:sz w:val="20"/>
          <w:szCs w:val="20"/>
          <w:color w:val="auto"/>
        </w:rPr>
      </w:pPr>
      <w:r>
        <w:rPr>
          <w:rFonts w:ascii="Arial" w:cs="Arial" w:eastAsia="Arial" w:hAnsi="Arial"/>
          <w:sz w:val="18"/>
          <w:szCs w:val="18"/>
          <w:color w:val="auto"/>
        </w:rPr>
        <w:t>The following table presents the aggregate fees billed for services rendered by Ernst &amp; Young LLP, our independent registered public accounting firm, for fiscal 2018 and fiscal 2017.</w:t>
      </w:r>
    </w:p>
    <w:p>
      <w:pPr>
        <w:spacing w:after="0" w:line="199"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120" w:type="dxa"/>
            <w:vAlign w:val="bottom"/>
            <w:shd w:val="clear" w:color="auto" w:fill="052B82"/>
          </w:tcPr>
          <w:p>
            <w:pPr>
              <w:spacing w:after="0"/>
              <w:rPr>
                <w:sz w:val="14"/>
                <w:szCs w:val="14"/>
                <w:color w:val="auto"/>
              </w:rPr>
            </w:pPr>
          </w:p>
        </w:tc>
        <w:tc>
          <w:tcPr>
            <w:tcW w:w="500" w:type="dxa"/>
            <w:vAlign w:val="bottom"/>
            <w:shd w:val="clear" w:color="auto" w:fill="052B82"/>
          </w:tcPr>
          <w:p>
            <w:pPr>
              <w:spacing w:after="0"/>
              <w:rPr>
                <w:sz w:val="14"/>
                <w:szCs w:val="14"/>
                <w:color w:val="auto"/>
              </w:rPr>
            </w:pPr>
          </w:p>
        </w:tc>
        <w:tc>
          <w:tcPr>
            <w:tcW w:w="100" w:type="dxa"/>
            <w:vAlign w:val="bottom"/>
            <w:shd w:val="clear" w:color="auto" w:fill="052B82"/>
          </w:tcPr>
          <w:p>
            <w:pPr>
              <w:spacing w:after="0"/>
              <w:rPr>
                <w:sz w:val="14"/>
                <w:szCs w:val="14"/>
                <w:color w:val="auto"/>
              </w:rPr>
            </w:pPr>
          </w:p>
        </w:tc>
        <w:tc>
          <w:tcPr>
            <w:tcW w:w="920" w:type="dxa"/>
            <w:vAlign w:val="bottom"/>
            <w:shd w:val="clear" w:color="auto" w:fill="052B82"/>
          </w:tcPr>
          <w:p>
            <w:pPr>
              <w:jc w:val="right"/>
              <w:ind w:right="55"/>
              <w:spacing w:after="0"/>
              <w:rPr>
                <w:sz w:val="20"/>
                <w:szCs w:val="20"/>
                <w:color w:val="auto"/>
              </w:rPr>
            </w:pPr>
            <w:r>
              <w:rPr>
                <w:rFonts w:ascii="Arial" w:cs="Arial" w:eastAsia="Arial" w:hAnsi="Arial"/>
                <w:sz w:val="14"/>
                <w:szCs w:val="14"/>
                <w:b w:val="1"/>
                <w:bCs w:val="1"/>
                <w:color w:val="FFFFFF"/>
              </w:rPr>
              <w:t>Fiscal 2018</w:t>
            </w:r>
          </w:p>
        </w:tc>
        <w:tc>
          <w:tcPr>
            <w:tcW w:w="540" w:type="dxa"/>
            <w:vAlign w:val="bottom"/>
            <w:shd w:val="clear" w:color="auto" w:fill="052B82"/>
          </w:tcPr>
          <w:p>
            <w:pPr>
              <w:spacing w:after="0"/>
              <w:rPr>
                <w:sz w:val="14"/>
                <w:szCs w:val="14"/>
                <w:color w:val="auto"/>
              </w:rPr>
            </w:pPr>
          </w:p>
        </w:tc>
        <w:tc>
          <w:tcPr>
            <w:tcW w:w="120" w:type="dxa"/>
            <w:vAlign w:val="bottom"/>
            <w:shd w:val="clear" w:color="auto" w:fill="052B82"/>
          </w:tcPr>
          <w:p>
            <w:pPr>
              <w:spacing w:after="0"/>
              <w:rPr>
                <w:sz w:val="14"/>
                <w:szCs w:val="14"/>
                <w:color w:val="auto"/>
              </w:rPr>
            </w:pPr>
          </w:p>
        </w:tc>
        <w:tc>
          <w:tcPr>
            <w:tcW w:w="980" w:type="dxa"/>
            <w:vAlign w:val="bottom"/>
            <w:tcBorders>
              <w:right w:val="single" w:sz="8" w:color="052B82"/>
            </w:tcBorders>
            <w:shd w:val="clear" w:color="auto" w:fill="052B82"/>
          </w:tcPr>
          <w:p>
            <w:pPr>
              <w:jc w:val="right"/>
              <w:ind w:right="115"/>
              <w:spacing w:after="0"/>
              <w:rPr>
                <w:sz w:val="20"/>
                <w:szCs w:val="20"/>
                <w:color w:val="auto"/>
              </w:rPr>
            </w:pPr>
            <w:r>
              <w:rPr>
                <w:rFonts w:ascii="Arial" w:cs="Arial" w:eastAsia="Arial" w:hAnsi="Arial"/>
                <w:sz w:val="14"/>
                <w:szCs w:val="14"/>
                <w:b w:val="1"/>
                <w:bCs w:val="1"/>
                <w:color w:val="FFFFFF"/>
              </w:rPr>
              <w:t>Fiscal 2017</w:t>
            </w:r>
          </w:p>
        </w:tc>
      </w:tr>
      <w:tr>
        <w:trPr>
          <w:trHeight w:val="200"/>
        </w:trPr>
        <w:tc>
          <w:tcPr>
            <w:tcW w:w="5120" w:type="dxa"/>
            <w:vAlign w:val="bottom"/>
          </w:tcPr>
          <w:p>
            <w:pPr>
              <w:ind w:left="40"/>
              <w:spacing w:after="0" w:line="201" w:lineRule="exact"/>
              <w:rPr>
                <w:sz w:val="20"/>
                <w:szCs w:val="20"/>
                <w:color w:val="auto"/>
              </w:rPr>
            </w:pPr>
            <w:r>
              <w:rPr>
                <w:rFonts w:ascii="Arial" w:cs="Arial" w:eastAsia="Arial" w:hAnsi="Arial"/>
                <w:sz w:val="18"/>
                <w:szCs w:val="18"/>
                <w:color w:val="auto"/>
              </w:rPr>
              <w:t>Audit Fees</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5,132,000</w:t>
            </w:r>
          </w:p>
        </w:tc>
        <w:tc>
          <w:tcPr>
            <w:tcW w:w="6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6,115,000</w:t>
            </w:r>
          </w:p>
        </w:tc>
      </w:tr>
      <w:tr>
        <w:trPr>
          <w:trHeight w:val="200"/>
        </w:trPr>
        <w:tc>
          <w:tcPr>
            <w:tcW w:w="5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Audit-Related Fees</w:t>
            </w:r>
          </w:p>
        </w:tc>
        <w:tc>
          <w:tcPr>
            <w:tcW w:w="500" w:type="dxa"/>
            <w:vAlign w:val="bottom"/>
            <w:shd w:val="clear" w:color="auto" w:fill="E8EDF4"/>
          </w:tcPr>
          <w:p>
            <w:pPr>
              <w:spacing w:after="0"/>
              <w:rPr>
                <w:sz w:val="17"/>
                <w:szCs w:val="17"/>
                <w:color w:val="auto"/>
              </w:rPr>
            </w:pPr>
          </w:p>
        </w:tc>
        <w:tc>
          <w:tcPr>
            <w:tcW w:w="10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95,000</w:t>
            </w:r>
          </w:p>
        </w:tc>
        <w:tc>
          <w:tcPr>
            <w:tcW w:w="540" w:type="dxa"/>
            <w:vAlign w:val="bottom"/>
            <w:shd w:val="clear" w:color="auto" w:fill="E8EDF4"/>
          </w:tcPr>
          <w:p>
            <w:pPr>
              <w:spacing w:after="0"/>
              <w:rPr>
                <w:sz w:val="17"/>
                <w:szCs w:val="17"/>
                <w:color w:val="auto"/>
              </w:rPr>
            </w:pPr>
          </w:p>
        </w:tc>
        <w:tc>
          <w:tcPr>
            <w:tcW w:w="120" w:type="dxa"/>
            <w:vAlign w:val="bottom"/>
            <w:shd w:val="clear" w:color="auto" w:fill="E8EDF4"/>
          </w:tcPr>
          <w:p>
            <w:pPr>
              <w:spacing w:after="0"/>
              <w:rPr>
                <w:sz w:val="17"/>
                <w:szCs w:val="17"/>
                <w:color w:val="auto"/>
              </w:rPr>
            </w:pPr>
          </w:p>
        </w:tc>
        <w:tc>
          <w:tcPr>
            <w:tcW w:w="980" w:type="dxa"/>
            <w:vAlign w:val="bottom"/>
            <w:tcBorders>
              <w:right w:val="single" w:sz="8" w:color="E8EDF4"/>
            </w:tcBorders>
            <w:shd w:val="clear" w:color="auto" w:fill="E8EDF4"/>
          </w:tcPr>
          <w:p>
            <w:pPr>
              <w:jc w:val="right"/>
              <w:spacing w:after="0" w:line="201" w:lineRule="exact"/>
              <w:rPr>
                <w:sz w:val="20"/>
                <w:szCs w:val="20"/>
                <w:color w:val="auto"/>
              </w:rPr>
            </w:pPr>
            <w:r>
              <w:rPr>
                <w:rFonts w:ascii="Arial" w:cs="Arial" w:eastAsia="Arial" w:hAnsi="Arial"/>
                <w:sz w:val="18"/>
                <w:szCs w:val="18"/>
                <w:color w:val="auto"/>
              </w:rPr>
              <w:t>249,000</w:t>
            </w:r>
          </w:p>
        </w:tc>
      </w:tr>
      <w:tr>
        <w:trPr>
          <w:trHeight w:val="207"/>
        </w:trPr>
        <w:tc>
          <w:tcPr>
            <w:tcW w:w="5120" w:type="dxa"/>
            <w:vAlign w:val="bottom"/>
          </w:tcPr>
          <w:p>
            <w:pPr>
              <w:ind w:left="40"/>
              <w:spacing w:after="0" w:line="201" w:lineRule="exact"/>
              <w:rPr>
                <w:sz w:val="20"/>
                <w:szCs w:val="20"/>
                <w:color w:val="auto"/>
              </w:rPr>
            </w:pPr>
            <w:r>
              <w:rPr>
                <w:rFonts w:ascii="Arial" w:cs="Arial" w:eastAsia="Arial" w:hAnsi="Arial"/>
                <w:sz w:val="18"/>
                <w:szCs w:val="18"/>
                <w:color w:val="auto"/>
              </w:rPr>
              <w:t>Tax Fees</w:t>
            </w:r>
          </w:p>
        </w:tc>
        <w:tc>
          <w:tcPr>
            <w:tcW w:w="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5,465,000</w:t>
            </w:r>
          </w:p>
        </w:tc>
        <w:tc>
          <w:tcPr>
            <w:tcW w:w="5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6,251,000</w:t>
            </w:r>
          </w:p>
        </w:tc>
      </w:tr>
      <w:tr>
        <w:trPr>
          <w:trHeight w:val="220"/>
        </w:trPr>
        <w:tc>
          <w:tcPr>
            <w:tcW w:w="5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Total Fees</w:t>
            </w:r>
          </w:p>
        </w:tc>
        <w:tc>
          <w:tcPr>
            <w:tcW w:w="600" w:type="dxa"/>
            <w:vAlign w:val="bottom"/>
            <w:gridSpan w:val="2"/>
            <w:shd w:val="clear" w:color="auto" w:fill="E8EDF4"/>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w w:val="99"/>
              </w:rPr>
              <w:t>10,692,000</w:t>
            </w:r>
          </w:p>
        </w:tc>
        <w:tc>
          <w:tcPr>
            <w:tcW w:w="660" w:type="dxa"/>
            <w:vAlign w:val="bottom"/>
            <w:gridSpan w:val="2"/>
            <w:shd w:val="clear" w:color="auto" w:fill="E8EDF4"/>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E8EDF4"/>
            </w:tcBorders>
            <w:shd w:val="clear" w:color="auto" w:fill="E8EDF4"/>
          </w:tcPr>
          <w:p>
            <w:pPr>
              <w:jc w:val="right"/>
              <w:spacing w:after="0" w:line="201" w:lineRule="exact"/>
              <w:rPr>
                <w:sz w:val="20"/>
                <w:szCs w:val="20"/>
                <w:color w:val="auto"/>
              </w:rPr>
            </w:pPr>
            <w:r>
              <w:rPr>
                <w:rFonts w:ascii="Arial" w:cs="Arial" w:eastAsia="Arial" w:hAnsi="Arial"/>
                <w:sz w:val="18"/>
                <w:szCs w:val="18"/>
                <w:color w:val="auto"/>
                <w:w w:val="97"/>
              </w:rPr>
              <w:t>12,615,000</w:t>
            </w:r>
          </w:p>
        </w:tc>
      </w:tr>
      <w:tr>
        <w:trPr>
          <w:trHeight w:val="20"/>
        </w:trPr>
        <w:tc>
          <w:tcPr>
            <w:tcW w:w="5120" w:type="dxa"/>
            <w:vAlign w:val="bottom"/>
            <w:tcBorders>
              <w:top w:val="single" w:sz="8" w:color="E8EDF4"/>
            </w:tcBorders>
            <w:shd w:val="clear" w:color="auto" w:fill="E8EDF4"/>
          </w:tcPr>
          <w:p>
            <w:pPr>
              <w:spacing w:after="0" w:line="20" w:lineRule="exact"/>
              <w:rPr>
                <w:sz w:val="1"/>
                <w:szCs w:val="1"/>
                <w:color w:val="auto"/>
              </w:rPr>
            </w:pPr>
          </w:p>
        </w:tc>
        <w:tc>
          <w:tcPr>
            <w:tcW w:w="500" w:type="dxa"/>
            <w:vAlign w:val="bottom"/>
            <w:tcBorders>
              <w:top w:val="single" w:sz="8" w:color="E8EDF4"/>
            </w:tcBorders>
            <w:shd w:val="clear" w:color="auto" w:fill="E8EDF4"/>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E8EDF4"/>
            </w:tcBorders>
            <w:shd w:val="clear" w:color="auto" w:fill="E8EDF4"/>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E8EDF4"/>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ind w:left="260" w:right="220" w:firstLine="435"/>
        <w:spacing w:after="0" w:line="24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related to professional services rendered in connection with the audit of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audit of the effectiveness of our internal control over financial reporting, the reviews of our interim financial statements included in each of our Quarterly Reports on Form 10-Q, international statutory audits, reviews and comfort letter procedures related to our filings on Form S-3, assistance with registration statements and other periodic filings, and accounting consultations that relate to the audited financial statements and are necessary to comply with U.S. generally accepted accounting principles.</w:t>
      </w:r>
    </w:p>
    <w:p>
      <w:pPr>
        <w:spacing w:after="0" w:line="176" w:lineRule="exact"/>
        <w:rPr>
          <w:sz w:val="20"/>
          <w:szCs w:val="20"/>
          <w:color w:val="auto"/>
        </w:rPr>
      </w:pPr>
    </w:p>
    <w:p>
      <w:pPr>
        <w:ind w:left="260" w:right="140" w:firstLine="435"/>
        <w:spacing w:after="0" w:line="26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are fees for assurance and related services and consisted primarily of audits of employee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matters not related to the annual audit, and attestation services that are not required by statute or regulation.</w:t>
      </w:r>
    </w:p>
    <w:p>
      <w:pPr>
        <w:spacing w:after="0" w:line="150" w:lineRule="exact"/>
        <w:rPr>
          <w:sz w:val="20"/>
          <w:szCs w:val="20"/>
          <w:color w:val="auto"/>
        </w:rPr>
      </w:pPr>
    </w:p>
    <w:p>
      <w:pPr>
        <w:ind w:left="260" w:right="20" w:firstLine="435"/>
        <w:spacing w:after="0" w:line="241"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These are fees for tax advice and services, including services relating to the acquisition of Linear Technology,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related to tax return preparation services for our expatriates, international tax returns, tax advice and planning and assistance with international tax audits. Included in this amount are fees of $376,000 in fiscal 2018, and $406,000 in fiscal 2017,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137" w:lineRule="exact"/>
        <w:rPr>
          <w:sz w:val="20"/>
          <w:szCs w:val="20"/>
          <w:color w:val="auto"/>
        </w:rPr>
      </w:pPr>
    </w:p>
    <w:p>
      <w:pPr>
        <w:ind w:left="660" w:hanging="393"/>
        <w:spacing w:after="0"/>
        <w:tabs>
          <w:tab w:leader="none" w:pos="660" w:val="left"/>
        </w:tabs>
        <w:numPr>
          <w:ilvl w:val="0"/>
          <w:numId w:val="6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3" w:right="5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102" w:lineRule="exact"/>
        <w:rPr>
          <w:sz w:val="20"/>
          <w:szCs w:val="20"/>
          <w:color w:val="auto"/>
        </w:rPr>
      </w:pPr>
    </w:p>
    <w:p>
      <w:pPr>
        <w:ind w:left="260" w:right="80" w:firstLine="435"/>
        <w:spacing w:after="0" w:line="236" w:lineRule="auto"/>
        <w:rPr>
          <w:sz w:val="20"/>
          <w:szCs w:val="20"/>
          <w:color w:val="auto"/>
        </w:rPr>
      </w:pPr>
      <w:r>
        <w:rPr>
          <w:rFonts w:ascii="Arial" w:cs="Arial" w:eastAsia="Arial" w:hAnsi="Arial"/>
          <w:sz w:val="18"/>
          <w:szCs w:val="18"/>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178" w:lineRule="exact"/>
        <w:rPr>
          <w:sz w:val="20"/>
          <w:szCs w:val="20"/>
          <w:color w:val="auto"/>
        </w:rPr>
      </w:pPr>
    </w:p>
    <w:p>
      <w:pPr>
        <w:ind w:left="260" w:right="120" w:firstLine="435"/>
        <w:spacing w:after="0" w:line="238" w:lineRule="auto"/>
        <w:rPr>
          <w:sz w:val="20"/>
          <w:szCs w:val="20"/>
          <w:color w:val="auto"/>
        </w:rPr>
      </w:pPr>
      <w:r>
        <w:rPr>
          <w:rFonts w:ascii="Arial" w:cs="Arial" w:eastAsia="Arial" w:hAnsi="Arial"/>
          <w:sz w:val="18"/>
          <w:szCs w:val="18"/>
          <w:color w:val="auto"/>
        </w:rPr>
        <w:t>If the cost of any service exceeds the pre-approved monetary limit, that service must be approved (1) by the entire Audit Committee if the cost of the service exceeds $100,000 or (2) by the Chairman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$ 40,000 and an update of all items in this category is provided to the Audit Committee at each quarterly scheduled meeting. However, if the cost of all the individual items will exceed $40,000, the Chairman of the Audit Committee must receive a summary of those items with a request for approval of any amounts to be incurred in excess of $40,000.</w:t>
      </w:r>
    </w:p>
    <w:p>
      <w:pPr>
        <w:spacing w:after="0" w:line="179" w:lineRule="exact"/>
        <w:rPr>
          <w:sz w:val="20"/>
          <w:szCs w:val="20"/>
          <w:color w:val="auto"/>
        </w:rPr>
      </w:pPr>
    </w:p>
    <w:p>
      <w:pPr>
        <w:ind w:left="260" w:right="40" w:firstLine="435"/>
        <w:spacing w:after="0" w:line="244" w:lineRule="auto"/>
        <w:rPr>
          <w:sz w:val="20"/>
          <w:szCs w:val="20"/>
          <w:color w:val="auto"/>
        </w:rPr>
      </w:pPr>
      <w:r>
        <w:rPr>
          <w:rFonts w:ascii="Arial" w:cs="Arial" w:eastAsia="Arial" w:hAnsi="Arial"/>
          <w:sz w:val="18"/>
          <w:szCs w:val="18"/>
          <w:color w:val="auto"/>
        </w:rPr>
        <w:t>The Audit Committee has delegated authority to the Chairman of the Audit Committee to pre-approve any audit or non-audit services to be provided to Analog Devices by the independent registered public accounting firm for which the cost is less than $100,000. During fiscal 2018 and fiscal 2017, all services provided to Analog Devices by Ernst &amp; Young LLP were pre-approved in accordance with the pre-approval policies and procedures described above.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DIRECTOR COMPENSATION</w:t>
      </w:r>
    </w:p>
    <w:p>
      <w:pPr>
        <w:spacing w:after="0" w:line="102" w:lineRule="exact"/>
        <w:rPr>
          <w:sz w:val="20"/>
          <w:szCs w:val="20"/>
          <w:color w:val="auto"/>
        </w:rPr>
      </w:pPr>
    </w:p>
    <w:p>
      <w:pPr>
        <w:ind w:left="260" w:right="60" w:firstLine="435"/>
        <w:spacing w:after="0" w:line="241" w:lineRule="auto"/>
        <w:rPr>
          <w:sz w:val="20"/>
          <w:szCs w:val="20"/>
          <w:color w:val="auto"/>
        </w:rPr>
      </w:pPr>
      <w:r>
        <w:rPr>
          <w:rFonts w:ascii="Arial" w:cs="Arial" w:eastAsia="Arial" w:hAnsi="Arial"/>
          <w:sz w:val="18"/>
          <w:szCs w:val="18"/>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Presiding Director also receives an additional cash retainer. Mr. Roche, as an employee director, does not receive any additional compensation for his services as director.</w:t>
      </w:r>
    </w:p>
    <w:p>
      <w:pPr>
        <w:spacing w:after="0" w:line="176" w:lineRule="exact"/>
        <w:rPr>
          <w:sz w:val="20"/>
          <w:szCs w:val="20"/>
          <w:color w:val="auto"/>
        </w:rPr>
      </w:pPr>
    </w:p>
    <w:p>
      <w:pPr>
        <w:ind w:left="260" w:right="220" w:firstLine="435"/>
        <w:spacing w:after="0" w:line="239" w:lineRule="auto"/>
        <w:rPr>
          <w:sz w:val="20"/>
          <w:szCs w:val="20"/>
          <w:color w:val="auto"/>
        </w:rPr>
      </w:pPr>
      <w:r>
        <w:rPr>
          <w:rFonts w:ascii="Arial" w:cs="Arial" w:eastAsia="Arial" w:hAnsi="Arial"/>
          <w:sz w:val="18"/>
          <w:szCs w:val="18"/>
          <w:color w:val="auto"/>
        </w:rPr>
        <w:t>The Board of Directors has delegated to the Compensation Committee the responsibility to review and recommend to the Board of Directors any proposed changes to non-employee director compensation. Annually, the Compensation Committee reviews with Pearl Meyer, the Compensation Committee’s independent compensation consultant, non-employee director compensation information for our peer group to check the alignment of our non-employee director compensation package with market practice and current trends. The Compensation Committee then makes recommendations to the full Board with respect to compensation of our non-employee directors, and the full Board reviews these recommendations and makes a final determination.</w:t>
      </w:r>
    </w:p>
    <w:p>
      <w:pPr>
        <w:spacing w:after="0" w:line="178" w:lineRule="exact"/>
        <w:rPr>
          <w:sz w:val="20"/>
          <w:szCs w:val="20"/>
          <w:color w:val="auto"/>
        </w:rPr>
      </w:pPr>
    </w:p>
    <w:p>
      <w:pPr>
        <w:ind w:left="260" w:right="220" w:firstLine="435"/>
        <w:spacing w:after="0" w:line="263" w:lineRule="auto"/>
        <w:rPr>
          <w:sz w:val="20"/>
          <w:szCs w:val="20"/>
          <w:color w:val="auto"/>
        </w:rPr>
      </w:pPr>
      <w:r>
        <w:rPr>
          <w:rFonts w:ascii="Arial" w:cs="Arial" w:eastAsia="Arial" w:hAnsi="Arial"/>
          <w:sz w:val="17"/>
          <w:szCs w:val="17"/>
          <w:color w:val="auto"/>
        </w:rPr>
        <w:t>In fiscal 2018 we granted 100% of the value of the annual equity award to each of our non-employee directors in the form of time-based RSUs. These RSUs vest in full on the earlier of the first anniversary of the date of grant or the date of the Company’s next annual meeting. On March 14, 2018, we granted each non-employee director 2,155 RSUs for services to be provided during fiscal 2018. On July 16, 2018, Ms. Golz, who joined the Board in June 2018, was granted 1,504 RSUs for services to be provided during fiscal 2018.</w:t>
      </w:r>
    </w:p>
    <w:p>
      <w:pPr>
        <w:spacing w:after="0" w:line="9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33</w:t>
      </w:r>
    </w:p>
    <w:p>
      <w:pPr>
        <w:sectPr>
          <w:pgSz w:w="11900" w:h="16838" w:orient="portrait"/>
          <w:cols w:equalWidth="0" w:num="1">
            <w:col w:w="11160"/>
          </w:cols>
          <w:pgMar w:left="240" w:top="453" w:right="4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2018.</w:t>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2018 DIRECTOR COMPENSATION</w:t>
      </w:r>
    </w:p>
    <w:p>
      <w:pPr>
        <w:spacing w:after="0" w:line="24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960" w:type="dxa"/>
            <w:vAlign w:val="bottom"/>
            <w:shd w:val="clear" w:color="auto" w:fill="052B82"/>
          </w:tcPr>
          <w:p>
            <w:pPr>
              <w:spacing w:after="0"/>
              <w:rPr>
                <w:sz w:val="14"/>
                <w:szCs w:val="14"/>
                <w:color w:val="auto"/>
              </w:rPr>
            </w:pPr>
          </w:p>
        </w:tc>
        <w:tc>
          <w:tcPr>
            <w:tcW w:w="2920" w:type="dxa"/>
            <w:vAlign w:val="bottom"/>
            <w:shd w:val="clear" w:color="auto" w:fill="052B82"/>
          </w:tcPr>
          <w:p>
            <w:pPr>
              <w:jc w:val="center"/>
              <w:ind w:left="1295"/>
              <w:spacing w:after="0"/>
              <w:rPr>
                <w:sz w:val="20"/>
                <w:szCs w:val="20"/>
                <w:color w:val="auto"/>
              </w:rPr>
            </w:pPr>
            <w:r>
              <w:rPr>
                <w:rFonts w:ascii="Arial" w:cs="Arial" w:eastAsia="Arial" w:hAnsi="Arial"/>
                <w:sz w:val="14"/>
                <w:szCs w:val="14"/>
                <w:b w:val="1"/>
                <w:bCs w:val="1"/>
                <w:color w:val="FFFFFF"/>
              </w:rPr>
              <w:t>Fees Earned or</w:t>
            </w:r>
          </w:p>
        </w:tc>
        <w:tc>
          <w:tcPr>
            <w:tcW w:w="1480" w:type="dxa"/>
            <w:vAlign w:val="bottom"/>
            <w:vMerge w:val="restart"/>
            <w:shd w:val="clear" w:color="auto" w:fill="052B82"/>
          </w:tcPr>
          <w:p>
            <w:pPr>
              <w:jc w:val="right"/>
              <w:ind w:right="174"/>
              <w:spacing w:after="0"/>
              <w:rPr>
                <w:sz w:val="20"/>
                <w:szCs w:val="20"/>
                <w:color w:val="auto"/>
              </w:rPr>
            </w:pPr>
            <w:r>
              <w:rPr>
                <w:rFonts w:ascii="Arial" w:cs="Arial" w:eastAsia="Arial" w:hAnsi="Arial"/>
                <w:sz w:val="14"/>
                <w:szCs w:val="14"/>
                <w:b w:val="1"/>
                <w:bCs w:val="1"/>
                <w:color w:val="FFFFFF"/>
              </w:rPr>
              <w:t>Stock Awards</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All Other</w:t>
            </w:r>
          </w:p>
        </w:tc>
        <w:tc>
          <w:tcPr>
            <w:tcW w:w="1000" w:type="dxa"/>
            <w:vAlign w:val="bottom"/>
            <w:vMerge w:val="restart"/>
            <w:shd w:val="clear" w:color="auto" w:fill="052B82"/>
          </w:tcPr>
          <w:p>
            <w:pPr>
              <w:jc w:val="right"/>
              <w:ind w:right="214"/>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3960" w:type="dxa"/>
            <w:vAlign w:val="bottom"/>
            <w:shd w:val="clear" w:color="auto" w:fill="052B82"/>
          </w:tcPr>
          <w:p>
            <w:pPr>
              <w:spacing w:after="0"/>
              <w:rPr>
                <w:sz w:val="13"/>
                <w:szCs w:val="13"/>
                <w:color w:val="auto"/>
              </w:rPr>
            </w:pPr>
          </w:p>
        </w:tc>
        <w:tc>
          <w:tcPr>
            <w:tcW w:w="2920" w:type="dxa"/>
            <w:vAlign w:val="bottom"/>
            <w:shd w:val="clear" w:color="auto" w:fill="052B82"/>
          </w:tcPr>
          <w:p>
            <w:pPr>
              <w:jc w:val="center"/>
              <w:ind w:left="1295"/>
              <w:spacing w:after="0"/>
              <w:rPr>
                <w:sz w:val="20"/>
                <w:szCs w:val="20"/>
                <w:color w:val="auto"/>
              </w:rPr>
            </w:pPr>
            <w:r>
              <w:rPr>
                <w:rFonts w:ascii="Arial" w:cs="Arial" w:eastAsia="Arial" w:hAnsi="Arial"/>
                <w:sz w:val="14"/>
                <w:szCs w:val="14"/>
                <w:b w:val="1"/>
                <w:bCs w:val="1"/>
                <w:color w:val="FFFFFF"/>
              </w:rPr>
              <w:t>Paid in Cash</w:t>
            </w:r>
          </w:p>
        </w:tc>
        <w:tc>
          <w:tcPr>
            <w:tcW w:w="1480" w:type="dxa"/>
            <w:vAlign w:val="bottom"/>
            <w:vMerge w:val="continue"/>
            <w:shd w:val="clear" w:color="auto" w:fill="052B82"/>
          </w:tcPr>
          <w:p>
            <w:pPr>
              <w:spacing w:after="0"/>
              <w:rPr>
                <w:sz w:val="13"/>
                <w:szCs w:val="13"/>
                <w:color w:val="auto"/>
              </w:rPr>
            </w:pP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2920" w:type="dxa"/>
            <w:vAlign w:val="bottom"/>
            <w:shd w:val="clear" w:color="auto" w:fill="052B82"/>
          </w:tcPr>
          <w:p>
            <w:pPr>
              <w:jc w:val="center"/>
              <w:ind w:left="1295"/>
              <w:spacing w:after="0"/>
              <w:rPr>
                <w:sz w:val="20"/>
                <w:szCs w:val="20"/>
                <w:color w:val="auto"/>
              </w:rPr>
            </w:pPr>
            <w:r>
              <w:rPr>
                <w:rFonts w:ascii="Arial" w:cs="Arial" w:eastAsia="Arial" w:hAnsi="Arial"/>
                <w:sz w:val="14"/>
                <w:szCs w:val="14"/>
                <w:b w:val="1"/>
                <w:bCs w:val="1"/>
                <w:color w:val="FFFFFF"/>
                <w:w w:val="99"/>
              </w:rPr>
              <w:t>($)(1)</w:t>
            </w:r>
          </w:p>
        </w:tc>
        <w:tc>
          <w:tcPr>
            <w:tcW w:w="1480" w:type="dxa"/>
            <w:vAlign w:val="bottom"/>
            <w:shd w:val="clear" w:color="auto" w:fill="052B82"/>
          </w:tcPr>
          <w:p>
            <w:pPr>
              <w:jc w:val="right"/>
              <w:ind w:right="394"/>
              <w:spacing w:after="0"/>
              <w:rPr>
                <w:sz w:val="20"/>
                <w:szCs w:val="20"/>
                <w:color w:val="auto"/>
              </w:rPr>
            </w:pPr>
            <w:r>
              <w:rPr>
                <w:rFonts w:ascii="Arial" w:cs="Arial" w:eastAsia="Arial" w:hAnsi="Arial"/>
                <w:sz w:val="14"/>
                <w:szCs w:val="14"/>
                <w:b w:val="1"/>
                <w:bCs w:val="1"/>
                <w:color w:val="FFFFFF"/>
              </w:rPr>
              <w:t>($)(2)(3)</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($)(4)</w:t>
            </w:r>
          </w:p>
        </w:tc>
        <w:tc>
          <w:tcPr>
            <w:tcW w:w="1000" w:type="dxa"/>
            <w:vAlign w:val="bottom"/>
            <w:shd w:val="clear" w:color="auto" w:fill="052B82"/>
          </w:tcPr>
          <w:p>
            <w:pPr>
              <w:jc w:val="right"/>
              <w:ind w:right="29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line="201" w:lineRule="exact"/>
              <w:rPr>
                <w:sz w:val="20"/>
                <w:szCs w:val="20"/>
                <w:color w:val="auto"/>
              </w:rPr>
            </w:pPr>
            <w:r>
              <w:rPr>
                <w:rFonts w:ascii="Arial" w:cs="Arial" w:eastAsia="Arial" w:hAnsi="Arial"/>
                <w:sz w:val="18"/>
                <w:szCs w:val="18"/>
                <w:color w:val="auto"/>
              </w:rPr>
              <w:t>James A. Champy</w:t>
            </w:r>
          </w:p>
        </w:tc>
        <w:tc>
          <w:tcPr>
            <w:tcW w:w="292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105,000</w:t>
            </w:r>
          </w:p>
        </w:tc>
        <w:tc>
          <w:tcPr>
            <w:tcW w:w="148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303,669</w:t>
            </w:r>
          </w:p>
        </w:tc>
        <w:tc>
          <w:tcPr>
            <w:tcW w:w="0" w:type="dxa"/>
            <w:vAlign w:val="bottom"/>
          </w:tcPr>
          <w:p>
            <w:pPr>
              <w:spacing w:after="0"/>
              <w:rPr>
                <w:sz w:val="1"/>
                <w:szCs w:val="1"/>
                <w:color w:val="auto"/>
              </w:rPr>
            </w:pPr>
          </w:p>
        </w:tc>
      </w:tr>
      <w:tr>
        <w:trPr>
          <w:trHeight w:val="200"/>
        </w:trPr>
        <w:tc>
          <w:tcPr>
            <w:tcW w:w="3960" w:type="dxa"/>
            <w:vAlign w:val="bottom"/>
            <w:shd w:val="clear" w:color="auto" w:fill="E8EDF4"/>
          </w:tcPr>
          <w:p>
            <w:pPr>
              <w:ind w:left="20"/>
              <w:spacing w:after="0" w:line="201" w:lineRule="exact"/>
              <w:rPr>
                <w:sz w:val="20"/>
                <w:szCs w:val="20"/>
                <w:color w:val="auto"/>
              </w:rPr>
            </w:pPr>
            <w:r>
              <w:rPr>
                <w:rFonts w:ascii="Arial" w:cs="Arial" w:eastAsia="Arial" w:hAnsi="Arial"/>
                <w:sz w:val="18"/>
                <w:szCs w:val="18"/>
                <w:color w:val="auto"/>
              </w:rPr>
              <w:t>Anantha P. Chandrakasan(5)</w:t>
            </w:r>
          </w:p>
        </w:tc>
        <w:tc>
          <w:tcPr>
            <w:tcW w:w="2920" w:type="dxa"/>
            <w:vAlign w:val="bottom"/>
            <w:shd w:val="clear" w:color="auto" w:fill="E8EDF4"/>
          </w:tcPr>
          <w:p>
            <w:pPr>
              <w:jc w:val="right"/>
              <w:ind w:right="275"/>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E8EDF4"/>
          </w:tcPr>
          <w:p>
            <w:pPr>
              <w:jc w:val="right"/>
              <w:ind w:right="274"/>
              <w:spacing w:after="0" w:line="201" w:lineRule="exact"/>
              <w:rPr>
                <w:sz w:val="20"/>
                <w:szCs w:val="20"/>
                <w:color w:val="auto"/>
              </w:rPr>
            </w:pPr>
            <w:r>
              <w:rPr>
                <w:rFonts w:ascii="Arial" w:cs="Arial" w:eastAsia="Arial" w:hAnsi="Arial"/>
                <w:sz w:val="18"/>
                <w:szCs w:val="18"/>
                <w:color w:val="auto"/>
              </w:rPr>
              <w:t>—</w:t>
            </w:r>
          </w:p>
        </w:tc>
        <w:tc>
          <w:tcPr>
            <w:tcW w:w="1520" w:type="dxa"/>
            <w:vAlign w:val="bottom"/>
            <w:shd w:val="clear" w:color="auto" w:fill="E8EDF4"/>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8EDF4"/>
          </w:tcPr>
          <w:p>
            <w:pPr>
              <w:jc w:val="right"/>
              <w:ind w:right="114"/>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line="201" w:lineRule="exact"/>
              <w:rPr>
                <w:sz w:val="20"/>
                <w:szCs w:val="20"/>
                <w:color w:val="auto"/>
              </w:rPr>
            </w:pPr>
            <w:r>
              <w:rPr>
                <w:rFonts w:ascii="Arial" w:cs="Arial" w:eastAsia="Arial" w:hAnsi="Arial"/>
                <w:sz w:val="18"/>
                <w:szCs w:val="18"/>
                <w:color w:val="auto"/>
              </w:rPr>
              <w:t>Bruce R. Evans</w:t>
            </w:r>
          </w:p>
        </w:tc>
        <w:tc>
          <w:tcPr>
            <w:tcW w:w="292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80,000</w:t>
            </w:r>
          </w:p>
        </w:tc>
        <w:tc>
          <w:tcPr>
            <w:tcW w:w="148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278,669</w:t>
            </w:r>
          </w:p>
        </w:tc>
        <w:tc>
          <w:tcPr>
            <w:tcW w:w="0" w:type="dxa"/>
            <w:vAlign w:val="bottom"/>
          </w:tcPr>
          <w:p>
            <w:pPr>
              <w:spacing w:after="0"/>
              <w:rPr>
                <w:sz w:val="1"/>
                <w:szCs w:val="1"/>
                <w:color w:val="auto"/>
              </w:rPr>
            </w:pPr>
          </w:p>
        </w:tc>
      </w:tr>
      <w:tr>
        <w:trPr>
          <w:trHeight w:val="200"/>
        </w:trPr>
        <w:tc>
          <w:tcPr>
            <w:tcW w:w="39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Edward H. Frank</w:t>
            </w:r>
          </w:p>
        </w:tc>
        <w:tc>
          <w:tcPr>
            <w:tcW w:w="2920" w:type="dxa"/>
            <w:vAlign w:val="bottom"/>
            <w:shd w:val="clear" w:color="auto" w:fill="E8EDF4"/>
          </w:tcPr>
          <w:p>
            <w:pPr>
              <w:jc w:val="right"/>
              <w:ind w:right="175"/>
              <w:spacing w:after="0" w:line="201" w:lineRule="exact"/>
              <w:rPr>
                <w:sz w:val="20"/>
                <w:szCs w:val="20"/>
                <w:color w:val="auto"/>
              </w:rPr>
            </w:pPr>
            <w:r>
              <w:rPr>
                <w:rFonts w:ascii="Arial" w:cs="Arial" w:eastAsia="Arial" w:hAnsi="Arial"/>
                <w:sz w:val="18"/>
                <w:szCs w:val="18"/>
                <w:color w:val="auto"/>
              </w:rPr>
              <w:t>82,500</w:t>
            </w:r>
          </w:p>
        </w:tc>
        <w:tc>
          <w:tcPr>
            <w:tcW w:w="1480" w:type="dxa"/>
            <w:vAlign w:val="bottom"/>
            <w:shd w:val="clear" w:color="auto" w:fill="E8EDF4"/>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shd w:val="clear" w:color="auto" w:fill="E8EDF4"/>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8EDF4"/>
          </w:tcPr>
          <w:p>
            <w:pPr>
              <w:jc w:val="right"/>
              <w:ind w:right="14"/>
              <w:spacing w:after="0" w:line="201" w:lineRule="exact"/>
              <w:rPr>
                <w:sz w:val="20"/>
                <w:szCs w:val="20"/>
                <w:color w:val="auto"/>
              </w:rPr>
            </w:pPr>
            <w:r>
              <w:rPr>
                <w:rFonts w:ascii="Arial" w:cs="Arial" w:eastAsia="Arial" w:hAnsi="Arial"/>
                <w:sz w:val="18"/>
                <w:szCs w:val="18"/>
                <w:color w:val="auto"/>
              </w:rPr>
              <w:t>281,169</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line="201" w:lineRule="exact"/>
              <w:rPr>
                <w:sz w:val="20"/>
                <w:szCs w:val="20"/>
                <w:color w:val="auto"/>
              </w:rPr>
            </w:pPr>
            <w:r>
              <w:rPr>
                <w:rFonts w:ascii="Arial" w:cs="Arial" w:eastAsia="Arial" w:hAnsi="Arial"/>
                <w:sz w:val="18"/>
                <w:szCs w:val="18"/>
                <w:color w:val="auto"/>
              </w:rPr>
              <w:t>Karen M. Golz(6)</w:t>
            </w:r>
          </w:p>
        </w:tc>
        <w:tc>
          <w:tcPr>
            <w:tcW w:w="292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31,648</w:t>
            </w:r>
          </w:p>
        </w:tc>
        <w:tc>
          <w:tcPr>
            <w:tcW w:w="148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144,008</w:t>
            </w:r>
          </w:p>
        </w:tc>
        <w:tc>
          <w:tcPr>
            <w:tcW w:w="1520" w:type="dxa"/>
            <w:vAlign w:val="bottom"/>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175,656</w:t>
            </w:r>
          </w:p>
        </w:tc>
        <w:tc>
          <w:tcPr>
            <w:tcW w:w="0" w:type="dxa"/>
            <w:vAlign w:val="bottom"/>
          </w:tcPr>
          <w:p>
            <w:pPr>
              <w:spacing w:after="0"/>
              <w:rPr>
                <w:sz w:val="1"/>
                <w:szCs w:val="1"/>
                <w:color w:val="auto"/>
              </w:rPr>
            </w:pPr>
          </w:p>
        </w:tc>
      </w:tr>
      <w:tr>
        <w:trPr>
          <w:trHeight w:val="200"/>
        </w:trPr>
        <w:tc>
          <w:tcPr>
            <w:tcW w:w="39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Mark M. Little</w:t>
            </w:r>
          </w:p>
        </w:tc>
        <w:tc>
          <w:tcPr>
            <w:tcW w:w="2920" w:type="dxa"/>
            <w:vAlign w:val="bottom"/>
            <w:shd w:val="clear" w:color="auto" w:fill="E8EDF4"/>
          </w:tcPr>
          <w:p>
            <w:pPr>
              <w:jc w:val="right"/>
              <w:ind w:right="175"/>
              <w:spacing w:after="0" w:line="201" w:lineRule="exact"/>
              <w:rPr>
                <w:sz w:val="20"/>
                <w:szCs w:val="20"/>
                <w:color w:val="auto"/>
              </w:rPr>
            </w:pPr>
            <w:r>
              <w:rPr>
                <w:rFonts w:ascii="Arial" w:cs="Arial" w:eastAsia="Arial" w:hAnsi="Arial"/>
                <w:sz w:val="18"/>
                <w:szCs w:val="18"/>
                <w:color w:val="auto"/>
              </w:rPr>
              <w:t>80,000</w:t>
            </w:r>
          </w:p>
        </w:tc>
        <w:tc>
          <w:tcPr>
            <w:tcW w:w="1480" w:type="dxa"/>
            <w:vAlign w:val="bottom"/>
            <w:shd w:val="clear" w:color="auto" w:fill="E8EDF4"/>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shd w:val="clear" w:color="auto" w:fill="E8EDF4"/>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8EDF4"/>
          </w:tcPr>
          <w:p>
            <w:pPr>
              <w:jc w:val="right"/>
              <w:ind w:right="14"/>
              <w:spacing w:after="0" w:line="201" w:lineRule="exact"/>
              <w:rPr>
                <w:sz w:val="20"/>
                <w:szCs w:val="20"/>
                <w:color w:val="auto"/>
              </w:rPr>
            </w:pPr>
            <w:r>
              <w:rPr>
                <w:rFonts w:ascii="Arial" w:cs="Arial" w:eastAsia="Arial" w:hAnsi="Arial"/>
                <w:sz w:val="18"/>
                <w:szCs w:val="18"/>
                <w:color w:val="auto"/>
              </w:rPr>
              <w:t>278,669</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line="201" w:lineRule="exact"/>
              <w:rPr>
                <w:sz w:val="20"/>
                <w:szCs w:val="20"/>
                <w:color w:val="auto"/>
              </w:rPr>
            </w:pPr>
            <w:r>
              <w:rPr>
                <w:rFonts w:ascii="Arial" w:cs="Arial" w:eastAsia="Arial" w:hAnsi="Arial"/>
                <w:sz w:val="18"/>
                <w:szCs w:val="18"/>
                <w:color w:val="auto"/>
              </w:rPr>
              <w:t>Neil Novich</w:t>
            </w:r>
          </w:p>
        </w:tc>
        <w:tc>
          <w:tcPr>
            <w:tcW w:w="292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90,000</w:t>
            </w:r>
          </w:p>
        </w:tc>
        <w:tc>
          <w:tcPr>
            <w:tcW w:w="148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288,669</w:t>
            </w:r>
          </w:p>
        </w:tc>
        <w:tc>
          <w:tcPr>
            <w:tcW w:w="0" w:type="dxa"/>
            <w:vAlign w:val="bottom"/>
          </w:tcPr>
          <w:p>
            <w:pPr>
              <w:spacing w:after="0"/>
              <w:rPr>
                <w:sz w:val="1"/>
                <w:szCs w:val="1"/>
                <w:color w:val="auto"/>
              </w:rPr>
            </w:pPr>
          </w:p>
        </w:tc>
      </w:tr>
      <w:tr>
        <w:trPr>
          <w:trHeight w:val="200"/>
        </w:trPr>
        <w:tc>
          <w:tcPr>
            <w:tcW w:w="39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Kenton J. Sicchitano</w:t>
            </w:r>
          </w:p>
        </w:tc>
        <w:tc>
          <w:tcPr>
            <w:tcW w:w="2920" w:type="dxa"/>
            <w:vAlign w:val="bottom"/>
            <w:shd w:val="clear" w:color="auto" w:fill="E8EDF4"/>
          </w:tcPr>
          <w:p>
            <w:pPr>
              <w:jc w:val="right"/>
              <w:ind w:right="175"/>
              <w:spacing w:after="0" w:line="201" w:lineRule="exact"/>
              <w:rPr>
                <w:sz w:val="20"/>
                <w:szCs w:val="20"/>
                <w:color w:val="auto"/>
              </w:rPr>
            </w:pPr>
            <w:r>
              <w:rPr>
                <w:rFonts w:ascii="Arial" w:cs="Arial" w:eastAsia="Arial" w:hAnsi="Arial"/>
                <w:sz w:val="18"/>
                <w:szCs w:val="18"/>
                <w:color w:val="auto"/>
              </w:rPr>
              <w:t>95,000</w:t>
            </w:r>
          </w:p>
        </w:tc>
        <w:tc>
          <w:tcPr>
            <w:tcW w:w="1480" w:type="dxa"/>
            <w:vAlign w:val="bottom"/>
            <w:shd w:val="clear" w:color="auto" w:fill="E8EDF4"/>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shd w:val="clear" w:color="auto" w:fill="E8EDF4"/>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8EDF4"/>
          </w:tcPr>
          <w:p>
            <w:pPr>
              <w:jc w:val="right"/>
              <w:ind w:right="14"/>
              <w:spacing w:after="0" w:line="201" w:lineRule="exact"/>
              <w:rPr>
                <w:sz w:val="20"/>
                <w:szCs w:val="20"/>
                <w:color w:val="auto"/>
              </w:rPr>
            </w:pPr>
            <w:r>
              <w:rPr>
                <w:rFonts w:ascii="Arial" w:cs="Arial" w:eastAsia="Arial" w:hAnsi="Arial"/>
                <w:sz w:val="18"/>
                <w:szCs w:val="18"/>
                <w:color w:val="auto"/>
              </w:rPr>
              <w:t>293,669</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line="201" w:lineRule="exact"/>
              <w:rPr>
                <w:sz w:val="20"/>
                <w:szCs w:val="20"/>
                <w:color w:val="auto"/>
              </w:rPr>
            </w:pPr>
            <w:r>
              <w:rPr>
                <w:rFonts w:ascii="Arial" w:cs="Arial" w:eastAsia="Arial" w:hAnsi="Arial"/>
                <w:sz w:val="18"/>
                <w:szCs w:val="18"/>
                <w:color w:val="auto"/>
              </w:rPr>
              <w:t>Ray Stata</w:t>
            </w:r>
          </w:p>
        </w:tc>
        <w:tc>
          <w:tcPr>
            <w:tcW w:w="2920" w:type="dxa"/>
            <w:vAlign w:val="bottom"/>
          </w:tcPr>
          <w:p>
            <w:pPr>
              <w:jc w:val="right"/>
              <w:ind w:right="175"/>
              <w:spacing w:after="0" w:line="201" w:lineRule="exact"/>
              <w:rPr>
                <w:sz w:val="20"/>
                <w:szCs w:val="20"/>
                <w:color w:val="auto"/>
              </w:rPr>
            </w:pPr>
            <w:r>
              <w:rPr>
                <w:rFonts w:ascii="Arial" w:cs="Arial" w:eastAsia="Arial" w:hAnsi="Arial"/>
                <w:sz w:val="18"/>
                <w:szCs w:val="18"/>
                <w:color w:val="auto"/>
              </w:rPr>
              <w:t>250,000</w:t>
            </w:r>
          </w:p>
        </w:tc>
        <w:tc>
          <w:tcPr>
            <w:tcW w:w="1480" w:type="dxa"/>
            <w:vAlign w:val="bottom"/>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tcPr>
          <w:p>
            <w:pPr>
              <w:ind w:left="720"/>
              <w:spacing w:after="0" w:line="201" w:lineRule="exact"/>
              <w:rPr>
                <w:sz w:val="20"/>
                <w:szCs w:val="20"/>
                <w:color w:val="auto"/>
              </w:rPr>
            </w:pPr>
            <w:r>
              <w:rPr>
                <w:rFonts w:ascii="Arial" w:cs="Arial" w:eastAsia="Arial" w:hAnsi="Arial"/>
                <w:sz w:val="18"/>
                <w:szCs w:val="18"/>
                <w:color w:val="auto"/>
              </w:rPr>
              <w:t>13,884</w:t>
            </w:r>
          </w:p>
        </w:tc>
        <w:tc>
          <w:tcPr>
            <w:tcW w:w="1000" w:type="dxa"/>
            <w:vAlign w:val="bottom"/>
          </w:tcPr>
          <w:p>
            <w:pPr>
              <w:jc w:val="right"/>
              <w:ind w:right="14"/>
              <w:spacing w:after="0" w:line="201" w:lineRule="exact"/>
              <w:rPr>
                <w:sz w:val="20"/>
                <w:szCs w:val="20"/>
                <w:color w:val="auto"/>
              </w:rPr>
            </w:pPr>
            <w:r>
              <w:rPr>
                <w:rFonts w:ascii="Arial" w:cs="Arial" w:eastAsia="Arial" w:hAnsi="Arial"/>
                <w:sz w:val="18"/>
                <w:szCs w:val="18"/>
                <w:color w:val="auto"/>
              </w:rPr>
              <w:t>462,553</w:t>
            </w:r>
          </w:p>
        </w:tc>
        <w:tc>
          <w:tcPr>
            <w:tcW w:w="0" w:type="dxa"/>
            <w:vAlign w:val="bottom"/>
          </w:tcPr>
          <w:p>
            <w:pPr>
              <w:spacing w:after="0"/>
              <w:rPr>
                <w:sz w:val="1"/>
                <w:szCs w:val="1"/>
                <w:color w:val="auto"/>
              </w:rPr>
            </w:pPr>
          </w:p>
        </w:tc>
      </w:tr>
      <w:tr>
        <w:trPr>
          <w:trHeight w:val="200"/>
        </w:trPr>
        <w:tc>
          <w:tcPr>
            <w:tcW w:w="39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Lisa T. Su</w:t>
            </w:r>
          </w:p>
        </w:tc>
        <w:tc>
          <w:tcPr>
            <w:tcW w:w="2920" w:type="dxa"/>
            <w:vAlign w:val="bottom"/>
            <w:shd w:val="clear" w:color="auto" w:fill="E8EDF4"/>
          </w:tcPr>
          <w:p>
            <w:pPr>
              <w:jc w:val="right"/>
              <w:ind w:right="175"/>
              <w:spacing w:after="0" w:line="201" w:lineRule="exact"/>
              <w:rPr>
                <w:sz w:val="20"/>
                <w:szCs w:val="20"/>
                <w:color w:val="auto"/>
              </w:rPr>
            </w:pPr>
            <w:r>
              <w:rPr>
                <w:rFonts w:ascii="Arial" w:cs="Arial" w:eastAsia="Arial" w:hAnsi="Arial"/>
                <w:sz w:val="18"/>
                <w:szCs w:val="18"/>
                <w:color w:val="auto"/>
              </w:rPr>
              <w:t>77,500</w:t>
            </w:r>
          </w:p>
        </w:tc>
        <w:tc>
          <w:tcPr>
            <w:tcW w:w="1480" w:type="dxa"/>
            <w:vAlign w:val="bottom"/>
            <w:shd w:val="clear" w:color="auto" w:fill="E8EDF4"/>
          </w:tcPr>
          <w:p>
            <w:pPr>
              <w:jc w:val="right"/>
              <w:ind w:right="174"/>
              <w:spacing w:after="0" w:line="201" w:lineRule="exact"/>
              <w:rPr>
                <w:sz w:val="20"/>
                <w:szCs w:val="20"/>
                <w:color w:val="auto"/>
              </w:rPr>
            </w:pPr>
            <w:r>
              <w:rPr>
                <w:rFonts w:ascii="Arial" w:cs="Arial" w:eastAsia="Arial" w:hAnsi="Arial"/>
                <w:sz w:val="18"/>
                <w:szCs w:val="18"/>
                <w:color w:val="auto"/>
              </w:rPr>
              <w:t>198,669</w:t>
            </w:r>
          </w:p>
        </w:tc>
        <w:tc>
          <w:tcPr>
            <w:tcW w:w="1520" w:type="dxa"/>
            <w:vAlign w:val="bottom"/>
            <w:shd w:val="clear" w:color="auto" w:fill="E8EDF4"/>
          </w:tcPr>
          <w:p>
            <w:pPr>
              <w:ind w:left="980"/>
              <w:spacing w:after="0" w:line="201" w:lineRule="exact"/>
              <w:rPr>
                <w:sz w:val="20"/>
                <w:szCs w:val="20"/>
                <w:color w:val="auto"/>
              </w:rPr>
            </w:pPr>
            <w:r>
              <w:rPr>
                <w:rFonts w:ascii="Arial" w:cs="Arial" w:eastAsia="Arial" w:hAnsi="Arial"/>
                <w:sz w:val="18"/>
                <w:szCs w:val="18"/>
                <w:color w:val="auto"/>
              </w:rPr>
              <w:t>—</w:t>
            </w:r>
          </w:p>
        </w:tc>
        <w:tc>
          <w:tcPr>
            <w:tcW w:w="1000" w:type="dxa"/>
            <w:vAlign w:val="bottom"/>
            <w:shd w:val="clear" w:color="auto" w:fill="E8EDF4"/>
          </w:tcPr>
          <w:p>
            <w:pPr>
              <w:jc w:val="right"/>
              <w:ind w:right="14"/>
              <w:spacing w:after="0" w:line="201" w:lineRule="exact"/>
              <w:rPr>
                <w:sz w:val="20"/>
                <w:szCs w:val="20"/>
                <w:color w:val="auto"/>
              </w:rPr>
            </w:pPr>
            <w:r>
              <w:rPr>
                <w:rFonts w:ascii="Arial" w:cs="Arial" w:eastAsia="Arial" w:hAnsi="Arial"/>
                <w:sz w:val="18"/>
                <w:szCs w:val="18"/>
                <w:color w:val="auto"/>
              </w:rPr>
              <w:t>276,169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85090</wp:posOffset>
            </wp:positionV>
            <wp:extent cx="686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44" w:lineRule="exact"/>
        <w:rPr>
          <w:sz w:val="20"/>
          <w:szCs w:val="20"/>
          <w:color w:val="auto"/>
        </w:rPr>
      </w:pPr>
    </w:p>
    <w:p>
      <w:pPr>
        <w:ind w:left="700" w:right="20" w:hanging="433"/>
        <w:spacing w:after="0" w:line="235"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amount includes a $70,000 annual board retainer. An additional annual retainer of $25,000 was paid to the chair of the Audit Committee, an additional annual retainer of $20,000 was paid to the chair of the Compensation Committee and an additional annual retainer of $15,000 was paid to the chair of the Nominating and Corporate Governance Committee. The Presiding Director also received an additional annual retainer of $20,000. The members of the Audit Committee (other than the chair) received an additional annual retainer of $10,000, the members of the Compensation Committee (other than the chair) received an additional annual retainer of $7,500, and the members of the Nominating and Corporate Governance Committee (other than the chair) received an additional annual retainer of $5,000. For fiscal 2018, Mr. Stata, as Chairman of the Board of Directors, received a total annual retainer of $250,000. All cash retainers are paid in quarterly installments each on the 15th day of December, March, June and September of each fiscal year and are pro-rated for a partial year of service. Each director can elect to defer receipt of his or her fees under our Deferred Compensation Plan, or DCP. For more information relating to our DCP, see “INFORMATION ABOUT EXECUTIVE COMPENSATION — Non-Qualified Deferred Compensation Plan” below. Dr. Frank elected to defer receipt of his fees under the DCP in fiscal 2018.</w:t>
      </w:r>
    </w:p>
    <w:p>
      <w:pPr>
        <w:spacing w:after="0" w:line="91" w:lineRule="exact"/>
        <w:rPr>
          <w:rFonts w:ascii="Arial" w:cs="Arial" w:eastAsia="Arial" w:hAnsi="Arial"/>
          <w:sz w:val="18"/>
          <w:szCs w:val="18"/>
          <w:color w:val="auto"/>
        </w:rPr>
      </w:pPr>
    </w:p>
    <w:p>
      <w:pPr>
        <w:ind w:left="700" w:right="400" w:hanging="433"/>
        <w:spacing w:after="0" w:line="272" w:lineRule="auto"/>
        <w:tabs>
          <w:tab w:leader="none" w:pos="7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These amounts represent the aggregate grant date fair value of awards for grants of RSUs to each listed director in fiscal 2018. These amounts do not represent the actual amounts paid to or realized by the directors during fiscal 2018. We recognize the fair value as of the grant date for RSUs over the number of days of service required for the award to become vested.</w:t>
      </w:r>
    </w:p>
    <w:p>
      <w:pPr>
        <w:spacing w:after="0" w:line="56" w:lineRule="exact"/>
        <w:rPr>
          <w:rFonts w:ascii="Arial" w:cs="Arial" w:eastAsia="Arial" w:hAnsi="Arial"/>
          <w:sz w:val="17"/>
          <w:szCs w:val="17"/>
          <w:color w:val="auto"/>
        </w:rPr>
      </w:pPr>
    </w:p>
    <w:p>
      <w:pPr>
        <w:ind w:left="700" w:right="100" w:hanging="433"/>
        <w:spacing w:after="0" w:line="269" w:lineRule="auto"/>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number of stock options and RSUs outstanding held by each non-employee director (representing unexercised stock options and unvested RSUs) at November 3, 2018 is as follows:</w:t>
      </w:r>
    </w:p>
    <w:p>
      <w:pPr>
        <w:spacing w:after="0" w:line="184"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940" w:type="dxa"/>
            <w:vAlign w:val="bottom"/>
            <w:shd w:val="clear" w:color="auto" w:fill="052B82"/>
          </w:tcPr>
          <w:p>
            <w:pPr>
              <w:spacing w:after="0"/>
              <w:rPr>
                <w:sz w:val="14"/>
                <w:szCs w:val="14"/>
                <w:color w:val="auto"/>
              </w:rPr>
            </w:pPr>
          </w:p>
        </w:tc>
        <w:tc>
          <w:tcPr>
            <w:tcW w:w="2580" w:type="dxa"/>
            <w:vAlign w:val="bottom"/>
            <w:shd w:val="clear" w:color="auto" w:fill="052B82"/>
          </w:tcPr>
          <w:p>
            <w:pPr>
              <w:ind w:left="820"/>
              <w:spacing w:after="0"/>
              <w:rPr>
                <w:sz w:val="20"/>
                <w:szCs w:val="20"/>
                <w:color w:val="auto"/>
              </w:rPr>
            </w:pPr>
            <w:r>
              <w:rPr>
                <w:rFonts w:ascii="Arial" w:cs="Arial" w:eastAsia="Arial" w:hAnsi="Arial"/>
                <w:sz w:val="14"/>
                <w:szCs w:val="14"/>
                <w:b w:val="1"/>
                <w:bCs w:val="1"/>
                <w:color w:val="FFFFFF"/>
              </w:rPr>
              <w:t>Number of Shares</w:t>
            </w:r>
          </w:p>
        </w:tc>
        <w:tc>
          <w:tcPr>
            <w:tcW w:w="276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052B82"/>
          </w:tcPr>
          <w:p>
            <w:pPr>
              <w:spacing w:after="0"/>
              <w:rPr>
                <w:sz w:val="14"/>
                <w:szCs w:val="14"/>
                <w:color w:val="auto"/>
              </w:rPr>
            </w:pPr>
          </w:p>
        </w:tc>
        <w:tc>
          <w:tcPr>
            <w:tcW w:w="2580" w:type="dxa"/>
            <w:vAlign w:val="bottom"/>
            <w:shd w:val="clear" w:color="auto" w:fill="052B82"/>
          </w:tcPr>
          <w:p>
            <w:pPr>
              <w:ind w:left="840"/>
              <w:spacing w:after="0"/>
              <w:rPr>
                <w:sz w:val="20"/>
                <w:szCs w:val="20"/>
                <w:color w:val="auto"/>
              </w:rPr>
            </w:pPr>
            <w:r>
              <w:rPr>
                <w:rFonts w:ascii="Arial" w:cs="Arial" w:eastAsia="Arial" w:hAnsi="Arial"/>
                <w:sz w:val="14"/>
                <w:szCs w:val="14"/>
                <w:b w:val="1"/>
                <w:bCs w:val="1"/>
                <w:color w:val="FFFFFF"/>
              </w:rPr>
              <w:t>Subject to Option</w:t>
            </w:r>
          </w:p>
        </w:tc>
        <w:tc>
          <w:tcPr>
            <w:tcW w:w="2760" w:type="dxa"/>
            <w:vAlign w:val="bottom"/>
            <w:shd w:val="clear" w:color="auto" w:fill="052B82"/>
          </w:tcPr>
          <w:p>
            <w:pPr>
              <w:jc w:val="right"/>
              <w:ind w:right="95"/>
              <w:spacing w:after="0"/>
              <w:rPr>
                <w:sz w:val="20"/>
                <w:szCs w:val="20"/>
                <w:color w:val="auto"/>
              </w:rPr>
            </w:pPr>
            <w:r>
              <w:rPr>
                <w:rFonts w:ascii="Arial" w:cs="Arial" w:eastAsia="Arial" w:hAnsi="Arial"/>
                <w:sz w:val="14"/>
                <w:szCs w:val="14"/>
                <w:b w:val="1"/>
                <w:bCs w:val="1"/>
                <w:color w:val="FFFFFF"/>
              </w:rPr>
              <w:t>Number of RSUs that have not</w:t>
            </w:r>
          </w:p>
        </w:tc>
        <w:tc>
          <w:tcPr>
            <w:tcW w:w="0" w:type="dxa"/>
            <w:vAlign w:val="bottom"/>
          </w:tcPr>
          <w:p>
            <w:pPr>
              <w:spacing w:after="0"/>
              <w:rPr>
                <w:sz w:val="1"/>
                <w:szCs w:val="1"/>
                <w:color w:val="auto"/>
              </w:rPr>
            </w:pPr>
          </w:p>
        </w:tc>
      </w:tr>
      <w:tr>
        <w:trPr>
          <w:trHeight w:val="160"/>
        </w:trPr>
        <w:tc>
          <w:tcPr>
            <w:tcW w:w="2940" w:type="dxa"/>
            <w:vAlign w:val="bottom"/>
            <w:vMerge w:val="restart"/>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2580" w:type="dxa"/>
            <w:vAlign w:val="bottom"/>
            <w:shd w:val="clear" w:color="auto" w:fill="052B82"/>
          </w:tcPr>
          <w:p>
            <w:pPr>
              <w:ind w:left="820"/>
              <w:spacing w:after="0"/>
              <w:rPr>
                <w:sz w:val="20"/>
                <w:szCs w:val="20"/>
                <w:color w:val="auto"/>
              </w:rPr>
            </w:pPr>
            <w:r>
              <w:rPr>
                <w:rFonts w:ascii="Arial" w:cs="Arial" w:eastAsia="Arial" w:hAnsi="Arial"/>
                <w:sz w:val="14"/>
                <w:szCs w:val="14"/>
                <w:b w:val="1"/>
                <w:bCs w:val="1"/>
                <w:color w:val="FFFFFF"/>
              </w:rPr>
              <w:t>Awards Held as of</w:t>
            </w:r>
          </w:p>
        </w:tc>
        <w:tc>
          <w:tcPr>
            <w:tcW w:w="2760" w:type="dxa"/>
            <w:vAlign w:val="bottom"/>
            <w:shd w:val="clear" w:color="auto" w:fill="052B82"/>
          </w:tcPr>
          <w:p>
            <w:pPr>
              <w:jc w:val="right"/>
              <w:ind w:right="255"/>
              <w:spacing w:after="0"/>
              <w:rPr>
                <w:sz w:val="20"/>
                <w:szCs w:val="20"/>
                <w:color w:val="auto"/>
              </w:rPr>
            </w:pPr>
            <w:r>
              <w:rPr>
                <w:rFonts w:ascii="Arial" w:cs="Arial" w:eastAsia="Arial" w:hAnsi="Arial"/>
                <w:sz w:val="14"/>
                <w:szCs w:val="14"/>
                <w:b w:val="1"/>
                <w:bCs w:val="1"/>
                <w:color w:val="FFFFFF"/>
              </w:rPr>
              <w:t>Vested as of November 3,</w:t>
            </w:r>
          </w:p>
        </w:tc>
        <w:tc>
          <w:tcPr>
            <w:tcW w:w="0" w:type="dxa"/>
            <w:vAlign w:val="bottom"/>
          </w:tcPr>
          <w:p>
            <w:pPr>
              <w:spacing w:after="0"/>
              <w:rPr>
                <w:sz w:val="1"/>
                <w:szCs w:val="1"/>
                <w:color w:val="auto"/>
              </w:rPr>
            </w:pPr>
          </w:p>
        </w:tc>
      </w:tr>
      <w:tr>
        <w:trPr>
          <w:trHeight w:val="187"/>
        </w:trPr>
        <w:tc>
          <w:tcPr>
            <w:tcW w:w="2940" w:type="dxa"/>
            <w:vAlign w:val="bottom"/>
            <w:vMerge w:val="continue"/>
            <w:shd w:val="clear" w:color="auto" w:fill="052B82"/>
          </w:tcPr>
          <w:p>
            <w:pPr>
              <w:spacing w:after="0"/>
              <w:rPr>
                <w:sz w:val="16"/>
                <w:szCs w:val="16"/>
                <w:color w:val="auto"/>
              </w:rPr>
            </w:pPr>
          </w:p>
        </w:tc>
        <w:tc>
          <w:tcPr>
            <w:tcW w:w="2580" w:type="dxa"/>
            <w:vAlign w:val="bottom"/>
            <w:shd w:val="clear" w:color="auto" w:fill="052B82"/>
          </w:tcPr>
          <w:p>
            <w:pPr>
              <w:ind w:left="840"/>
              <w:spacing w:after="0"/>
              <w:rPr>
                <w:sz w:val="20"/>
                <w:szCs w:val="20"/>
                <w:color w:val="auto"/>
              </w:rPr>
            </w:pPr>
            <w:r>
              <w:rPr>
                <w:rFonts w:ascii="Arial" w:cs="Arial" w:eastAsia="Arial" w:hAnsi="Arial"/>
                <w:sz w:val="14"/>
                <w:szCs w:val="14"/>
                <w:b w:val="1"/>
                <w:bCs w:val="1"/>
                <w:color w:val="FFFFFF"/>
              </w:rPr>
              <w:t>November 3, 2018</w:t>
            </w:r>
          </w:p>
        </w:tc>
        <w:tc>
          <w:tcPr>
            <w:tcW w:w="2760" w:type="dxa"/>
            <w:vAlign w:val="bottom"/>
            <w:shd w:val="clear" w:color="auto" w:fill="052B82"/>
          </w:tcPr>
          <w:p>
            <w:pPr>
              <w:jc w:val="right"/>
              <w:ind w:right="975"/>
              <w:spacing w:after="0"/>
              <w:rPr>
                <w:sz w:val="20"/>
                <w:szCs w:val="20"/>
                <w:color w:val="auto"/>
              </w:rPr>
            </w:pPr>
            <w:r>
              <w:rPr>
                <w:rFonts w:ascii="Arial" w:cs="Arial" w:eastAsia="Arial" w:hAnsi="Arial"/>
                <w:sz w:val="14"/>
                <w:szCs w:val="14"/>
                <w:b w:val="1"/>
                <w:bCs w:val="1"/>
                <w:color w:val="FFFFFF"/>
              </w:rPr>
              <w:t>2018</w:t>
            </w: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1" w:lineRule="exact"/>
              <w:rPr>
                <w:sz w:val="20"/>
                <w:szCs w:val="20"/>
                <w:color w:val="auto"/>
              </w:rPr>
            </w:pPr>
            <w:r>
              <w:rPr>
                <w:rFonts w:ascii="Arial" w:cs="Arial" w:eastAsia="Arial" w:hAnsi="Arial"/>
                <w:sz w:val="18"/>
                <w:szCs w:val="18"/>
                <w:color w:val="auto"/>
              </w:rPr>
              <w:t>James A. Champy</w:t>
            </w:r>
          </w:p>
        </w:tc>
        <w:tc>
          <w:tcPr>
            <w:tcW w:w="2580" w:type="dxa"/>
            <w:vAlign w:val="bottom"/>
          </w:tcPr>
          <w:p>
            <w:pPr>
              <w:jc w:val="right"/>
              <w:ind w:right="436"/>
              <w:spacing w:after="0" w:line="201" w:lineRule="exact"/>
              <w:rPr>
                <w:sz w:val="20"/>
                <w:szCs w:val="20"/>
                <w:color w:val="auto"/>
              </w:rPr>
            </w:pPr>
            <w:r>
              <w:rPr>
                <w:rFonts w:ascii="Arial" w:cs="Arial" w:eastAsia="Arial" w:hAnsi="Arial"/>
                <w:sz w:val="18"/>
                <w:szCs w:val="18"/>
                <w:color w:val="auto"/>
              </w:rPr>
              <w:t>53,210</w:t>
            </w:r>
          </w:p>
        </w:tc>
        <w:tc>
          <w:tcPr>
            <w:tcW w:w="2760" w:type="dxa"/>
            <w:vAlign w:val="bottom"/>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Anantha P. Chandrakasan</w:t>
            </w:r>
          </w:p>
        </w:tc>
        <w:tc>
          <w:tcPr>
            <w:tcW w:w="2580" w:type="dxa"/>
            <w:vAlign w:val="bottom"/>
            <w:shd w:val="clear" w:color="auto" w:fill="E8EDF4"/>
          </w:tcPr>
          <w:p>
            <w:pPr>
              <w:jc w:val="right"/>
              <w:ind w:right="536"/>
              <w:spacing w:after="0" w:line="201" w:lineRule="exact"/>
              <w:rPr>
                <w:sz w:val="20"/>
                <w:szCs w:val="20"/>
                <w:color w:val="auto"/>
              </w:rPr>
            </w:pPr>
            <w:r>
              <w:rPr>
                <w:rFonts w:ascii="Arial" w:cs="Arial" w:eastAsia="Arial" w:hAnsi="Arial"/>
                <w:sz w:val="18"/>
                <w:szCs w:val="18"/>
                <w:color w:val="auto"/>
              </w:rPr>
              <w:t>—</w:t>
            </w:r>
          </w:p>
        </w:tc>
        <w:tc>
          <w:tcPr>
            <w:tcW w:w="2760" w:type="dxa"/>
            <w:vAlign w:val="bottom"/>
            <w:shd w:val="clear" w:color="auto" w:fill="E8EDF4"/>
          </w:tcPr>
          <w:p>
            <w:pPr>
              <w:jc w:val="right"/>
              <w:ind w:right="195"/>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1" w:lineRule="exact"/>
              <w:rPr>
                <w:sz w:val="20"/>
                <w:szCs w:val="20"/>
                <w:color w:val="auto"/>
              </w:rPr>
            </w:pPr>
            <w:r>
              <w:rPr>
                <w:rFonts w:ascii="Arial" w:cs="Arial" w:eastAsia="Arial" w:hAnsi="Arial"/>
                <w:sz w:val="18"/>
                <w:szCs w:val="18"/>
                <w:color w:val="auto"/>
              </w:rPr>
              <w:t>Bruce R. Evans</w:t>
            </w:r>
          </w:p>
        </w:tc>
        <w:tc>
          <w:tcPr>
            <w:tcW w:w="2580" w:type="dxa"/>
            <w:vAlign w:val="bottom"/>
          </w:tcPr>
          <w:p>
            <w:pPr>
              <w:jc w:val="right"/>
              <w:ind w:right="436"/>
              <w:spacing w:after="0" w:line="201" w:lineRule="exact"/>
              <w:rPr>
                <w:sz w:val="20"/>
                <w:szCs w:val="20"/>
                <w:color w:val="auto"/>
              </w:rPr>
            </w:pPr>
            <w:r>
              <w:rPr>
                <w:rFonts w:ascii="Arial" w:cs="Arial" w:eastAsia="Arial" w:hAnsi="Arial"/>
                <w:sz w:val="18"/>
                <w:szCs w:val="18"/>
                <w:color w:val="auto"/>
              </w:rPr>
              <w:t>12,890</w:t>
            </w:r>
          </w:p>
        </w:tc>
        <w:tc>
          <w:tcPr>
            <w:tcW w:w="2760" w:type="dxa"/>
            <w:vAlign w:val="bottom"/>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Edward H. Frank</w:t>
            </w:r>
          </w:p>
        </w:tc>
        <w:tc>
          <w:tcPr>
            <w:tcW w:w="2580" w:type="dxa"/>
            <w:vAlign w:val="bottom"/>
            <w:shd w:val="clear" w:color="auto" w:fill="E8EDF4"/>
          </w:tcPr>
          <w:p>
            <w:pPr>
              <w:jc w:val="right"/>
              <w:ind w:right="436"/>
              <w:spacing w:after="0" w:line="201" w:lineRule="exact"/>
              <w:rPr>
                <w:sz w:val="20"/>
                <w:szCs w:val="20"/>
                <w:color w:val="auto"/>
              </w:rPr>
            </w:pPr>
            <w:r>
              <w:rPr>
                <w:rFonts w:ascii="Arial" w:cs="Arial" w:eastAsia="Arial" w:hAnsi="Arial"/>
                <w:sz w:val="18"/>
                <w:szCs w:val="18"/>
                <w:color w:val="auto"/>
              </w:rPr>
              <w:t>23,340</w:t>
            </w:r>
          </w:p>
        </w:tc>
        <w:tc>
          <w:tcPr>
            <w:tcW w:w="2760" w:type="dxa"/>
            <w:vAlign w:val="bottom"/>
            <w:shd w:val="clear" w:color="auto" w:fill="E8EDF4"/>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1" w:lineRule="exact"/>
              <w:rPr>
                <w:sz w:val="20"/>
                <w:szCs w:val="20"/>
                <w:color w:val="auto"/>
              </w:rPr>
            </w:pPr>
            <w:r>
              <w:rPr>
                <w:rFonts w:ascii="Arial" w:cs="Arial" w:eastAsia="Arial" w:hAnsi="Arial"/>
                <w:sz w:val="18"/>
                <w:szCs w:val="18"/>
                <w:color w:val="auto"/>
              </w:rPr>
              <w:t>Karen M. Golz</w:t>
            </w:r>
          </w:p>
        </w:tc>
        <w:tc>
          <w:tcPr>
            <w:tcW w:w="2580" w:type="dxa"/>
            <w:vAlign w:val="bottom"/>
          </w:tcPr>
          <w:p>
            <w:pPr>
              <w:jc w:val="right"/>
              <w:ind w:right="536"/>
              <w:spacing w:after="0" w:line="201" w:lineRule="exact"/>
              <w:rPr>
                <w:sz w:val="20"/>
                <w:szCs w:val="20"/>
                <w:color w:val="auto"/>
              </w:rPr>
            </w:pPr>
            <w:r>
              <w:rPr>
                <w:rFonts w:ascii="Arial" w:cs="Arial" w:eastAsia="Arial" w:hAnsi="Arial"/>
                <w:sz w:val="18"/>
                <w:szCs w:val="18"/>
                <w:color w:val="auto"/>
              </w:rPr>
              <w:t>—</w:t>
            </w:r>
          </w:p>
        </w:tc>
        <w:tc>
          <w:tcPr>
            <w:tcW w:w="2760" w:type="dxa"/>
            <w:vAlign w:val="bottom"/>
          </w:tcPr>
          <w:p>
            <w:pPr>
              <w:jc w:val="right"/>
              <w:ind w:right="95"/>
              <w:spacing w:after="0" w:line="201" w:lineRule="exact"/>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0"/>
        </w:trPr>
        <w:tc>
          <w:tcPr>
            <w:tcW w:w="2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Mark M. Little</w:t>
            </w:r>
          </w:p>
        </w:tc>
        <w:tc>
          <w:tcPr>
            <w:tcW w:w="2580" w:type="dxa"/>
            <w:vAlign w:val="bottom"/>
            <w:shd w:val="clear" w:color="auto" w:fill="E8EDF4"/>
          </w:tcPr>
          <w:p>
            <w:pPr>
              <w:jc w:val="right"/>
              <w:ind w:right="436"/>
              <w:spacing w:after="0" w:line="201" w:lineRule="exact"/>
              <w:rPr>
                <w:sz w:val="20"/>
                <w:szCs w:val="20"/>
                <w:color w:val="auto"/>
              </w:rPr>
            </w:pPr>
            <w:r>
              <w:rPr>
                <w:rFonts w:ascii="Arial" w:cs="Arial" w:eastAsia="Arial" w:hAnsi="Arial"/>
                <w:sz w:val="18"/>
                <w:szCs w:val="18"/>
                <w:color w:val="auto"/>
              </w:rPr>
              <w:t>1,040</w:t>
            </w:r>
          </w:p>
        </w:tc>
        <w:tc>
          <w:tcPr>
            <w:tcW w:w="2760" w:type="dxa"/>
            <w:vAlign w:val="bottom"/>
            <w:shd w:val="clear" w:color="auto" w:fill="E8EDF4"/>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1" w:lineRule="exact"/>
              <w:rPr>
                <w:sz w:val="20"/>
                <w:szCs w:val="20"/>
                <w:color w:val="auto"/>
              </w:rPr>
            </w:pPr>
            <w:r>
              <w:rPr>
                <w:rFonts w:ascii="Arial" w:cs="Arial" w:eastAsia="Arial" w:hAnsi="Arial"/>
                <w:sz w:val="18"/>
                <w:szCs w:val="18"/>
                <w:color w:val="auto"/>
              </w:rPr>
              <w:t>Neil Novich</w:t>
            </w:r>
          </w:p>
        </w:tc>
        <w:tc>
          <w:tcPr>
            <w:tcW w:w="2580" w:type="dxa"/>
            <w:vAlign w:val="bottom"/>
          </w:tcPr>
          <w:p>
            <w:pPr>
              <w:jc w:val="right"/>
              <w:ind w:right="436"/>
              <w:spacing w:after="0" w:line="201" w:lineRule="exact"/>
              <w:rPr>
                <w:sz w:val="20"/>
                <w:szCs w:val="20"/>
                <w:color w:val="auto"/>
              </w:rPr>
            </w:pPr>
            <w:r>
              <w:rPr>
                <w:rFonts w:ascii="Arial" w:cs="Arial" w:eastAsia="Arial" w:hAnsi="Arial"/>
                <w:sz w:val="18"/>
                <w:szCs w:val="18"/>
                <w:color w:val="auto"/>
              </w:rPr>
              <w:t>53,210</w:t>
            </w:r>
          </w:p>
        </w:tc>
        <w:tc>
          <w:tcPr>
            <w:tcW w:w="2760" w:type="dxa"/>
            <w:vAlign w:val="bottom"/>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Kenton J. Sicchitano</w:t>
            </w:r>
          </w:p>
        </w:tc>
        <w:tc>
          <w:tcPr>
            <w:tcW w:w="2580" w:type="dxa"/>
            <w:vAlign w:val="bottom"/>
            <w:shd w:val="clear" w:color="auto" w:fill="E8EDF4"/>
          </w:tcPr>
          <w:p>
            <w:pPr>
              <w:jc w:val="right"/>
              <w:ind w:right="436"/>
              <w:spacing w:after="0" w:line="201" w:lineRule="exact"/>
              <w:rPr>
                <w:sz w:val="20"/>
                <w:szCs w:val="20"/>
                <w:color w:val="auto"/>
              </w:rPr>
            </w:pPr>
            <w:r>
              <w:rPr>
                <w:rFonts w:ascii="Arial" w:cs="Arial" w:eastAsia="Arial" w:hAnsi="Arial"/>
                <w:sz w:val="18"/>
                <w:szCs w:val="18"/>
                <w:color w:val="auto"/>
              </w:rPr>
              <w:t>46,000</w:t>
            </w:r>
          </w:p>
        </w:tc>
        <w:tc>
          <w:tcPr>
            <w:tcW w:w="2760" w:type="dxa"/>
            <w:vAlign w:val="bottom"/>
            <w:shd w:val="clear" w:color="auto" w:fill="E8EDF4"/>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1" w:lineRule="exact"/>
              <w:rPr>
                <w:sz w:val="20"/>
                <w:szCs w:val="20"/>
                <w:color w:val="auto"/>
              </w:rPr>
            </w:pPr>
            <w:r>
              <w:rPr>
                <w:rFonts w:ascii="Arial" w:cs="Arial" w:eastAsia="Arial" w:hAnsi="Arial"/>
                <w:sz w:val="18"/>
                <w:szCs w:val="18"/>
                <w:color w:val="auto"/>
              </w:rPr>
              <w:t>Ray Stata</w:t>
            </w:r>
          </w:p>
        </w:tc>
        <w:tc>
          <w:tcPr>
            <w:tcW w:w="2580" w:type="dxa"/>
            <w:vAlign w:val="bottom"/>
          </w:tcPr>
          <w:p>
            <w:pPr>
              <w:jc w:val="right"/>
              <w:ind w:right="436"/>
              <w:spacing w:after="0" w:line="201" w:lineRule="exact"/>
              <w:rPr>
                <w:sz w:val="20"/>
                <w:szCs w:val="20"/>
                <w:color w:val="auto"/>
              </w:rPr>
            </w:pPr>
            <w:r>
              <w:rPr>
                <w:rFonts w:ascii="Arial" w:cs="Arial" w:eastAsia="Arial" w:hAnsi="Arial"/>
                <w:sz w:val="18"/>
                <w:szCs w:val="18"/>
                <w:color w:val="auto"/>
              </w:rPr>
              <w:t>39,120</w:t>
            </w:r>
          </w:p>
        </w:tc>
        <w:tc>
          <w:tcPr>
            <w:tcW w:w="2760" w:type="dxa"/>
            <w:vAlign w:val="bottom"/>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0"/>
        </w:trPr>
        <w:tc>
          <w:tcPr>
            <w:tcW w:w="2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Lisa T. Su</w:t>
            </w:r>
          </w:p>
        </w:tc>
        <w:tc>
          <w:tcPr>
            <w:tcW w:w="2580" w:type="dxa"/>
            <w:vAlign w:val="bottom"/>
            <w:shd w:val="clear" w:color="auto" w:fill="E8EDF4"/>
          </w:tcPr>
          <w:p>
            <w:pPr>
              <w:jc w:val="right"/>
              <w:ind w:right="436"/>
              <w:spacing w:after="0" w:line="201" w:lineRule="exact"/>
              <w:rPr>
                <w:sz w:val="20"/>
                <w:szCs w:val="20"/>
                <w:color w:val="auto"/>
              </w:rPr>
            </w:pPr>
            <w:r>
              <w:rPr>
                <w:rFonts w:ascii="Arial" w:cs="Arial" w:eastAsia="Arial" w:hAnsi="Arial"/>
                <w:sz w:val="18"/>
                <w:szCs w:val="18"/>
                <w:color w:val="auto"/>
              </w:rPr>
              <w:t>25,760</w:t>
            </w:r>
          </w:p>
        </w:tc>
        <w:tc>
          <w:tcPr>
            <w:tcW w:w="2760" w:type="dxa"/>
            <w:vAlign w:val="bottom"/>
            <w:shd w:val="clear" w:color="auto" w:fill="E8EDF4"/>
          </w:tcPr>
          <w:p>
            <w:pPr>
              <w:jc w:val="right"/>
              <w:ind w:right="95"/>
              <w:spacing w:after="0" w:line="201" w:lineRule="exact"/>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999999"/>
        </w:rPr>
        <w:t>34</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4"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60" w:firstLine="435"/>
        <w:spacing w:after="0" w:line="269" w:lineRule="auto"/>
        <w:rPr>
          <w:sz w:val="20"/>
          <w:szCs w:val="20"/>
          <w:color w:val="auto"/>
        </w:rPr>
      </w:pPr>
      <w:r>
        <w:rPr>
          <w:rFonts w:ascii="Arial" w:cs="Arial" w:eastAsia="Arial" w:hAnsi="Arial"/>
          <w:sz w:val="18"/>
          <w:szCs w:val="18"/>
          <w:color w:val="auto"/>
        </w:rPr>
        <w:t>The following table includes the assumptions, rounded to the nearest hundredth, which we used to calculate the grant date fair value amounts included in the “Stock Awards” column for fiscal 2018 Director Compensation.</w:t>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300" w:type="dxa"/>
            <w:vAlign w:val="bottom"/>
            <w:shd w:val="clear" w:color="auto" w:fill="052B82"/>
          </w:tcPr>
          <w:p>
            <w:pPr>
              <w:spacing w:after="0"/>
              <w:rPr>
                <w:sz w:val="14"/>
                <w:szCs w:val="14"/>
                <w:color w:val="auto"/>
              </w:rPr>
            </w:pPr>
          </w:p>
        </w:tc>
        <w:tc>
          <w:tcPr>
            <w:tcW w:w="2960" w:type="dxa"/>
            <w:vAlign w:val="bottom"/>
            <w:shd w:val="clear" w:color="auto" w:fill="052B82"/>
          </w:tcPr>
          <w:p>
            <w:pPr>
              <w:spacing w:after="0"/>
              <w:rPr>
                <w:sz w:val="14"/>
                <w:szCs w:val="14"/>
                <w:color w:val="auto"/>
              </w:rPr>
            </w:pPr>
          </w:p>
        </w:tc>
        <w:tc>
          <w:tcPr>
            <w:tcW w:w="2600" w:type="dxa"/>
            <w:vAlign w:val="bottom"/>
            <w:gridSpan w:val="2"/>
            <w:shd w:val="clear" w:color="auto" w:fill="052B82"/>
          </w:tcPr>
          <w:p>
            <w:pPr>
              <w:jc w:val="right"/>
              <w:ind w:right="602"/>
              <w:spacing w:after="0"/>
              <w:rPr>
                <w:sz w:val="20"/>
                <w:szCs w:val="20"/>
                <w:color w:val="auto"/>
              </w:rPr>
            </w:pPr>
            <w:r>
              <w:rPr>
                <w:rFonts w:ascii="Arial" w:cs="Arial" w:eastAsia="Arial" w:hAnsi="Arial"/>
                <w:sz w:val="14"/>
                <w:szCs w:val="14"/>
                <w:b w:val="1"/>
                <w:bCs w:val="1"/>
                <w:color w:val="FFFFFF"/>
              </w:rPr>
              <w:t>Assumptions</w:t>
            </w:r>
          </w:p>
        </w:tc>
        <w:tc>
          <w:tcPr>
            <w:tcW w:w="114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00" w:type="dxa"/>
            <w:vAlign w:val="bottom"/>
            <w:shd w:val="clear" w:color="auto" w:fill="052B82"/>
          </w:tcPr>
          <w:p>
            <w:pPr>
              <w:spacing w:after="0"/>
              <w:rPr>
                <w:sz w:val="13"/>
                <w:szCs w:val="13"/>
                <w:color w:val="auto"/>
              </w:rPr>
            </w:pPr>
          </w:p>
        </w:tc>
        <w:tc>
          <w:tcPr>
            <w:tcW w:w="2960" w:type="dxa"/>
            <w:vAlign w:val="bottom"/>
            <w:shd w:val="clear" w:color="auto" w:fill="052B82"/>
          </w:tcPr>
          <w:p>
            <w:pPr>
              <w:spacing w:after="0"/>
              <w:rPr>
                <w:sz w:val="13"/>
                <w:szCs w:val="13"/>
                <w:color w:val="auto"/>
              </w:rPr>
            </w:pPr>
          </w:p>
        </w:tc>
        <w:tc>
          <w:tcPr>
            <w:tcW w:w="1500" w:type="dxa"/>
            <w:vAlign w:val="bottom"/>
            <w:shd w:val="clear" w:color="auto" w:fill="052B82"/>
          </w:tcPr>
          <w:p>
            <w:pPr>
              <w:jc w:val="center"/>
              <w:ind w:left="144"/>
              <w:spacing w:after="0" w:line="158" w:lineRule="exact"/>
              <w:rPr>
                <w:sz w:val="20"/>
                <w:szCs w:val="20"/>
                <w:color w:val="auto"/>
              </w:rPr>
            </w:pPr>
            <w:r>
              <w:rPr>
                <w:rFonts w:ascii="Arial" w:cs="Arial" w:eastAsia="Arial" w:hAnsi="Arial"/>
                <w:sz w:val="14"/>
                <w:szCs w:val="14"/>
                <w:b w:val="1"/>
                <w:bCs w:val="1"/>
                <w:color w:val="FFFFFF"/>
              </w:rPr>
              <w:t>Risk-Free</w:t>
            </w:r>
          </w:p>
        </w:tc>
        <w:tc>
          <w:tcPr>
            <w:tcW w:w="1100" w:type="dxa"/>
            <w:vAlign w:val="bottom"/>
            <w:vMerge w:val="restart"/>
            <w:shd w:val="clear" w:color="auto" w:fill="052B82"/>
          </w:tcPr>
          <w:p>
            <w:pPr>
              <w:jc w:val="right"/>
              <w:ind w:right="122"/>
              <w:spacing w:after="0"/>
              <w:rPr>
                <w:sz w:val="20"/>
                <w:szCs w:val="20"/>
                <w:color w:val="auto"/>
              </w:rPr>
            </w:pPr>
            <w:r>
              <w:rPr>
                <w:rFonts w:ascii="Arial" w:cs="Arial" w:eastAsia="Arial" w:hAnsi="Arial"/>
                <w:sz w:val="14"/>
                <w:szCs w:val="14"/>
                <w:b w:val="1"/>
                <w:bCs w:val="1"/>
                <w:color w:val="FFFFFF"/>
              </w:rPr>
              <w:t>Dividend</w:t>
            </w:r>
          </w:p>
        </w:tc>
        <w:tc>
          <w:tcPr>
            <w:tcW w:w="1140" w:type="dxa"/>
            <w:vAlign w:val="bottom"/>
            <w:shd w:val="clear" w:color="auto" w:fill="052B82"/>
          </w:tcPr>
          <w:p>
            <w:pPr>
              <w:jc w:val="center"/>
              <w:spacing w:after="0" w:line="158" w:lineRule="exact"/>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0"/>
        </w:trPr>
        <w:tc>
          <w:tcPr>
            <w:tcW w:w="3300" w:type="dxa"/>
            <w:vAlign w:val="bottom"/>
            <w:shd w:val="clear" w:color="auto" w:fill="052B82"/>
          </w:tcPr>
          <w:p>
            <w:pPr>
              <w:spacing w:after="0"/>
              <w:rPr>
                <w:sz w:val="13"/>
                <w:szCs w:val="13"/>
                <w:color w:val="auto"/>
              </w:rPr>
            </w:pPr>
          </w:p>
        </w:tc>
        <w:tc>
          <w:tcPr>
            <w:tcW w:w="2960" w:type="dxa"/>
            <w:vAlign w:val="bottom"/>
            <w:shd w:val="clear" w:color="auto" w:fill="052B82"/>
          </w:tcPr>
          <w:p>
            <w:pPr>
              <w:spacing w:after="0"/>
              <w:rPr>
                <w:sz w:val="13"/>
                <w:szCs w:val="13"/>
                <w:color w:val="auto"/>
              </w:rPr>
            </w:pPr>
          </w:p>
        </w:tc>
        <w:tc>
          <w:tcPr>
            <w:tcW w:w="1500" w:type="dxa"/>
            <w:vAlign w:val="bottom"/>
            <w:shd w:val="clear" w:color="auto" w:fill="052B82"/>
          </w:tcPr>
          <w:p>
            <w:pPr>
              <w:jc w:val="center"/>
              <w:ind w:left="144"/>
              <w:spacing w:after="0"/>
              <w:rPr>
                <w:sz w:val="20"/>
                <w:szCs w:val="20"/>
                <w:color w:val="auto"/>
              </w:rPr>
            </w:pPr>
            <w:r>
              <w:rPr>
                <w:rFonts w:ascii="Arial" w:cs="Arial" w:eastAsia="Arial" w:hAnsi="Arial"/>
                <w:sz w:val="14"/>
                <w:szCs w:val="14"/>
                <w:b w:val="1"/>
                <w:bCs w:val="1"/>
                <w:color w:val="FFFFFF"/>
              </w:rPr>
              <w:t>Interest</w:t>
            </w:r>
          </w:p>
        </w:tc>
        <w:tc>
          <w:tcPr>
            <w:tcW w:w="1100" w:type="dxa"/>
            <w:vAlign w:val="bottom"/>
            <w:vMerge w:val="continue"/>
            <w:shd w:val="clear" w:color="auto" w:fill="052B82"/>
          </w:tcPr>
          <w:p>
            <w:pPr>
              <w:spacing w:after="0"/>
              <w:rPr>
                <w:sz w:val="13"/>
                <w:szCs w:val="13"/>
                <w:color w:val="auto"/>
              </w:rPr>
            </w:pP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0" w:type="dxa"/>
            <w:vAlign w:val="bottom"/>
          </w:tcPr>
          <w:p>
            <w:pPr>
              <w:spacing w:after="0"/>
              <w:rPr>
                <w:sz w:val="1"/>
                <w:szCs w:val="1"/>
                <w:color w:val="auto"/>
              </w:rPr>
            </w:pPr>
          </w:p>
        </w:tc>
      </w:tr>
      <w:tr>
        <w:trPr>
          <w:trHeight w:val="160"/>
        </w:trPr>
        <w:tc>
          <w:tcPr>
            <w:tcW w:w="330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Grant Date</w:t>
            </w:r>
          </w:p>
        </w:tc>
        <w:tc>
          <w:tcPr>
            <w:tcW w:w="2960" w:type="dxa"/>
            <w:vAlign w:val="bottom"/>
            <w:shd w:val="clear" w:color="auto" w:fill="052B82"/>
          </w:tcPr>
          <w:p>
            <w:pPr>
              <w:spacing w:after="0"/>
              <w:rPr>
                <w:sz w:val="13"/>
                <w:szCs w:val="13"/>
                <w:color w:val="auto"/>
              </w:rPr>
            </w:pPr>
          </w:p>
        </w:tc>
        <w:tc>
          <w:tcPr>
            <w:tcW w:w="1500" w:type="dxa"/>
            <w:vAlign w:val="bottom"/>
            <w:shd w:val="clear" w:color="auto" w:fill="052B82"/>
          </w:tcPr>
          <w:p>
            <w:pPr>
              <w:jc w:val="center"/>
              <w:ind w:left="144"/>
              <w:spacing w:after="0"/>
              <w:rPr>
                <w:sz w:val="20"/>
                <w:szCs w:val="20"/>
                <w:color w:val="auto"/>
              </w:rPr>
            </w:pPr>
            <w:r>
              <w:rPr>
                <w:rFonts w:ascii="Arial" w:cs="Arial" w:eastAsia="Arial" w:hAnsi="Arial"/>
                <w:sz w:val="14"/>
                <w:szCs w:val="14"/>
                <w:b w:val="1"/>
                <w:bCs w:val="1"/>
                <w:color w:val="FFFFFF"/>
              </w:rPr>
              <w:t>Rate</w:t>
            </w:r>
          </w:p>
        </w:tc>
        <w:tc>
          <w:tcPr>
            <w:tcW w:w="1100" w:type="dxa"/>
            <w:vAlign w:val="bottom"/>
            <w:shd w:val="clear" w:color="auto" w:fill="052B82"/>
          </w:tcPr>
          <w:p>
            <w:pPr>
              <w:jc w:val="right"/>
              <w:ind w:right="262"/>
              <w:spacing w:after="0"/>
              <w:rPr>
                <w:sz w:val="20"/>
                <w:szCs w:val="20"/>
                <w:color w:val="auto"/>
              </w:rPr>
            </w:pPr>
            <w:r>
              <w:rPr>
                <w:rFonts w:ascii="Arial" w:cs="Arial" w:eastAsia="Arial" w:hAnsi="Arial"/>
                <w:sz w:val="14"/>
                <w:szCs w:val="14"/>
                <w:b w:val="1"/>
                <w:bCs w:val="1"/>
                <w:color w:val="FFFFFF"/>
              </w:rPr>
              <w:t>Yield</w:t>
            </w: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Per Share</w:t>
            </w:r>
          </w:p>
        </w:tc>
        <w:tc>
          <w:tcPr>
            <w:tcW w:w="0" w:type="dxa"/>
            <w:vAlign w:val="bottom"/>
          </w:tcPr>
          <w:p>
            <w:pPr>
              <w:spacing w:after="0"/>
              <w:rPr>
                <w:sz w:val="1"/>
                <w:szCs w:val="1"/>
                <w:color w:val="auto"/>
              </w:rPr>
            </w:pPr>
          </w:p>
        </w:tc>
      </w:tr>
      <w:tr>
        <w:trPr>
          <w:trHeight w:val="189"/>
        </w:trPr>
        <w:tc>
          <w:tcPr>
            <w:tcW w:w="3300" w:type="dxa"/>
            <w:vAlign w:val="bottom"/>
            <w:vMerge w:val="continue"/>
            <w:shd w:val="clear" w:color="auto" w:fill="052B82"/>
          </w:tcPr>
          <w:p>
            <w:pPr>
              <w:spacing w:after="0"/>
              <w:rPr>
                <w:sz w:val="16"/>
                <w:szCs w:val="16"/>
                <w:color w:val="auto"/>
              </w:rPr>
            </w:pPr>
          </w:p>
        </w:tc>
        <w:tc>
          <w:tcPr>
            <w:tcW w:w="2960" w:type="dxa"/>
            <w:vAlign w:val="bottom"/>
            <w:shd w:val="clear" w:color="auto" w:fill="052B82"/>
          </w:tcPr>
          <w:p>
            <w:pPr>
              <w:spacing w:after="0"/>
              <w:rPr>
                <w:sz w:val="16"/>
                <w:szCs w:val="16"/>
                <w:color w:val="auto"/>
              </w:rPr>
            </w:pPr>
          </w:p>
        </w:tc>
        <w:tc>
          <w:tcPr>
            <w:tcW w:w="1500" w:type="dxa"/>
            <w:vAlign w:val="bottom"/>
            <w:shd w:val="clear" w:color="auto" w:fill="052B82"/>
          </w:tcPr>
          <w:p>
            <w:pPr>
              <w:jc w:val="center"/>
              <w:ind w:left="164"/>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52B82"/>
          </w:tcPr>
          <w:p>
            <w:pPr>
              <w:jc w:val="right"/>
              <w:ind w:right="322"/>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0"/>
        </w:trPr>
        <w:tc>
          <w:tcPr>
            <w:tcW w:w="3300" w:type="dxa"/>
            <w:vAlign w:val="bottom"/>
          </w:tcPr>
          <w:p>
            <w:pPr>
              <w:ind w:left="40"/>
              <w:spacing w:after="0" w:line="201" w:lineRule="exact"/>
              <w:rPr>
                <w:sz w:val="20"/>
                <w:szCs w:val="20"/>
                <w:color w:val="auto"/>
              </w:rPr>
            </w:pPr>
            <w:r>
              <w:rPr>
                <w:rFonts w:ascii="Arial" w:cs="Arial" w:eastAsia="Arial" w:hAnsi="Arial"/>
                <w:sz w:val="18"/>
                <w:szCs w:val="18"/>
                <w:color w:val="auto"/>
              </w:rPr>
              <w:t>3/14/2018</w:t>
            </w:r>
          </w:p>
        </w:tc>
        <w:tc>
          <w:tcPr>
            <w:tcW w:w="2960" w:type="dxa"/>
            <w:vAlign w:val="bottom"/>
          </w:tcPr>
          <w:p>
            <w:pPr>
              <w:ind w:left="2480"/>
              <w:spacing w:after="0" w:line="201" w:lineRule="exact"/>
              <w:rPr>
                <w:sz w:val="20"/>
                <w:szCs w:val="20"/>
                <w:color w:val="auto"/>
              </w:rPr>
            </w:pPr>
            <w:r>
              <w:rPr>
                <w:rFonts w:ascii="Arial" w:cs="Arial" w:eastAsia="Arial" w:hAnsi="Arial"/>
                <w:sz w:val="18"/>
                <w:szCs w:val="18"/>
                <w:color w:val="auto"/>
                <w:w w:val="97"/>
              </w:rPr>
              <w:t>RSUs</w:t>
            </w:r>
          </w:p>
        </w:tc>
        <w:tc>
          <w:tcPr>
            <w:tcW w:w="1500" w:type="dxa"/>
            <w:vAlign w:val="bottom"/>
          </w:tcPr>
          <w:p>
            <w:pPr>
              <w:jc w:val="right"/>
              <w:ind w:right="224"/>
              <w:spacing w:after="0" w:line="201" w:lineRule="exact"/>
              <w:rPr>
                <w:sz w:val="20"/>
                <w:szCs w:val="20"/>
                <w:color w:val="auto"/>
              </w:rPr>
            </w:pPr>
            <w:r>
              <w:rPr>
                <w:rFonts w:ascii="Arial" w:cs="Arial" w:eastAsia="Arial" w:hAnsi="Arial"/>
                <w:sz w:val="18"/>
                <w:szCs w:val="18"/>
                <w:color w:val="auto"/>
              </w:rPr>
              <w:t>2.03</w:t>
            </w:r>
          </w:p>
        </w:tc>
        <w:tc>
          <w:tcPr>
            <w:tcW w:w="1100" w:type="dxa"/>
            <w:vAlign w:val="bottom"/>
          </w:tcPr>
          <w:p>
            <w:pPr>
              <w:jc w:val="right"/>
              <w:ind w:right="122"/>
              <w:spacing w:after="0" w:line="201" w:lineRule="exact"/>
              <w:rPr>
                <w:sz w:val="20"/>
                <w:szCs w:val="20"/>
                <w:color w:val="auto"/>
              </w:rPr>
            </w:pPr>
            <w:r>
              <w:rPr>
                <w:rFonts w:ascii="Arial" w:cs="Arial" w:eastAsia="Arial" w:hAnsi="Arial"/>
                <w:sz w:val="18"/>
                <w:szCs w:val="18"/>
                <w:color w:val="auto"/>
              </w:rPr>
              <w:t>2.04</w:t>
            </w:r>
          </w:p>
        </w:tc>
        <w:tc>
          <w:tcPr>
            <w:tcW w:w="1140" w:type="dxa"/>
            <w:vAlign w:val="bottom"/>
          </w:tcPr>
          <w:p>
            <w:pPr>
              <w:jc w:val="right"/>
              <w:ind w:right="103"/>
              <w:spacing w:after="0" w:line="201" w:lineRule="exact"/>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00"/>
        </w:trPr>
        <w:tc>
          <w:tcPr>
            <w:tcW w:w="330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7/16/2018</w:t>
            </w:r>
          </w:p>
        </w:tc>
        <w:tc>
          <w:tcPr>
            <w:tcW w:w="2960" w:type="dxa"/>
            <w:vAlign w:val="bottom"/>
            <w:shd w:val="clear" w:color="auto" w:fill="E8EDF4"/>
          </w:tcPr>
          <w:p>
            <w:pPr>
              <w:ind w:left="2480"/>
              <w:spacing w:after="0" w:line="201" w:lineRule="exact"/>
              <w:rPr>
                <w:sz w:val="20"/>
                <w:szCs w:val="20"/>
                <w:color w:val="auto"/>
              </w:rPr>
            </w:pPr>
            <w:r>
              <w:rPr>
                <w:rFonts w:ascii="Arial" w:cs="Arial" w:eastAsia="Arial" w:hAnsi="Arial"/>
                <w:sz w:val="18"/>
                <w:szCs w:val="18"/>
                <w:color w:val="auto"/>
                <w:w w:val="97"/>
              </w:rPr>
              <w:t>RSUs</w:t>
            </w:r>
          </w:p>
        </w:tc>
        <w:tc>
          <w:tcPr>
            <w:tcW w:w="1500" w:type="dxa"/>
            <w:vAlign w:val="bottom"/>
            <w:shd w:val="clear" w:color="auto" w:fill="E8EDF4"/>
          </w:tcPr>
          <w:p>
            <w:pPr>
              <w:jc w:val="right"/>
              <w:ind w:right="224"/>
              <w:spacing w:after="0" w:line="201" w:lineRule="exact"/>
              <w:rPr>
                <w:sz w:val="20"/>
                <w:szCs w:val="20"/>
                <w:color w:val="auto"/>
              </w:rPr>
            </w:pPr>
            <w:r>
              <w:rPr>
                <w:rFonts w:ascii="Arial" w:cs="Arial" w:eastAsia="Arial" w:hAnsi="Arial"/>
                <w:sz w:val="18"/>
                <w:szCs w:val="18"/>
                <w:color w:val="auto"/>
              </w:rPr>
              <w:t>1.97</w:t>
            </w:r>
          </w:p>
        </w:tc>
        <w:tc>
          <w:tcPr>
            <w:tcW w:w="1100" w:type="dxa"/>
            <w:vAlign w:val="bottom"/>
            <w:shd w:val="clear" w:color="auto" w:fill="E8EDF4"/>
          </w:tcPr>
          <w:p>
            <w:pPr>
              <w:jc w:val="right"/>
              <w:ind w:right="122"/>
              <w:spacing w:after="0" w:line="201" w:lineRule="exact"/>
              <w:rPr>
                <w:sz w:val="20"/>
                <w:szCs w:val="20"/>
                <w:color w:val="auto"/>
              </w:rPr>
            </w:pPr>
            <w:r>
              <w:rPr>
                <w:rFonts w:ascii="Arial" w:cs="Arial" w:eastAsia="Arial" w:hAnsi="Arial"/>
                <w:sz w:val="18"/>
                <w:szCs w:val="18"/>
                <w:color w:val="auto"/>
              </w:rPr>
              <w:t>2.39</w:t>
            </w:r>
          </w:p>
        </w:tc>
        <w:tc>
          <w:tcPr>
            <w:tcW w:w="1140" w:type="dxa"/>
            <w:vAlign w:val="bottom"/>
            <w:shd w:val="clear" w:color="auto" w:fill="E8EDF4"/>
          </w:tcPr>
          <w:p>
            <w:pPr>
              <w:jc w:val="right"/>
              <w:ind w:right="103"/>
              <w:spacing w:after="0" w:line="201" w:lineRule="exact"/>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-677545</wp:posOffset>
            </wp:positionV>
            <wp:extent cx="11785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171" w:lineRule="exact"/>
        <w:rPr>
          <w:sz w:val="20"/>
          <w:szCs w:val="20"/>
          <w:color w:val="auto"/>
        </w:rPr>
      </w:pPr>
    </w:p>
    <w:p>
      <w:pPr>
        <w:ind w:left="260" w:firstLine="435"/>
        <w:spacing w:after="0" w:line="241" w:lineRule="auto"/>
        <w:rPr>
          <w:sz w:val="20"/>
          <w:szCs w:val="20"/>
          <w:color w:val="auto"/>
        </w:rPr>
      </w:pPr>
      <w:r>
        <w:rPr>
          <w:rFonts w:ascii="Arial" w:cs="Arial" w:eastAsia="Arial" w:hAnsi="Arial"/>
          <w:sz w:val="18"/>
          <w:szCs w:val="18"/>
          <w:color w:val="auto"/>
        </w:rPr>
        <w:t>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and “Management’s Discussion and Analysis of Financial Condition and Results of Operations — Critical Accounting Policies and Estimates — Stock-Based Compensation,” included in our Annual Report on Form 10-K for the year ended November 3, 2018.</w:t>
      </w:r>
    </w:p>
    <w:p>
      <w:pPr>
        <w:spacing w:after="0" w:line="202" w:lineRule="exact"/>
        <w:rPr>
          <w:sz w:val="20"/>
          <w:szCs w:val="20"/>
          <w:color w:val="auto"/>
        </w:rPr>
      </w:pPr>
    </w:p>
    <w:p>
      <w:pPr>
        <w:ind w:left="700" w:right="20" w:hanging="433"/>
        <w:spacing w:after="0" w:line="250"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represents payment of medical and dental insurance premiums on behalf of Mr. Stata and his spouse. In fiscal 2018, Mr. Stata’s spouse also accompanied him on the Company’s leased airplane for travel to California to receive a leadership award from The Global Semiconductor Alliance. There was no incremental cost to the Company associated with such travel.</w:t>
      </w:r>
    </w:p>
    <w:p>
      <w:pPr>
        <w:spacing w:after="0" w:line="74" w:lineRule="exact"/>
        <w:rPr>
          <w:rFonts w:ascii="Arial" w:cs="Arial" w:eastAsia="Arial" w:hAnsi="Arial"/>
          <w:sz w:val="18"/>
          <w:szCs w:val="18"/>
          <w:color w:val="auto"/>
        </w:rPr>
      </w:pPr>
    </w:p>
    <w:p>
      <w:pPr>
        <w:ind w:left="700" w:hanging="433"/>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Chandrakasan joined the Board on January 1, 2019 and therefore did not receive any compensation in fiscal 2018.</w:t>
      </w:r>
    </w:p>
    <w:p>
      <w:pPr>
        <w:spacing w:after="0" w:line="113" w:lineRule="exact"/>
        <w:rPr>
          <w:rFonts w:ascii="Arial" w:cs="Arial" w:eastAsia="Arial" w:hAnsi="Arial"/>
          <w:sz w:val="18"/>
          <w:szCs w:val="18"/>
          <w:color w:val="auto"/>
        </w:rPr>
      </w:pPr>
    </w:p>
    <w:p>
      <w:pPr>
        <w:ind w:left="700" w:hanging="433"/>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Ms. Golz was appointed as a director in June 2018.</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reimburse our directors for travel to Board meetings and other related expenses.</w:t>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Stock Ownership Guidelines for Non-Employee Directors</w:t>
      </w:r>
    </w:p>
    <w:p>
      <w:pPr>
        <w:spacing w:after="0" w:line="102" w:lineRule="exact"/>
        <w:rPr>
          <w:sz w:val="20"/>
          <w:szCs w:val="20"/>
          <w:color w:val="auto"/>
        </w:rPr>
      </w:pPr>
    </w:p>
    <w:p>
      <w:pPr>
        <w:ind w:left="260" w:firstLine="435"/>
        <w:spacing w:after="0" w:line="241" w:lineRule="auto"/>
        <w:rPr>
          <w:sz w:val="20"/>
          <w:szCs w:val="20"/>
          <w:color w:val="auto"/>
        </w:rPr>
      </w:pPr>
      <w:r>
        <w:rPr>
          <w:rFonts w:ascii="Arial" w:cs="Arial" w:eastAsia="Arial" w:hAnsi="Arial"/>
          <w:sz w:val="18"/>
          <w:szCs w:val="18"/>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All of our non-employee directors were in compliance with our stock ownership guidelines as of the end of fiscal 2018.</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Equity Award Policy for Non-Employee Directors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During fiscal 2018, our equity award grant policy for non-employee directors provided for the following:</w:t>
      </w:r>
    </w:p>
    <w:p>
      <w:pPr>
        <w:spacing w:after="0" w:line="113" w:lineRule="exact"/>
        <w:rPr>
          <w:sz w:val="20"/>
          <w:szCs w:val="20"/>
          <w:color w:val="auto"/>
        </w:rPr>
      </w:pPr>
    </w:p>
    <w:p>
      <w:pPr>
        <w:ind w:left="1120" w:right="100" w:hanging="319"/>
        <w:spacing w:after="0" w:line="244" w:lineRule="auto"/>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newly elected non-employee director elected other than at an annual meeting of shareholders is automatically granted under the 2006 Stock Incentive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79" w:lineRule="exact"/>
        <w:rPr>
          <w:rFonts w:ascii="Arial" w:cs="Arial" w:eastAsia="Arial" w:hAnsi="Arial"/>
          <w:sz w:val="18"/>
          <w:szCs w:val="18"/>
          <w:color w:val="auto"/>
        </w:rPr>
      </w:pPr>
    </w:p>
    <w:p>
      <w:pPr>
        <w:ind w:left="1120" w:right="180" w:hanging="319"/>
        <w:spacing w:after="0" w:line="244" w:lineRule="auto"/>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an annual basis, each non-employee director elected or re-elected at an annual meeting of shareholders is automatically granted under the 2006 Stock Incentive Plan an RSU award for a number of shares of our common stock approved by the Board of Directors, on the date of our annual meeting of shareholders, or if Nasdaq is closed on that day, the next succeeding business day that Nasdaq is open.</w:t>
      </w:r>
    </w:p>
    <w:p>
      <w:pPr>
        <w:spacing w:after="0" w:line="173" w:lineRule="exact"/>
        <w:rPr>
          <w:sz w:val="20"/>
          <w:szCs w:val="20"/>
          <w:color w:val="auto"/>
        </w:rPr>
      </w:pPr>
    </w:p>
    <w:p>
      <w:pPr>
        <w:ind w:left="260" w:right="140" w:firstLine="435"/>
        <w:spacing w:after="0" w:line="244" w:lineRule="auto"/>
        <w:rPr>
          <w:sz w:val="20"/>
          <w:szCs w:val="20"/>
          <w:color w:val="auto"/>
        </w:rPr>
      </w:pPr>
      <w:r>
        <w:rPr>
          <w:rFonts w:ascii="Arial" w:cs="Arial" w:eastAsia="Arial" w:hAnsi="Arial"/>
          <w:sz w:val="18"/>
          <w:szCs w:val="18"/>
          <w:color w:val="auto"/>
        </w:rPr>
        <w:t>For fiscal 2018, RSUs granted to our non-employee directors under the 2006 Stock Incentive Plan vest on the earlier of the date of the Annual Meeting and the first anniversary of the date of grant, subject to acceleration as described below. The RSU awards vest in full upon the occurrence of a Change in Control Event (as defined in the 2006 Stock Incentive Plan) or the director’s death. If the director ceases to serve as a director by reason of his or her disability, as determined by the Board of Directors, each outstanding and</w:t>
      </w:r>
    </w:p>
    <w:p>
      <w:pPr>
        <w:spacing w:after="0" w:line="1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35</w:t>
      </w:r>
    </w:p>
    <w:p>
      <w:pPr>
        <w:sectPr>
          <w:pgSz w:w="11900" w:h="16838" w:orient="portrait"/>
          <w:cols w:equalWidth="0" w:num="1">
            <w:col w:w="11160"/>
          </w:cols>
          <w:pgMar w:left="240" w:top="454"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100"/>
        <w:spacing w:after="0" w:line="250" w:lineRule="auto"/>
        <w:rPr>
          <w:sz w:val="20"/>
          <w:szCs w:val="20"/>
          <w:color w:val="auto"/>
        </w:rPr>
      </w:pPr>
      <w:r>
        <w:rPr>
          <w:rFonts w:ascii="Arial" w:cs="Arial" w:eastAsia="Arial" w:hAnsi="Arial"/>
          <w:sz w:val="18"/>
          <w:szCs w:val="18"/>
          <w:color w:val="auto"/>
        </w:rPr>
        <w:t>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CERTAIN RELATIONSHIPS AND RELATED TRANSACTIONS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Transactions with Related Persons</w:t>
      </w:r>
    </w:p>
    <w:p>
      <w:pPr>
        <w:spacing w:after="0" w:line="102" w:lineRule="exact"/>
        <w:rPr>
          <w:sz w:val="20"/>
          <w:szCs w:val="20"/>
          <w:color w:val="auto"/>
        </w:rPr>
      </w:pPr>
    </w:p>
    <w:p>
      <w:pPr>
        <w:ind w:left="260" w:right="40" w:firstLine="435"/>
        <w:spacing w:after="0" w:line="239" w:lineRule="auto"/>
        <w:rPr>
          <w:sz w:val="20"/>
          <w:szCs w:val="20"/>
          <w:color w:val="auto"/>
        </w:rPr>
      </w:pPr>
      <w:r>
        <w:rPr>
          <w:rFonts w:ascii="Arial" w:cs="Arial" w:eastAsia="Arial" w:hAnsi="Arial"/>
          <w:sz w:val="18"/>
          <w:szCs w:val="18"/>
          <w:color w:val="auto"/>
        </w:rPr>
        <w:t>During fiscal 2018, Mr. Stata, our founder and Chairman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2018 was $13,884. On March 14, 2018, we granted 2,155 RSUs to Mr. Stata. This award is identical to the award granted to our other non-employee directors on March 14, 2018 and vests on the earlier of the date of the Annual Meeting or the first anniversary of the grant date.</w:t>
      </w:r>
    </w:p>
    <w:p>
      <w:pPr>
        <w:spacing w:after="0" w:line="178" w:lineRule="exact"/>
        <w:rPr>
          <w:sz w:val="20"/>
          <w:szCs w:val="20"/>
          <w:color w:val="auto"/>
        </w:rPr>
      </w:pPr>
    </w:p>
    <w:p>
      <w:pPr>
        <w:ind w:left="260" w:right="60" w:firstLine="435"/>
        <w:spacing w:after="0" w:line="250" w:lineRule="auto"/>
        <w:rPr>
          <w:sz w:val="20"/>
          <w:szCs w:val="20"/>
          <w:color w:val="auto"/>
        </w:rPr>
      </w:pPr>
      <w:r>
        <w:rPr>
          <w:rFonts w:ascii="Arial" w:cs="Arial" w:eastAsia="Arial" w:hAnsi="Arial"/>
          <w:sz w:val="18"/>
          <w:szCs w:val="18"/>
          <w:color w:val="auto"/>
        </w:rPr>
        <w:t>The Company contributes annually to Massachusetts Institute of Technology (MIT) to fund university research projects. In fiscal 2018, the Company made approximately $2.4 million in total contributions to MIT of which $120,000 funded a graduate student working in Dr. Chandrakasan’s laboratory.</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2" w:lineRule="exact"/>
        <w:rPr>
          <w:sz w:val="20"/>
          <w:szCs w:val="20"/>
          <w:color w:val="auto"/>
        </w:rPr>
      </w:pPr>
    </w:p>
    <w:p>
      <w:pPr>
        <w:ind w:left="260" w:right="80" w:firstLine="435"/>
        <w:spacing w:after="0" w:line="244"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173" w:lineRule="exact"/>
        <w:rPr>
          <w:sz w:val="20"/>
          <w:szCs w:val="20"/>
          <w:color w:val="auto"/>
        </w:rPr>
      </w:pPr>
    </w:p>
    <w:p>
      <w:pPr>
        <w:ind w:left="260" w:firstLine="435"/>
        <w:spacing w:after="0" w:line="25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Nominating and Corporate Governance Committee. Whenever practicable, the reporting, review and approval will occur prior to entry into the transaction. If our General Counsel determines that advance review and approval is not practicable, the Nominating and Corporate Governance Committee will review, and, in its discretion, may ratify the related person transaction at the next meeting of the Nominating and Corporate Governance Committee. The policy also permits the Chairman of the Nominating and Corporate Governance Committee to 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169" w:lineRule="exact"/>
        <w:rPr>
          <w:sz w:val="20"/>
          <w:szCs w:val="20"/>
          <w:color w:val="auto"/>
        </w:rPr>
      </w:pPr>
    </w:p>
    <w:p>
      <w:pPr>
        <w:ind w:left="260" w:right="280" w:firstLine="435"/>
        <w:spacing w:after="0" w:line="250" w:lineRule="auto"/>
        <w:rPr>
          <w:sz w:val="20"/>
          <w:szCs w:val="20"/>
          <w:color w:val="auto"/>
        </w:rPr>
      </w:pPr>
      <w:r>
        <w:rPr>
          <w:rFonts w:ascii="Arial" w:cs="Arial" w:eastAsia="Arial" w:hAnsi="Arial"/>
          <w:sz w:val="18"/>
          <w:szCs w:val="18"/>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74" w:lineRule="exact"/>
        <w:rPr>
          <w:sz w:val="20"/>
          <w:szCs w:val="20"/>
          <w:color w:val="auto"/>
        </w:rPr>
      </w:pPr>
    </w:p>
    <w:p>
      <w:pPr>
        <w:ind w:left="1120" w:hanging="319"/>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13" w:lineRule="exact"/>
        <w:rPr>
          <w:rFonts w:ascii="Arial" w:cs="Arial" w:eastAsia="Arial" w:hAnsi="Arial"/>
          <w:sz w:val="18"/>
          <w:szCs w:val="18"/>
          <w:color w:val="auto"/>
        </w:rPr>
      </w:pPr>
    </w:p>
    <w:p>
      <w:pPr>
        <w:ind w:left="1120" w:right="280" w:hanging="319"/>
        <w:spacing w:after="0" w:line="269"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56" w:lineRule="exact"/>
        <w:rPr>
          <w:rFonts w:ascii="Arial" w:cs="Arial" w:eastAsia="Arial" w:hAnsi="Arial"/>
          <w:sz w:val="18"/>
          <w:szCs w:val="18"/>
          <w:color w:val="auto"/>
        </w:rPr>
      </w:pPr>
    </w:p>
    <w:p>
      <w:pPr>
        <w:ind w:left="1120" w:hanging="319"/>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13" w:lineRule="exact"/>
        <w:rPr>
          <w:rFonts w:ascii="Arial" w:cs="Arial" w:eastAsia="Arial" w:hAnsi="Arial"/>
          <w:sz w:val="18"/>
          <w:szCs w:val="18"/>
          <w:color w:val="auto"/>
        </w:rPr>
      </w:pPr>
    </w:p>
    <w:p>
      <w:pPr>
        <w:ind w:left="1120" w:right="60" w:hanging="319"/>
        <w:spacing w:after="0" w:line="269"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the terms that could have been reached with an unrelated third party;</w:t>
      </w:r>
    </w:p>
    <w:p>
      <w:pPr>
        <w:spacing w:after="0" w:line="56" w:lineRule="exact"/>
        <w:rPr>
          <w:rFonts w:ascii="Arial" w:cs="Arial" w:eastAsia="Arial" w:hAnsi="Arial"/>
          <w:sz w:val="18"/>
          <w:szCs w:val="18"/>
          <w:color w:val="auto"/>
        </w:rPr>
      </w:pPr>
    </w:p>
    <w:p>
      <w:pPr>
        <w:ind w:left="1120" w:hanging="319"/>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13" w:lineRule="exact"/>
        <w:rPr>
          <w:rFonts w:ascii="Arial" w:cs="Arial" w:eastAsia="Arial" w:hAnsi="Arial"/>
          <w:sz w:val="18"/>
          <w:szCs w:val="18"/>
          <w:color w:val="auto"/>
        </w:rPr>
      </w:pPr>
    </w:p>
    <w:p>
      <w:pPr>
        <w:ind w:left="1120" w:right="140" w:hanging="319"/>
        <w:spacing w:after="0" w:line="269" w:lineRule="auto"/>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11" w:lineRule="exact"/>
        <w:rPr>
          <w:sz w:val="20"/>
          <w:szCs w:val="20"/>
          <w:color w:val="auto"/>
        </w:rPr>
      </w:pPr>
    </w:p>
    <w:p>
      <w:pPr>
        <w:ind w:left="660" w:hanging="393"/>
        <w:spacing w:after="0"/>
        <w:tabs>
          <w:tab w:leader="none" w:pos="660" w:val="left"/>
        </w:tabs>
        <w:numPr>
          <w:ilvl w:val="0"/>
          <w:numId w:val="6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3" w:right="5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00" w:firstLine="435"/>
        <w:spacing w:after="0" w:line="244" w:lineRule="auto"/>
        <w:rPr>
          <w:sz w:val="20"/>
          <w:szCs w:val="20"/>
          <w:color w:val="auto"/>
        </w:rPr>
      </w:pPr>
      <w:r>
        <w:rPr>
          <w:rFonts w:ascii="Arial" w:cs="Arial" w:eastAsia="Arial" w:hAnsi="Arial"/>
          <w:sz w:val="18"/>
          <w:szCs w:val="18"/>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in its sole discretion, impose any conditions on us or the related person in connection with approval of the related person transaction.</w:t>
      </w:r>
    </w:p>
    <w:p>
      <w:pPr>
        <w:spacing w:after="0" w:line="173" w:lineRule="exact"/>
        <w:rPr>
          <w:sz w:val="20"/>
          <w:szCs w:val="20"/>
          <w:color w:val="auto"/>
        </w:rPr>
      </w:pPr>
    </w:p>
    <w:p>
      <w:pPr>
        <w:ind w:left="260" w:right="20" w:firstLine="435"/>
        <w:spacing w:after="0" w:line="250"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74" w:lineRule="exact"/>
        <w:rPr>
          <w:sz w:val="20"/>
          <w:szCs w:val="20"/>
          <w:color w:val="auto"/>
        </w:rPr>
      </w:pPr>
    </w:p>
    <w:p>
      <w:pPr>
        <w:ind w:left="1120" w:right="140" w:hanging="319"/>
        <w:spacing w:after="0" w:line="239" w:lineRule="auto"/>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84" w:lineRule="exact"/>
        <w:rPr>
          <w:rFonts w:ascii="Arial" w:cs="Arial" w:eastAsia="Arial" w:hAnsi="Arial"/>
          <w:sz w:val="18"/>
          <w:szCs w:val="18"/>
          <w:color w:val="auto"/>
        </w:rPr>
      </w:pPr>
    </w:p>
    <w:p>
      <w:pPr>
        <w:ind w:left="1120" w:hanging="319"/>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transactions that are specifically contemplated by provisions of Analog Devices’ charter or bylaws.</w:t>
      </w:r>
    </w:p>
    <w:p>
      <w:pPr>
        <w:spacing w:after="0" w:line="207" w:lineRule="exact"/>
        <w:rPr>
          <w:sz w:val="20"/>
          <w:szCs w:val="20"/>
          <w:color w:val="auto"/>
        </w:rPr>
      </w:pPr>
    </w:p>
    <w:p>
      <w:pPr>
        <w:ind w:left="260" w:right="660" w:firstLine="435"/>
        <w:spacing w:after="0" w:line="269" w:lineRule="auto"/>
        <w:rPr>
          <w:sz w:val="20"/>
          <w:szCs w:val="20"/>
          <w:color w:val="auto"/>
        </w:rPr>
      </w:pPr>
      <w:r>
        <w:rPr>
          <w:rFonts w:ascii="Arial" w:cs="Arial" w:eastAsia="Arial" w:hAnsi="Arial"/>
          <w:sz w:val="18"/>
          <w:szCs w:val="18"/>
          <w:color w:val="auto"/>
        </w:rPr>
        <w:t>The policy provides that the transactions involving compensation of executive officers shall be reviewed and approved by the Compensation Committee in the manner specified in its charter.</w:t>
      </w:r>
    </w:p>
    <w:p>
      <w:pPr>
        <w:spacing w:after="0" w:line="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37</w:t>
      </w:r>
    </w:p>
    <w:p>
      <w:pPr>
        <w:sectPr>
          <w:pgSz w:w="11900" w:h="16838" w:orient="portrait"/>
          <w:cols w:equalWidth="0" w:num="1">
            <w:col w:w="11160"/>
          </w:cols>
          <w:pgMar w:left="240" w:top="453"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432435</wp:posOffset>
            </wp:positionV>
            <wp:extent cx="6917690" cy="398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17690" cy="39814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1120" cy="135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1112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FFFFFF"/>
        </w:rPr>
        <w:t>PROPOSAL 2</w:t>
      </w:r>
    </w:p>
    <w:p>
      <w:pPr>
        <w:spacing w:after="0" w:line="200" w:lineRule="exact"/>
        <w:rPr>
          <w:sz w:val="20"/>
          <w:szCs w:val="20"/>
          <w:color w:val="auto"/>
        </w:rPr>
      </w:pPr>
    </w:p>
    <w:p>
      <w:pPr>
        <w:spacing w:after="0" w:line="262" w:lineRule="exact"/>
        <w:rPr>
          <w:sz w:val="20"/>
          <w:szCs w:val="20"/>
          <w:color w:val="auto"/>
        </w:rPr>
      </w:pPr>
    </w:p>
    <w:p>
      <w:pPr>
        <w:ind w:left="260" w:right="1740"/>
        <w:spacing w:after="0" w:line="286" w:lineRule="auto"/>
        <w:rPr>
          <w:sz w:val="20"/>
          <w:szCs w:val="20"/>
          <w:color w:val="auto"/>
        </w:rPr>
      </w:pPr>
      <w:r>
        <w:rPr>
          <w:rFonts w:ascii="Arial" w:cs="Arial" w:eastAsia="Arial" w:hAnsi="Arial"/>
          <w:sz w:val="32"/>
          <w:szCs w:val="32"/>
          <w:color w:val="052B82"/>
        </w:rPr>
        <w:t>ADVISORY VOTE ON THE COMPENSATION OF OUR NAMED EXECUTIVE OFFICERS</w:t>
      </w:r>
    </w:p>
    <w:p>
      <w:pPr>
        <w:spacing w:after="0" w:line="100" w:lineRule="exact"/>
        <w:rPr>
          <w:sz w:val="20"/>
          <w:szCs w:val="20"/>
          <w:color w:val="auto"/>
        </w:rPr>
      </w:pPr>
    </w:p>
    <w:p>
      <w:pPr>
        <w:ind w:left="260" w:right="140" w:firstLine="435"/>
        <w:spacing w:after="0" w:line="239" w:lineRule="auto"/>
        <w:rPr>
          <w:sz w:val="20"/>
          <w:szCs w:val="20"/>
          <w:color w:val="auto"/>
        </w:rPr>
      </w:pPr>
      <w:r>
        <w:rPr>
          <w:rFonts w:ascii="Arial" w:cs="Arial" w:eastAsia="Arial" w:hAnsi="Arial"/>
          <w:sz w:val="18"/>
          <w:szCs w:val="18"/>
          <w:color w:val="auto"/>
        </w:rPr>
        <w:t>We are requesting shareholder approval of the compensation of the executive officers named in our Summary Compensation Table below, who we refer to as our “named executive officers” or “NEOs.”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 on pay” votes every year. In accordance with the results of that vote, our Board of Directors determined to submit “say on pay” proposals to our shareholders every year.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Board of Directors is asking shareholders to approve the following non-binding advisory resolution:</w:t>
      </w:r>
    </w:p>
    <w:p>
      <w:pPr>
        <w:spacing w:after="0" w:line="98" w:lineRule="exact"/>
        <w:rPr>
          <w:sz w:val="20"/>
          <w:szCs w:val="20"/>
          <w:color w:val="auto"/>
        </w:rPr>
      </w:pPr>
    </w:p>
    <w:p>
      <w:pPr>
        <w:jc w:val="both"/>
        <w:ind w:left="260" w:right="420" w:firstLine="435"/>
        <w:spacing w:after="0" w:line="257" w:lineRule="auto"/>
        <w:rPr>
          <w:sz w:val="20"/>
          <w:szCs w:val="20"/>
          <w:color w:val="auto"/>
        </w:rPr>
      </w:pPr>
      <w:r>
        <w:rPr>
          <w:rFonts w:ascii="Arial" w:cs="Arial" w:eastAsia="Arial" w:hAnsi="Arial"/>
          <w:sz w:val="18"/>
          <w:szCs w:val="18"/>
          <w:b w:val="1"/>
          <w:bCs w:val="1"/>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151" w:lineRule="exact"/>
        <w:rPr>
          <w:sz w:val="20"/>
          <w:szCs w:val="20"/>
          <w:color w:val="auto"/>
        </w:rPr>
      </w:pPr>
    </w:p>
    <w:p>
      <w:pPr>
        <w:jc w:val="both"/>
        <w:ind w:left="260" w:right="80" w:firstLine="435"/>
        <w:spacing w:after="0" w:line="250" w:lineRule="auto"/>
        <w:rPr>
          <w:sz w:val="20"/>
          <w:szCs w:val="20"/>
          <w:color w:val="auto"/>
        </w:rPr>
      </w:pPr>
      <w:r>
        <w:rPr>
          <w:rFonts w:ascii="Arial" w:cs="Arial" w:eastAsia="Arial" w:hAnsi="Arial"/>
          <w:sz w:val="18"/>
          <w:szCs w:val="18"/>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w:t>
      </w:r>
    </w:p>
    <w:p>
      <w:pPr>
        <w:spacing w:after="0" w:line="168" w:lineRule="exact"/>
        <w:rPr>
          <w:sz w:val="20"/>
          <w:szCs w:val="20"/>
          <w:color w:val="auto"/>
        </w:rPr>
      </w:pPr>
    </w:p>
    <w:p>
      <w:pPr>
        <w:ind w:left="260" w:right="380" w:firstLine="435"/>
        <w:spacing w:after="0" w:line="269" w:lineRule="auto"/>
        <w:rPr>
          <w:sz w:val="20"/>
          <w:szCs w:val="20"/>
          <w:color w:val="auto"/>
        </w:rPr>
      </w:pPr>
      <w:r>
        <w:rPr>
          <w:rFonts w:ascii="Arial" w:cs="Arial" w:eastAsia="Arial" w:hAnsi="Arial"/>
          <w:sz w:val="18"/>
          <w:szCs w:val="18"/>
          <w:color w:val="auto"/>
        </w:rPr>
        <w:t>At our 2018 annual meeting of shareholders, our compensation program for our NEOs received the support of 96.8% of the total votes cast.</w:t>
      </w:r>
    </w:p>
    <w:p>
      <w:pPr>
        <w:spacing w:after="0" w:line="150" w:lineRule="exact"/>
        <w:rPr>
          <w:sz w:val="20"/>
          <w:szCs w:val="20"/>
          <w:color w:val="auto"/>
        </w:rPr>
      </w:pPr>
    </w:p>
    <w:p>
      <w:pPr>
        <w:ind w:left="260" w:right="60" w:firstLine="435"/>
        <w:spacing w:after="0" w:line="241" w:lineRule="auto"/>
        <w:rPr>
          <w:sz w:val="20"/>
          <w:szCs w:val="20"/>
          <w:color w:val="auto"/>
        </w:rPr>
      </w:pPr>
      <w:r>
        <w:rPr>
          <w:rFonts w:ascii="Arial" w:cs="Arial" w:eastAsia="Arial" w:hAnsi="Arial"/>
          <w:sz w:val="18"/>
          <w:szCs w:val="18"/>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executives that is competitive with our peers, and we believe that our executive compensation program is designed to encourage the most talented individuals to grow their careers at ADI.</w:t>
      </w:r>
    </w:p>
    <w:p>
      <w:pPr>
        <w:spacing w:after="0" w:line="176" w:lineRule="exact"/>
        <w:rPr>
          <w:sz w:val="20"/>
          <w:szCs w:val="20"/>
          <w:color w:val="auto"/>
        </w:rPr>
      </w:pPr>
    </w:p>
    <w:p>
      <w:pPr>
        <w:ind w:left="260" w:right="400" w:firstLine="435"/>
        <w:spacing w:after="0" w:line="239" w:lineRule="auto"/>
        <w:rPr>
          <w:sz w:val="20"/>
          <w:szCs w:val="20"/>
          <w:color w:val="auto"/>
        </w:rPr>
      </w:pPr>
      <w:r>
        <w:rPr>
          <w:rFonts w:ascii="Arial" w:cs="Arial" w:eastAsia="Arial" w:hAnsi="Arial"/>
          <w:sz w:val="18"/>
          <w:szCs w:val="18"/>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rise in value only if our stock price increases. In fiscal 2018, a year in which ADI exceeded both our profitability and year-over-year revenue growth targets, aggregate payments under our executive performance incentive bonus plan were made at 183% of target, compared to 248% in fiscal 2017 and 85% in the fiscal year ended October 29, 2016, or fiscal 2016.</w:t>
      </w:r>
    </w:p>
    <w:p>
      <w:pPr>
        <w:spacing w:after="0" w:line="178" w:lineRule="exact"/>
        <w:rPr>
          <w:sz w:val="20"/>
          <w:szCs w:val="20"/>
          <w:color w:val="auto"/>
        </w:rPr>
      </w:pPr>
    </w:p>
    <w:p>
      <w:pPr>
        <w:ind w:left="260" w:right="200" w:firstLine="435"/>
        <w:spacing w:after="0" w:line="269" w:lineRule="auto"/>
        <w:rPr>
          <w:sz w:val="20"/>
          <w:szCs w:val="20"/>
          <w:color w:val="auto"/>
        </w:rPr>
      </w:pPr>
      <w:r>
        <w:rPr>
          <w:rFonts w:ascii="Arial" w:cs="Arial" w:eastAsia="Arial" w:hAnsi="Arial"/>
          <w:sz w:val="18"/>
          <w:szCs w:val="18"/>
          <w:color w:val="auto"/>
        </w:rPr>
        <w:t>We believe that our executive compensation program is working as intended and appropriately aligns executive pay with Company performance.</w:t>
      </w:r>
    </w:p>
    <w:p>
      <w:pPr>
        <w:spacing w:after="0" w:line="200" w:lineRule="exact"/>
        <w:rPr>
          <w:sz w:val="20"/>
          <w:szCs w:val="20"/>
          <w:color w:val="auto"/>
        </w:rPr>
      </w:pPr>
    </w:p>
    <w:p>
      <w:pPr>
        <w:spacing w:after="0" w:line="213" w:lineRule="exact"/>
        <w:rPr>
          <w:sz w:val="20"/>
          <w:szCs w:val="20"/>
          <w:color w:val="auto"/>
        </w:rPr>
      </w:pPr>
    </w:p>
    <w:p>
      <w:pPr>
        <w:ind w:left="260" w:firstLine="7"/>
        <w:spacing w:after="0" w:line="279" w:lineRule="auto"/>
        <w:rPr>
          <w:sz w:val="20"/>
          <w:szCs w:val="20"/>
          <w:color w:val="auto"/>
        </w:rPr>
      </w:pPr>
      <w:r>
        <w:rPr>
          <w:sz w:val="1"/>
          <w:szCs w:val="1"/>
          <w:color w:val="auto"/>
        </w:rPr>
        <w:drawing>
          <wp:inline distT="0" distB="0" distL="0" distR="0">
            <wp:extent cx="262890" cy="27114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2890" cy="271145"/>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approval of the compensation of our named executive officers as disclosed in this proxy statement.</w:t>
      </w:r>
    </w:p>
    <w:p>
      <w:pPr>
        <w:spacing w:after="0" w:line="80" w:lineRule="exact"/>
        <w:rPr>
          <w:sz w:val="20"/>
          <w:szCs w:val="20"/>
          <w:color w:val="auto"/>
        </w:rPr>
      </w:pPr>
    </w:p>
    <w:p>
      <w:pPr>
        <w:ind w:left="660" w:hanging="393"/>
        <w:spacing w:after="0"/>
        <w:tabs>
          <w:tab w:leader="none" w:pos="660" w:val="left"/>
        </w:tabs>
        <w:numPr>
          <w:ilvl w:val="0"/>
          <w:numId w:val="7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INFORMATION ABOUT EXECUTIVE COMPENSATION</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COMPENSATION DISCUSSION AND ANALYSIS</w:t>
      </w:r>
    </w:p>
    <w:p>
      <w:pPr>
        <w:spacing w:after="0" w:line="102" w:lineRule="exact"/>
        <w:rPr>
          <w:sz w:val="20"/>
          <w:szCs w:val="20"/>
          <w:color w:val="auto"/>
        </w:rPr>
      </w:pPr>
    </w:p>
    <w:p>
      <w:pPr>
        <w:ind w:left="260" w:right="20" w:firstLine="435"/>
        <w:spacing w:after="0" w:line="241" w:lineRule="auto"/>
        <w:rPr>
          <w:sz w:val="20"/>
          <w:szCs w:val="20"/>
          <w:color w:val="auto"/>
        </w:rPr>
      </w:pPr>
      <w:r>
        <w:rPr>
          <w:rFonts w:ascii="Arial" w:cs="Arial" w:eastAsia="Arial" w:hAnsi="Arial"/>
          <w:sz w:val="18"/>
          <w:szCs w:val="18"/>
          <w:color w:val="auto"/>
        </w:rPr>
        <w:t>We intend to provide compensation for our executives that is competitive with our peers, with an opportunity for increased compensation if the Company’s performance warrants. We have designed our compensation program to make a substantial percentage of our executive pay variable, subject to increase when corporate targets are overachieved and reduction when corporate targets are not reached. The elements of our executives’ total compensation are base salary, variable cash incentive awards, long-term equity compensation awards, and retirement and other employee benefits.</w:t>
      </w:r>
    </w:p>
    <w:p>
      <w:pPr>
        <w:spacing w:after="0" w:line="176" w:lineRule="exact"/>
        <w:rPr>
          <w:sz w:val="20"/>
          <w:szCs w:val="20"/>
          <w:color w:val="auto"/>
        </w:rPr>
      </w:pPr>
    </w:p>
    <w:p>
      <w:pPr>
        <w:jc w:val="both"/>
        <w:ind w:left="260" w:right="140" w:firstLine="435"/>
        <w:spacing w:after="0" w:line="250" w:lineRule="auto"/>
        <w:rPr>
          <w:sz w:val="20"/>
          <w:szCs w:val="20"/>
          <w:color w:val="auto"/>
        </w:rPr>
      </w:pPr>
      <w:r>
        <w:rPr>
          <w:rFonts w:ascii="Arial" w:cs="Arial" w:eastAsia="Arial" w:hAnsi="Arial"/>
          <w:sz w:val="18"/>
          <w:szCs w:val="18"/>
          <w:color w:val="auto"/>
        </w:rPr>
        <w:t>This Compensation Discussion and Analysis, or CD&amp;A, and the tables and narrative that follow provide important information about our executive officer compensation program for fiscal 2018. In this proxy statement, the terms “named executive officers” or “NEOs” refer to the following individuals who served as executive officers during fiscal 2018:</w:t>
      </w:r>
    </w:p>
    <w:p>
      <w:pPr>
        <w:spacing w:after="0" w:line="217" w:lineRule="exact"/>
        <w:rPr>
          <w:sz w:val="20"/>
          <w:szCs w:val="20"/>
          <w:color w:val="auto"/>
        </w:rPr>
      </w:pPr>
    </w:p>
    <w:tbl>
      <w:tblPr>
        <w:tblLayout w:type="fixed"/>
        <w:tblInd w:w="280" w:type="dxa"/>
        <w:tblCellMar>
          <w:top w:w="0" w:type="dxa"/>
          <w:left w:w="0" w:type="dxa"/>
          <w:bottom w:w="0" w:type="dxa"/>
          <w:right w:w="0" w:type="dxa"/>
        </w:tblCellMar>
      </w:tblPr>
      <w:tr>
        <w:trPr>
          <w:trHeight w:val="254"/>
        </w:trPr>
        <w:tc>
          <w:tcPr>
            <w:tcW w:w="338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7500" w:type="dxa"/>
            <w:vAlign w:val="bottom"/>
            <w:shd w:val="clear" w:color="auto" w:fill="052B82"/>
          </w:tcPr>
          <w:p>
            <w:pPr>
              <w:ind w:left="100"/>
              <w:spacing w:after="0"/>
              <w:rPr>
                <w:sz w:val="20"/>
                <w:szCs w:val="20"/>
                <w:color w:val="auto"/>
              </w:rPr>
            </w:pPr>
            <w:r>
              <w:rPr>
                <w:rFonts w:ascii="Arial" w:cs="Arial" w:eastAsia="Arial" w:hAnsi="Arial"/>
                <w:sz w:val="14"/>
                <w:szCs w:val="14"/>
                <w:b w:val="1"/>
                <w:bCs w:val="1"/>
                <w:color w:val="FFFFFF"/>
              </w:rPr>
              <w:t>Position</w:t>
            </w:r>
          </w:p>
        </w:tc>
      </w:tr>
      <w:tr>
        <w:trPr>
          <w:trHeight w:val="294"/>
        </w:trPr>
        <w:tc>
          <w:tcPr>
            <w:tcW w:w="3380" w:type="dxa"/>
            <w:vAlign w:val="bottom"/>
          </w:tcPr>
          <w:p>
            <w:pPr>
              <w:ind w:left="40"/>
              <w:spacing w:after="0"/>
              <w:rPr>
                <w:sz w:val="20"/>
                <w:szCs w:val="20"/>
                <w:color w:val="auto"/>
              </w:rPr>
            </w:pPr>
            <w:r>
              <w:rPr>
                <w:rFonts w:ascii="Arial" w:cs="Arial" w:eastAsia="Arial" w:hAnsi="Arial"/>
                <w:sz w:val="18"/>
                <w:szCs w:val="18"/>
                <w:color w:val="auto"/>
              </w:rPr>
              <w:t>Vincent Roche</w:t>
            </w:r>
          </w:p>
        </w:tc>
        <w:tc>
          <w:tcPr>
            <w:tcW w:w="75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94"/>
        </w:trPr>
        <w:tc>
          <w:tcPr>
            <w:tcW w:w="3380" w:type="dxa"/>
            <w:vAlign w:val="bottom"/>
            <w:shd w:val="clear" w:color="auto" w:fill="E8EDF4"/>
          </w:tcPr>
          <w:p>
            <w:pPr>
              <w:ind w:left="40"/>
              <w:spacing w:after="0"/>
              <w:rPr>
                <w:sz w:val="20"/>
                <w:szCs w:val="20"/>
                <w:color w:val="auto"/>
              </w:rPr>
            </w:pPr>
            <w:r>
              <w:rPr>
                <w:rFonts w:ascii="Arial" w:cs="Arial" w:eastAsia="Arial" w:hAnsi="Arial"/>
                <w:sz w:val="18"/>
                <w:szCs w:val="18"/>
                <w:color w:val="auto"/>
              </w:rPr>
              <w:t>Prashanth Mahendra-Rajah</w:t>
            </w:r>
          </w:p>
        </w:tc>
        <w:tc>
          <w:tcPr>
            <w:tcW w:w="7500" w:type="dxa"/>
            <w:vAlign w:val="bottom"/>
            <w:shd w:val="clear" w:color="auto" w:fill="E8EDF4"/>
          </w:tcPr>
          <w:p>
            <w:pPr>
              <w:ind w:left="10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94"/>
        </w:trPr>
        <w:tc>
          <w:tcPr>
            <w:tcW w:w="3380" w:type="dxa"/>
            <w:vAlign w:val="bottom"/>
          </w:tcPr>
          <w:p>
            <w:pPr>
              <w:ind w:left="40"/>
              <w:spacing w:after="0"/>
              <w:rPr>
                <w:sz w:val="20"/>
                <w:szCs w:val="20"/>
                <w:color w:val="auto"/>
              </w:rPr>
            </w:pPr>
            <w:r>
              <w:rPr>
                <w:rFonts w:ascii="Arial" w:cs="Arial" w:eastAsia="Arial" w:hAnsi="Arial"/>
                <w:sz w:val="18"/>
                <w:szCs w:val="18"/>
                <w:color w:val="auto"/>
              </w:rPr>
              <w:t>Martin Cotter</w:t>
            </w:r>
          </w:p>
        </w:tc>
        <w:tc>
          <w:tcPr>
            <w:tcW w:w="7500" w:type="dxa"/>
            <w:vAlign w:val="bottom"/>
          </w:tcPr>
          <w:p>
            <w:pPr>
              <w:ind w:left="100"/>
              <w:spacing w:after="0"/>
              <w:rPr>
                <w:sz w:val="20"/>
                <w:szCs w:val="20"/>
                <w:color w:val="auto"/>
              </w:rPr>
            </w:pPr>
            <w:r>
              <w:rPr>
                <w:rFonts w:ascii="Arial" w:cs="Arial" w:eastAsia="Arial" w:hAnsi="Arial"/>
                <w:sz w:val="18"/>
                <w:szCs w:val="18"/>
                <w:color w:val="auto"/>
              </w:rPr>
              <w:t>Senior Vice President, Worldwide Sales and Digital Marketing</w:t>
            </w:r>
          </w:p>
        </w:tc>
      </w:tr>
      <w:tr>
        <w:trPr>
          <w:trHeight w:val="294"/>
        </w:trPr>
        <w:tc>
          <w:tcPr>
            <w:tcW w:w="3380" w:type="dxa"/>
            <w:vAlign w:val="bottom"/>
            <w:shd w:val="clear" w:color="auto" w:fill="E8EDF4"/>
          </w:tcPr>
          <w:p>
            <w:pPr>
              <w:ind w:left="40"/>
              <w:spacing w:after="0"/>
              <w:rPr>
                <w:sz w:val="20"/>
                <w:szCs w:val="20"/>
                <w:color w:val="auto"/>
              </w:rPr>
            </w:pPr>
            <w:r>
              <w:rPr>
                <w:rFonts w:ascii="Arial" w:cs="Arial" w:eastAsia="Arial" w:hAnsi="Arial"/>
                <w:sz w:val="18"/>
                <w:szCs w:val="18"/>
                <w:color w:val="auto"/>
              </w:rPr>
              <w:t>John Hassett</w:t>
            </w:r>
          </w:p>
        </w:tc>
        <w:tc>
          <w:tcPr>
            <w:tcW w:w="7500" w:type="dxa"/>
            <w:vAlign w:val="bottom"/>
            <w:shd w:val="clear" w:color="auto" w:fill="E8EDF4"/>
          </w:tcPr>
          <w:p>
            <w:pPr>
              <w:ind w:left="100"/>
              <w:spacing w:after="0"/>
              <w:rPr>
                <w:sz w:val="20"/>
                <w:szCs w:val="20"/>
                <w:color w:val="auto"/>
              </w:rPr>
            </w:pPr>
            <w:r>
              <w:rPr>
                <w:rFonts w:ascii="Arial" w:cs="Arial" w:eastAsia="Arial" w:hAnsi="Arial"/>
                <w:sz w:val="18"/>
                <w:szCs w:val="18"/>
                <w:color w:val="auto"/>
              </w:rPr>
              <w:t>Senior Vice President, Global Operations and Technology</w:t>
            </w:r>
          </w:p>
        </w:tc>
      </w:tr>
      <w:tr>
        <w:trPr>
          <w:trHeight w:val="296"/>
        </w:trPr>
        <w:tc>
          <w:tcPr>
            <w:tcW w:w="338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7500" w:type="dxa"/>
            <w:vAlign w:val="bottom"/>
          </w:tcPr>
          <w:p>
            <w:pPr>
              <w:ind w:left="100"/>
              <w:spacing w:after="0"/>
              <w:rPr>
                <w:sz w:val="20"/>
                <w:szCs w:val="20"/>
                <w:color w:val="auto"/>
              </w:rPr>
            </w:pPr>
            <w:r>
              <w:rPr>
                <w:rFonts w:ascii="Arial" w:cs="Arial" w:eastAsia="Arial" w:hAnsi="Arial"/>
                <w:sz w:val="18"/>
                <w:szCs w:val="18"/>
                <w:color w:val="auto"/>
              </w:rPr>
              <w:t>Senior Vice President, Power Products</w:t>
            </w:r>
            <w:r>
              <w:rPr>
                <w:rFonts w:ascii="Arial" w:cs="Arial" w:eastAsia="Arial" w:hAnsi="Arial"/>
                <w:sz w:val="15"/>
                <w:szCs w:val="15"/>
                <w:color w:val="auto"/>
              </w:rPr>
              <w:t>2</w:t>
            </w:r>
          </w:p>
        </w:tc>
      </w:tr>
    </w:tbl>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Processes and Philosophy</w:t>
      </w:r>
    </w:p>
    <w:p>
      <w:pPr>
        <w:spacing w:after="0" w:line="102" w:lineRule="exact"/>
        <w:rPr>
          <w:sz w:val="20"/>
          <w:szCs w:val="20"/>
          <w:color w:val="auto"/>
        </w:rPr>
      </w:pPr>
    </w:p>
    <w:p>
      <w:pPr>
        <w:ind w:left="260" w:right="200" w:firstLine="435"/>
        <w:spacing w:after="0" w:line="269" w:lineRule="auto"/>
        <w:rPr>
          <w:sz w:val="20"/>
          <w:szCs w:val="20"/>
          <w:color w:val="auto"/>
        </w:rPr>
      </w:pPr>
      <w:r>
        <w:rPr>
          <w:rFonts w:ascii="Arial" w:cs="Arial" w:eastAsia="Arial" w:hAnsi="Arial"/>
          <w:sz w:val="18"/>
          <w:szCs w:val="18"/>
          <w:color w:val="auto"/>
        </w:rPr>
        <w:t>Our executive compensation program is designed to attract and retain top executive talent and align the interests of our executives and our shareholders. We accomplish this through the following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127000</wp:posOffset>
            </wp:positionV>
            <wp:extent cx="5128895" cy="3119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28895" cy="311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right="140" w:firstLine="435"/>
        <w:spacing w:after="0" w:line="269" w:lineRule="auto"/>
        <w:rPr>
          <w:sz w:val="20"/>
          <w:szCs w:val="20"/>
          <w:color w:val="auto"/>
        </w:rPr>
      </w:pPr>
      <w:r>
        <w:rPr>
          <w:rFonts w:ascii="Arial" w:cs="Arial" w:eastAsia="Arial" w:hAnsi="Arial"/>
          <w:sz w:val="18"/>
          <w:szCs w:val="18"/>
          <w:color w:val="auto"/>
        </w:rPr>
        <w:t>Our Chief Executive Officer’s compensation is described in more detail below under “—Chief Executive Officer Compensation.” Our other NEOs’ compensation is described in more detail below under “—Compensation for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59055</wp:posOffset>
            </wp:positionV>
            <wp:extent cx="686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13" w:lineRule="exact"/>
        <w:rPr>
          <w:sz w:val="20"/>
          <w:szCs w:val="20"/>
          <w:color w:val="auto"/>
        </w:rPr>
      </w:pPr>
    </w:p>
    <w:p>
      <w:pPr>
        <w:ind w:left="380" w:right="20" w:hanging="113"/>
        <w:spacing w:after="0" w:line="212" w:lineRule="auto"/>
        <w:tabs>
          <w:tab w:leader="none" w:pos="3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In connection with the acquisition of Linear Technology Corporation, or Linear Technology, we made commitments covering the compensation and benefits of legacy Linear Technology employees, including Mr. Pietkiewicz, through May 5, 2018, the end of the second quarter of our fiscal 2018. For a summary of Mr. Pietkiewicz’s compensation for the first half of fiscal 2018, please refer to “Compensation for Other Named Executive Officers—Compensation of Steve Pietkiewicz, Senior Vice President, Power Products” below and in the tabular disclosures.</w:t>
      </w:r>
    </w:p>
    <w:p>
      <w:pPr>
        <w:spacing w:after="0" w:line="10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39</w:t>
      </w:r>
    </w:p>
    <w:p>
      <w:pPr>
        <w:sectPr>
          <w:pgSz w:w="11900" w:h="16838" w:orient="portrait"/>
          <w:cols w:equalWidth="0" w:num="1">
            <w:col w:w="11160"/>
          </w:cols>
          <w:pgMar w:left="240" w:top="454"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and Governance Practices</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pay and governance practices are designed to align our executives’ interests with our shareholders. For example:</w:t>
      </w:r>
    </w:p>
    <w:p>
      <w:pPr>
        <w:spacing w:after="0" w:line="253" w:lineRule="exact"/>
        <w:rPr>
          <w:sz w:val="20"/>
          <w:szCs w:val="20"/>
          <w:color w:val="auto"/>
        </w:rPr>
      </w:pPr>
    </w:p>
    <w:p>
      <w:pPr>
        <w:ind w:left="260"/>
        <w:spacing w:after="0"/>
        <w:tabs>
          <w:tab w:leader="none" w:pos="5940" w:val="left"/>
        </w:tabs>
        <w:rPr>
          <w:sz w:val="20"/>
          <w:szCs w:val="20"/>
          <w:color w:val="auto"/>
        </w:rPr>
      </w:pPr>
      <w:r>
        <w:rPr>
          <w:rFonts w:ascii="Arial" w:cs="Arial" w:eastAsia="Arial" w:hAnsi="Arial"/>
          <w:sz w:val="14"/>
          <w:szCs w:val="14"/>
          <w:b w:val="1"/>
          <w:bCs w:val="1"/>
          <w:color w:val="191919"/>
        </w:rPr>
        <w:t>WHAT WE DO</w:t>
      </w:r>
      <w:r>
        <w:rPr>
          <w:sz w:val="20"/>
          <w:szCs w:val="20"/>
          <w:color w:val="auto"/>
        </w:rPr>
        <w:tab/>
      </w:r>
      <w:r>
        <w:rPr>
          <w:rFonts w:ascii="Arial" w:cs="Arial" w:eastAsia="Arial" w:hAnsi="Arial"/>
          <w:sz w:val="14"/>
          <w:szCs w:val="14"/>
          <w:b w:val="1"/>
          <w:bCs w:val="1"/>
          <w:color w:val="191919"/>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8890</wp:posOffset>
            </wp:positionV>
            <wp:extent cx="6917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40"/>
          </w:cols>
          <w:pgMar w:left="240" w:top="453" w:right="519" w:bottom="1440" w:gutter="0" w:footer="0" w:header="0"/>
        </w:sectPr>
      </w:pPr>
    </w:p>
    <w:p>
      <w:pPr>
        <w:spacing w:after="0" w:line="24" w:lineRule="exact"/>
        <w:rPr>
          <w:sz w:val="20"/>
          <w:szCs w:val="20"/>
          <w:color w:val="auto"/>
        </w:rPr>
      </w:pPr>
    </w:p>
    <w:p>
      <w:pPr>
        <w:ind w:left="680" w:hanging="413"/>
        <w:spacing w:after="0" w:line="181" w:lineRule="auto"/>
        <w:tabs>
          <w:tab w:leader="none" w:pos="680" w:val="left"/>
        </w:tabs>
        <w:numPr>
          <w:ilvl w:val="0"/>
          <w:numId w:val="72"/>
        </w:numPr>
        <w:rPr>
          <w:rFonts w:ascii="MS PGothic" w:cs="MS PGothic" w:eastAsia="MS PGothic" w:hAnsi="MS PGothic"/>
          <w:sz w:val="35"/>
          <w:szCs w:val="35"/>
          <w:color w:val="1E408E"/>
          <w:vertAlign w:val="subscript"/>
        </w:rPr>
      </w:pPr>
      <w:r>
        <w:rPr>
          <w:rFonts w:ascii="Arial" w:cs="Arial" w:eastAsia="Arial" w:hAnsi="Arial"/>
          <w:sz w:val="14"/>
          <w:szCs w:val="14"/>
          <w:color w:val="191919"/>
        </w:rPr>
        <w:t>Our cash incentive bonus awards for legacy ADI executives are based solely on our financial performance</w:t>
      </w:r>
    </w:p>
    <w:p>
      <w:pPr>
        <w:spacing w:after="0" w:line="2" w:lineRule="exact"/>
        <w:rPr>
          <w:rFonts w:ascii="MS PGothic" w:cs="MS PGothic" w:eastAsia="MS PGothic" w:hAnsi="MS PGothic"/>
          <w:sz w:val="35"/>
          <w:szCs w:val="35"/>
          <w:color w:val="1E408E"/>
          <w:vertAlign w:val="subscript"/>
        </w:rPr>
      </w:pPr>
    </w:p>
    <w:p>
      <w:pPr>
        <w:ind w:left="680" w:right="140" w:hanging="413"/>
        <w:spacing w:after="0" w:line="185" w:lineRule="auto"/>
        <w:tabs>
          <w:tab w:leader="none" w:pos="680" w:val="left"/>
        </w:tabs>
        <w:numPr>
          <w:ilvl w:val="0"/>
          <w:numId w:val="72"/>
        </w:numPr>
        <w:rPr>
          <w:rFonts w:ascii="MS PGothic" w:cs="MS PGothic" w:eastAsia="MS PGothic" w:hAnsi="MS PGothic"/>
          <w:sz w:val="44"/>
          <w:szCs w:val="44"/>
          <w:color w:val="1E408E"/>
          <w:vertAlign w:val="subscript"/>
        </w:rPr>
      </w:pPr>
      <w:r>
        <w:rPr>
          <w:rFonts w:ascii="Arial" w:cs="Arial" w:eastAsia="Arial" w:hAnsi="Arial"/>
          <w:sz w:val="14"/>
          <w:szCs w:val="14"/>
          <w:color w:val="191919"/>
        </w:rPr>
        <w:t>We have a specific policy regarding the grant dates of stock options, RSUs and other stock-based awards for our directors, executive officers and employees</w:t>
      </w:r>
    </w:p>
    <w:p>
      <w:pPr>
        <w:ind w:left="680" w:hanging="413"/>
        <w:spacing w:after="0" w:line="183" w:lineRule="auto"/>
        <w:tabs>
          <w:tab w:leader="none" w:pos="680" w:val="left"/>
        </w:tabs>
        <w:numPr>
          <w:ilvl w:val="0"/>
          <w:numId w:val="72"/>
        </w:numPr>
        <w:rPr>
          <w:rFonts w:ascii="MS PGothic" w:cs="MS PGothic" w:eastAsia="MS PGothic" w:hAnsi="MS PGothic"/>
          <w:sz w:val="28"/>
          <w:szCs w:val="28"/>
          <w:color w:val="1E408E"/>
          <w:vertAlign w:val="subscript"/>
        </w:rPr>
      </w:pPr>
      <w:r>
        <w:rPr>
          <w:rFonts w:ascii="Arial" w:cs="Arial" w:eastAsia="Arial" w:hAnsi="Arial"/>
          <w:sz w:val="13"/>
          <w:szCs w:val="13"/>
          <w:color w:val="191919"/>
        </w:rPr>
        <w:t>We have stock ownership guidelines for all officers and directors</w:t>
      </w:r>
    </w:p>
    <w:p>
      <w:pPr>
        <w:spacing w:after="0" w:line="205" w:lineRule="exact"/>
        <w:rPr>
          <w:rFonts w:ascii="MS PGothic" w:cs="MS PGothic" w:eastAsia="MS PGothic" w:hAnsi="MS PGothic"/>
          <w:sz w:val="28"/>
          <w:szCs w:val="28"/>
          <w:color w:val="1E408E"/>
          <w:vertAlign w:val="subscript"/>
        </w:rPr>
      </w:pPr>
    </w:p>
    <w:p>
      <w:pPr>
        <w:ind w:left="680" w:hanging="413"/>
        <w:spacing w:after="0" w:line="183" w:lineRule="auto"/>
        <w:tabs>
          <w:tab w:leader="none" w:pos="680" w:val="left"/>
        </w:tabs>
        <w:numPr>
          <w:ilvl w:val="0"/>
          <w:numId w:val="72"/>
        </w:numPr>
        <w:rPr>
          <w:rFonts w:ascii="MS PGothic" w:cs="MS PGothic" w:eastAsia="MS PGothic" w:hAnsi="MS PGothic"/>
          <w:sz w:val="50"/>
          <w:szCs w:val="50"/>
          <w:color w:val="1E408E"/>
          <w:vertAlign w:val="subscript"/>
        </w:rPr>
      </w:pPr>
      <w:r>
        <w:rPr>
          <w:rFonts w:ascii="Arial" w:cs="Arial" w:eastAsia="Arial" w:hAnsi="Arial"/>
          <w:sz w:val="15"/>
          <w:szCs w:val="15"/>
          <w:color w:val="191919"/>
        </w:rPr>
        <w:t>We</w:t>
      </w:r>
      <w:r>
        <w:rPr>
          <w:rFonts w:ascii="Arial" w:cs="Arial" w:eastAsia="Arial" w:hAnsi="Arial"/>
          <w:sz w:val="27"/>
          <w:szCs w:val="27"/>
          <w:color w:val="191919"/>
          <w:vertAlign w:val="subscript"/>
        </w:rPr>
        <w:t>securities</w:t>
      </w:r>
      <w:r>
        <w:rPr>
          <w:rFonts w:ascii="Arial" w:cs="Arial" w:eastAsia="Arial" w:hAnsi="Arial"/>
          <w:sz w:val="15"/>
          <w:szCs w:val="15"/>
          <w:color w:val="191919"/>
        </w:rPr>
        <w:t>prohibit hedging transactions and “short sales” involving ADI</w:t>
      </w:r>
    </w:p>
    <w:p>
      <w:pPr>
        <w:spacing w:after="0" w:line="42" w:lineRule="exact"/>
        <w:rPr>
          <w:rFonts w:ascii="MS PGothic" w:cs="MS PGothic" w:eastAsia="MS PGothic" w:hAnsi="MS PGothic"/>
          <w:sz w:val="50"/>
          <w:szCs w:val="50"/>
          <w:color w:val="1E408E"/>
          <w:vertAlign w:val="subscript"/>
        </w:rPr>
      </w:pPr>
    </w:p>
    <w:p>
      <w:pPr>
        <w:ind w:left="680" w:hanging="413"/>
        <w:spacing w:after="0" w:line="183" w:lineRule="auto"/>
        <w:tabs>
          <w:tab w:leader="none" w:pos="680" w:val="left"/>
        </w:tabs>
        <w:numPr>
          <w:ilvl w:val="0"/>
          <w:numId w:val="72"/>
        </w:numPr>
        <w:rPr>
          <w:rFonts w:ascii="MS PGothic" w:cs="MS PGothic" w:eastAsia="MS PGothic" w:hAnsi="MS PGothic"/>
          <w:sz w:val="47"/>
          <w:szCs w:val="47"/>
          <w:color w:val="1E408E"/>
          <w:vertAlign w:val="subscript"/>
        </w:rPr>
      </w:pPr>
      <w:r>
        <w:rPr>
          <w:rFonts w:ascii="Arial" w:cs="Arial" w:eastAsia="Arial" w:hAnsi="Arial"/>
          <w:sz w:val="15"/>
          <w:szCs w:val="15"/>
          <w:color w:val="191919"/>
        </w:rPr>
        <w:t>We prohibit holding ADI securities in margin accounts</w:t>
      </w:r>
    </w:p>
    <w:p>
      <w:pPr>
        <w:spacing w:after="0" w:line="205" w:lineRule="exact"/>
        <w:rPr>
          <w:rFonts w:ascii="MS PGothic" w:cs="MS PGothic" w:eastAsia="MS PGothic" w:hAnsi="MS PGothic"/>
          <w:sz w:val="47"/>
          <w:szCs w:val="47"/>
          <w:color w:val="1E408E"/>
          <w:vertAlign w:val="subscript"/>
        </w:rPr>
      </w:pPr>
    </w:p>
    <w:p>
      <w:pPr>
        <w:ind w:left="680" w:hanging="413"/>
        <w:spacing w:after="0" w:line="187" w:lineRule="auto"/>
        <w:tabs>
          <w:tab w:leader="none" w:pos="680" w:val="left"/>
        </w:tabs>
        <w:numPr>
          <w:ilvl w:val="0"/>
          <w:numId w:val="72"/>
        </w:numPr>
        <w:rPr>
          <w:rFonts w:ascii="MS PGothic" w:cs="MS PGothic" w:eastAsia="MS PGothic" w:hAnsi="MS PGothic"/>
          <w:sz w:val="25"/>
          <w:szCs w:val="25"/>
          <w:color w:val="1E408E"/>
          <w:vertAlign w:val="subscript"/>
        </w:rPr>
      </w:pPr>
      <w:r>
        <w:rPr>
          <w:rFonts w:ascii="Arial" w:cs="Arial" w:eastAsia="Arial" w:hAnsi="Arial"/>
          <w:sz w:val="13"/>
          <w:szCs w:val="13"/>
          <w:color w:val="191919"/>
        </w:rPr>
        <w:t>We prohibit pledging ADI securities as collateral for a loan</w:t>
      </w:r>
    </w:p>
    <w:p>
      <w:pPr>
        <w:spacing w:after="0" w:line="205" w:lineRule="exact"/>
        <w:rPr>
          <w:rFonts w:ascii="MS PGothic" w:cs="MS PGothic" w:eastAsia="MS PGothic" w:hAnsi="MS PGothic"/>
          <w:sz w:val="25"/>
          <w:szCs w:val="25"/>
          <w:color w:val="1E408E"/>
          <w:vertAlign w:val="subscript"/>
        </w:rPr>
      </w:pPr>
    </w:p>
    <w:p>
      <w:pPr>
        <w:ind w:left="680" w:hanging="413"/>
        <w:spacing w:after="0" w:line="187" w:lineRule="auto"/>
        <w:tabs>
          <w:tab w:leader="none" w:pos="680" w:val="left"/>
        </w:tabs>
        <w:numPr>
          <w:ilvl w:val="0"/>
          <w:numId w:val="72"/>
        </w:numPr>
        <w:rPr>
          <w:rFonts w:ascii="MS PGothic" w:cs="MS PGothic" w:eastAsia="MS PGothic" w:hAnsi="MS PGothic"/>
          <w:sz w:val="25"/>
          <w:szCs w:val="25"/>
          <w:color w:val="1E408E"/>
          <w:vertAlign w:val="subscript"/>
        </w:rPr>
      </w:pPr>
      <w:r>
        <w:rPr>
          <w:rFonts w:ascii="Arial" w:cs="Arial" w:eastAsia="Arial" w:hAnsi="Arial"/>
          <w:sz w:val="13"/>
          <w:szCs w:val="13"/>
          <w:color w:val="191919"/>
        </w:rPr>
        <w:t>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-1650365</wp:posOffset>
            </wp:positionV>
            <wp:extent cx="3492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-1276985</wp:posOffset>
            </wp:positionV>
            <wp:extent cx="3492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-1022985</wp:posOffset>
            </wp:positionV>
            <wp:extent cx="3492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-649605</wp:posOffset>
            </wp:positionV>
            <wp:extent cx="3492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-395605</wp:posOffset>
            </wp:positionV>
            <wp:extent cx="3492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-140970</wp:posOffset>
            </wp:positionV>
            <wp:extent cx="3492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250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112395</wp:posOffset>
            </wp:positionV>
            <wp:extent cx="6917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18" w:right="220" w:hanging="318"/>
        <w:spacing w:after="0" w:line="188" w:lineRule="auto"/>
        <w:tabs>
          <w:tab w:leader="none" w:pos="318" w:val="left"/>
        </w:tabs>
        <w:numPr>
          <w:ilvl w:val="0"/>
          <w:numId w:val="73"/>
        </w:numPr>
        <w:rPr>
          <w:rFonts w:ascii="Times New Roman" w:cs="Times New Roman" w:eastAsia="Times New Roman" w:hAnsi="Times New Roman"/>
          <w:sz w:val="43"/>
          <w:szCs w:val="43"/>
          <w:color w:val="191919"/>
          <w:vertAlign w:val="subscript"/>
        </w:rPr>
      </w:pPr>
      <w:r>
        <w:rPr>
          <w:rFonts w:ascii="Arial" w:cs="Arial" w:eastAsia="Arial" w:hAnsi="Arial"/>
          <w:sz w:val="14"/>
          <w:szCs w:val="14"/>
          <w:color w:val="191919"/>
        </w:rPr>
        <w:t>We do not guarantee salary increases or non-performance-based bonuses</w:t>
      </w:r>
    </w:p>
    <w:p>
      <w:pPr>
        <w:ind w:left="318" w:right="160" w:hanging="318"/>
        <w:spacing w:after="0" w:line="181" w:lineRule="auto"/>
        <w:tabs>
          <w:tab w:leader="none" w:pos="318" w:val="left"/>
        </w:tabs>
        <w:numPr>
          <w:ilvl w:val="0"/>
          <w:numId w:val="73"/>
        </w:numPr>
        <w:rPr>
          <w:rFonts w:ascii="Times New Roman" w:cs="Times New Roman" w:eastAsia="Times New Roman" w:hAnsi="Times New Roman"/>
          <w:sz w:val="33"/>
          <w:szCs w:val="33"/>
          <w:color w:val="191919"/>
          <w:vertAlign w:val="subscript"/>
        </w:rPr>
      </w:pPr>
      <w:r>
        <w:rPr>
          <w:rFonts w:ascii="Arial" w:cs="Arial" w:eastAsia="Arial" w:hAnsi="Arial"/>
          <w:sz w:val="13"/>
          <w:szCs w:val="13"/>
          <w:color w:val="191919"/>
        </w:rPr>
        <w:t>We do not modify our performance targets during the performance period, even in challenging years</w:t>
      </w:r>
    </w:p>
    <w:p>
      <w:pPr>
        <w:spacing w:after="0" w:line="1" w:lineRule="exact"/>
        <w:rPr>
          <w:rFonts w:ascii="Times New Roman" w:cs="Times New Roman" w:eastAsia="Times New Roman" w:hAnsi="Times New Roman"/>
          <w:sz w:val="33"/>
          <w:szCs w:val="33"/>
          <w:color w:val="191919"/>
          <w:vertAlign w:val="subscript"/>
        </w:rPr>
      </w:pPr>
    </w:p>
    <w:p>
      <w:pPr>
        <w:ind w:left="318" w:hanging="318"/>
        <w:spacing w:after="0" w:line="181" w:lineRule="auto"/>
        <w:tabs>
          <w:tab w:leader="none" w:pos="318" w:val="left"/>
        </w:tabs>
        <w:numPr>
          <w:ilvl w:val="0"/>
          <w:numId w:val="73"/>
        </w:numPr>
        <w:rPr>
          <w:rFonts w:ascii="Times New Roman" w:cs="Times New Roman" w:eastAsia="Times New Roman" w:hAnsi="Times New Roman"/>
          <w:sz w:val="46"/>
          <w:szCs w:val="46"/>
          <w:color w:val="191919"/>
          <w:vertAlign w:val="subscript"/>
        </w:rPr>
      </w:pPr>
      <w:r>
        <w:rPr>
          <w:rFonts w:ascii="Arial" w:cs="Arial" w:eastAsia="Arial" w:hAnsi="Arial"/>
          <w:sz w:val="15"/>
          <w:szCs w:val="15"/>
          <w:color w:val="191919"/>
        </w:rPr>
        <w:t>We do not provide new tax gross-ups for executive officers</w:t>
      </w:r>
    </w:p>
    <w:p>
      <w:pPr>
        <w:spacing w:after="0" w:line="187" w:lineRule="exact"/>
        <w:rPr>
          <w:rFonts w:ascii="Times New Roman" w:cs="Times New Roman" w:eastAsia="Times New Roman" w:hAnsi="Times New Roman"/>
          <w:sz w:val="46"/>
          <w:szCs w:val="46"/>
          <w:color w:val="191919"/>
          <w:vertAlign w:val="subscript"/>
        </w:rPr>
      </w:pPr>
    </w:p>
    <w:p>
      <w:pPr>
        <w:ind w:left="318" w:hanging="318"/>
        <w:spacing w:after="0" w:line="180" w:lineRule="auto"/>
        <w:tabs>
          <w:tab w:leader="none" w:pos="318" w:val="left"/>
        </w:tabs>
        <w:numPr>
          <w:ilvl w:val="0"/>
          <w:numId w:val="73"/>
        </w:numPr>
        <w:rPr>
          <w:rFonts w:ascii="Times New Roman" w:cs="Times New Roman" w:eastAsia="Times New Roman" w:hAnsi="Times New Roman"/>
          <w:sz w:val="40"/>
          <w:szCs w:val="40"/>
          <w:color w:val="191919"/>
          <w:vertAlign w:val="subscript"/>
        </w:rPr>
      </w:pPr>
      <w:r>
        <w:rPr>
          <w:rFonts w:ascii="Arial" w:cs="Arial" w:eastAsia="Arial" w:hAnsi="Arial"/>
          <w:sz w:val="14"/>
          <w:szCs w:val="14"/>
          <w:color w:val="191919"/>
        </w:rPr>
        <w:t>With the exception of restricted stock awards assumed in connection with the Linear Technology acquisition, we do not pay dividends on unvested equity awards</w:t>
      </w:r>
    </w:p>
    <w:p>
      <w:pPr>
        <w:spacing w:after="0" w:line="2" w:lineRule="exact"/>
        <w:rPr>
          <w:rFonts w:ascii="Times New Roman" w:cs="Times New Roman" w:eastAsia="Times New Roman" w:hAnsi="Times New Roman"/>
          <w:sz w:val="40"/>
          <w:szCs w:val="40"/>
          <w:color w:val="191919"/>
          <w:vertAlign w:val="subscript"/>
        </w:rPr>
      </w:pPr>
    </w:p>
    <w:p>
      <w:pPr>
        <w:ind w:left="318" w:hanging="318"/>
        <w:spacing w:after="0" w:line="185" w:lineRule="auto"/>
        <w:tabs>
          <w:tab w:leader="none" w:pos="318" w:val="left"/>
        </w:tabs>
        <w:numPr>
          <w:ilvl w:val="0"/>
          <w:numId w:val="73"/>
        </w:numPr>
        <w:rPr>
          <w:rFonts w:ascii="Times New Roman" w:cs="Times New Roman" w:eastAsia="Times New Roman" w:hAnsi="Times New Roman"/>
          <w:sz w:val="24"/>
          <w:szCs w:val="24"/>
          <w:color w:val="191919"/>
          <w:vertAlign w:val="subscript"/>
        </w:rPr>
      </w:pPr>
      <w:r>
        <w:rPr>
          <w:rFonts w:ascii="Arial" w:cs="Arial" w:eastAsia="Arial" w:hAnsi="Arial"/>
          <w:sz w:val="12"/>
          <w:szCs w:val="12"/>
          <w:color w:val="191919"/>
        </w:rPr>
        <w:t>We do not provide extensive perquisites to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-1141095</wp:posOffset>
            </wp:positionV>
            <wp:extent cx="33064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0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-768350</wp:posOffset>
            </wp:positionV>
            <wp:extent cx="33064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33064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6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33064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001" w:lineRule="exact"/>
        <w:rPr>
          <w:sz w:val="20"/>
          <w:szCs w:val="20"/>
          <w:color w:val="auto"/>
        </w:rPr>
      </w:pPr>
    </w:p>
    <w:p>
      <w:pPr>
        <w:sectPr>
          <w:pgSz w:w="11900" w:h="16838" w:orient="portrait"/>
          <w:cols w:equalWidth="0" w:num="2">
            <w:col w:w="5660" w:space="302"/>
            <w:col w:w="5178"/>
          </w:cols>
          <w:pgMar w:left="240" w:top="453" w:right="519" w:bottom="1440" w:gutter="0" w:footer="0" w:header="0"/>
          <w:type w:val="continuous"/>
        </w:sect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00" w:lineRule="exact"/>
        <w:rPr>
          <w:sz w:val="20"/>
          <w:szCs w:val="20"/>
          <w:color w:val="auto"/>
        </w:rPr>
      </w:pPr>
    </w:p>
    <w:p>
      <w:pPr>
        <w:ind w:left="260" w:right="400" w:firstLine="435"/>
        <w:spacing w:after="0" w:line="252" w:lineRule="auto"/>
        <w:rPr>
          <w:sz w:val="20"/>
          <w:szCs w:val="20"/>
          <w:color w:val="auto"/>
        </w:rPr>
      </w:pPr>
      <w:r>
        <w:rPr>
          <w:rFonts w:ascii="Arial" w:cs="Arial" w:eastAsia="Arial" w:hAnsi="Arial"/>
          <w:sz w:val="17"/>
          <w:szCs w:val="17"/>
          <w:color w:val="auto"/>
        </w:rPr>
        <w:t>A significant portion of the total target compensation for our executives is in the form of variable, performance-based incentive compensation, with only a small portion of the total target compensation provided in the form of “fixed” compensation. We believe this provides our executives an opportunity to earn above peer average compensation if ADI delivers strong results, and conversely, if the Company delivers weaker results, our executives would earn less compensation. The target pay mix for our NEOs (other than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Mr. Pietkiewicz) for fiscal 2018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148590</wp:posOffset>
            </wp:positionV>
            <wp:extent cx="5128895" cy="2322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2889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0" w:hanging="313"/>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Does not equal 100% due to rounding.</w:t>
      </w:r>
    </w:p>
    <w:p>
      <w:pPr>
        <w:spacing w:after="0" w:line="230" w:lineRule="exact"/>
        <w:rPr>
          <w:sz w:val="20"/>
          <w:szCs w:val="20"/>
          <w:color w:val="auto"/>
        </w:rPr>
      </w:pPr>
    </w:p>
    <w:p>
      <w:pPr>
        <w:ind w:left="260" w:right="220" w:firstLine="435"/>
        <w:spacing w:after="0" w:line="269" w:lineRule="auto"/>
        <w:rPr>
          <w:sz w:val="20"/>
          <w:szCs w:val="20"/>
          <w:color w:val="auto"/>
        </w:rPr>
      </w:pPr>
      <w:r>
        <w:rPr>
          <w:rFonts w:ascii="Arial" w:cs="Arial" w:eastAsia="Arial" w:hAnsi="Arial"/>
          <w:sz w:val="18"/>
          <w:szCs w:val="18"/>
          <w:color w:val="auto"/>
        </w:rPr>
        <w:t>The pay mix charts above are based on target compensation consisting of the annual rate of base salary and short-term and long-term incentive targets approved by the Compensation Committee. The pay</w:t>
      </w:r>
    </w:p>
    <w:p>
      <w:pPr>
        <w:spacing w:after="0" w:line="111" w:lineRule="exact"/>
        <w:rPr>
          <w:sz w:val="20"/>
          <w:szCs w:val="20"/>
          <w:color w:val="auto"/>
        </w:rPr>
      </w:pPr>
    </w:p>
    <w:p>
      <w:pPr>
        <w:ind w:left="660" w:hanging="393"/>
        <w:spacing w:after="0"/>
        <w:tabs>
          <w:tab w:leader="none" w:pos="660" w:val="left"/>
        </w:tabs>
        <w:numPr>
          <w:ilvl w:val="0"/>
          <w:numId w:val="7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3" w:right="51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60"/>
        <w:spacing w:after="0" w:line="239" w:lineRule="auto"/>
        <w:rPr>
          <w:sz w:val="20"/>
          <w:szCs w:val="20"/>
          <w:color w:val="auto"/>
        </w:rPr>
      </w:pPr>
      <w:r>
        <w:rPr>
          <w:rFonts w:ascii="Arial" w:cs="Arial" w:eastAsia="Arial" w:hAnsi="Arial"/>
          <w:sz w:val="18"/>
          <w:szCs w:val="18"/>
          <w:color w:val="auto"/>
        </w:rPr>
        <w:t>mix for the “other NEOs” in the chart above excludes Mr. Pietkiewicz as he remained on the legacy Linear Technology variable cash incentive bonus program for the first half of fiscal 2018. It also excludes the equity awards granted to Messrs. Cotter and Hassett in September 2018 in recognition of their meaningful contributions in fiscal 2018 in driving our top line revenue growth and profit expansion. If those equity awards were taken into account, the percentage of performance-based incentives would increase for such NEOs. For more information about the components of the performance and incentive pay mix for our Named Executive Officer Compensation, see “Compensation Discussion and Analysis—Components of Executive Compensation.”</w:t>
      </w:r>
    </w:p>
    <w:p>
      <w:pPr>
        <w:spacing w:after="0" w:line="178" w:lineRule="exact"/>
        <w:rPr>
          <w:sz w:val="20"/>
          <w:szCs w:val="20"/>
          <w:color w:val="auto"/>
        </w:rPr>
      </w:pPr>
    </w:p>
    <w:p>
      <w:pPr>
        <w:ind w:left="260" w:right="60" w:firstLine="435"/>
        <w:spacing w:after="0" w:line="235" w:lineRule="auto"/>
        <w:rPr>
          <w:sz w:val="20"/>
          <w:szCs w:val="20"/>
          <w:color w:val="auto"/>
        </w:rPr>
      </w:pPr>
      <w:r>
        <w:rPr>
          <w:rFonts w:ascii="Arial" w:cs="Arial" w:eastAsia="Arial" w:hAnsi="Arial"/>
          <w:sz w:val="18"/>
          <w:szCs w:val="18"/>
          <w:u w:val="single" w:color="auto"/>
          <w:color w:val="auto"/>
        </w:rPr>
        <w:t>Variable Cash Incentive Bonus Payments</w:t>
      </w:r>
      <w:r>
        <w:rPr>
          <w:rFonts w:ascii="Arial" w:cs="Arial" w:eastAsia="Arial" w:hAnsi="Arial"/>
          <w:sz w:val="18"/>
          <w:szCs w:val="18"/>
          <w:color w:val="auto"/>
        </w:rPr>
        <w:t>. For fiscal 2018, we linked a significant portion of our executives’ cash compensation to ADI’s performance, measured by our OPBT margin and year-over-year revenue growth on a quarterly basis, through our executive performance incentive plan. The performance metrics and targets for our executive performance incentive plan for the first half of fiscal 2018 excluded the results of Linear Technology as the legacy Linear Technology employees remained on their legacy profit sharing incentive program for that time period. For the second half of fiscal 2018, we aligned the compensation of our executives and legacy ADI and Linear Technology employees, so the performance metrics and targets for the second half of fiscal 2018 included the results of Linear Technology and were identical for eligible employees and executives alike, to drive consistent business goals. For fiscal 2018, the Compensation Committee set target percentages of 150% of base salary for our Chief Executive Officer and between 90%-100% of base salary for our remaining NEOs. The Compensation Committee selected these target bonus percentages to ensure that a substantial portion of each executive’s cash compensation is directly linked to our business performance. For a description of Mr. Pietkiewicz’s variable cash incentive bonus payment for the first half of fiscal 2018, see “Compensation for Other Named Executive Officers— Compensation for Steve Pietkiewicz, Senior Vice President, Power Products” below.</w:t>
      </w:r>
    </w:p>
    <w:p>
      <w:pPr>
        <w:spacing w:after="0" w:line="185" w:lineRule="exact"/>
        <w:rPr>
          <w:sz w:val="20"/>
          <w:szCs w:val="20"/>
          <w:color w:val="auto"/>
        </w:rPr>
      </w:pPr>
    </w:p>
    <w:p>
      <w:pPr>
        <w:ind w:left="260" w:right="20" w:firstLine="435"/>
        <w:spacing w:after="0" w:line="236" w:lineRule="auto"/>
        <w:rPr>
          <w:sz w:val="20"/>
          <w:szCs w:val="20"/>
          <w:color w:val="auto"/>
        </w:rPr>
      </w:pPr>
      <w:r>
        <w:rPr>
          <w:rFonts w:ascii="Arial" w:cs="Arial" w:eastAsia="Arial" w:hAnsi="Arial"/>
          <w:sz w:val="18"/>
          <w:szCs w:val="18"/>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Based on our evaluation of these factors, we develop a range of performance scenarios and then set goals at threshold, target and maximum performance levels. Based on analyses of our peer group performance over the past three years, as presented by our Compensation Committee’s independent consultant, Pearl Meyer, our OPBT margin targets (30% for the first and second quarters of fiscal 2018 and 39% for the third and fourth quarters of fiscal 2018) were well above our peer group median performance, while our annual growth rate targets (8% for the first and second quarters of fiscal 2018 and 5% for the third and fourth quarters of fiscal 2018) were well aligned with our peer group median performance. We increased the OPBT margin targets and decreased the annual growth rate targets for the third and fourth quarters of fiscal 2018 as compared to the first and second quarters of fiscal 2018 to align both with the financial profile of the combined company following the acquisition of Linear Technology and our Company’s post-acquisition long-term financial model, which we announced at our Investor Day in June 2017.</w:t>
      </w:r>
    </w:p>
    <w:p>
      <w:pPr>
        <w:spacing w:after="0" w:line="178" w:lineRule="exact"/>
        <w:rPr>
          <w:sz w:val="20"/>
          <w:szCs w:val="20"/>
          <w:color w:val="auto"/>
        </w:rPr>
      </w:pPr>
    </w:p>
    <w:p>
      <w:pPr>
        <w:jc w:val="both"/>
        <w:ind w:left="260" w:right="200" w:firstLine="435"/>
        <w:spacing w:after="0" w:line="244" w:lineRule="auto"/>
        <w:rPr>
          <w:sz w:val="20"/>
          <w:szCs w:val="20"/>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We also link pay and performance by providing a significant amount of our executives’ compensation in the form of equity awards, the value of which is directly tied to our stock price performance over the long term. In fiscal 2018, approximately 62% of the average total target compensation of our NEOs (excluding Mr. Pietkiewicz) was in the form of equity. In fiscal 2018, the form and mix of equity awards delivered as part of our annual equity award program for our NEOs was as follows:</w:t>
      </w:r>
    </w:p>
    <w:p>
      <w:pPr>
        <w:spacing w:after="0" w:line="173" w:lineRule="exact"/>
        <w:rPr>
          <w:sz w:val="20"/>
          <w:szCs w:val="20"/>
          <w:color w:val="auto"/>
        </w:rPr>
      </w:pPr>
    </w:p>
    <w:p>
      <w:pPr>
        <w:ind w:left="260" w:right="40" w:firstLine="435"/>
        <w:spacing w:after="0" w:line="241" w:lineRule="auto"/>
        <w:rPr>
          <w:sz w:val="20"/>
          <w:szCs w:val="20"/>
          <w:color w:val="auto"/>
        </w:rPr>
      </w:pPr>
      <w:r>
        <w:rPr>
          <w:rFonts w:ascii="Arial" w:cs="Arial" w:eastAsia="Arial" w:hAnsi="Arial"/>
          <w:sz w:val="18"/>
          <w:szCs w:val="18"/>
          <w:i w:val="1"/>
          <w:iCs w:val="1"/>
          <w:color w:val="auto"/>
        </w:rPr>
        <w:t xml:space="preserve">Performance-Based RSUs. </w:t>
      </w:r>
      <w:r>
        <w:rPr>
          <w:rFonts w:ascii="Arial" w:cs="Arial" w:eastAsia="Arial" w:hAnsi="Arial"/>
          <w:sz w:val="18"/>
          <w:szCs w:val="18"/>
          <w:color w:val="auto"/>
        </w:rPr>
        <w:t>Approximately 33% of the value was delivered in the form of performance-based RSUs, under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ADI common stock received following vesting will be based on ADI’s total shareholder return, or TSR, performance (defined as share price appreciation plus cumulative cash dividend payments) measured against the median TSR of a defined comparator group of companies over a three-year period. These performance-based RSUs for our executives ensure a direct link between the value of our long-term incentives and the value that is created for our shareholders.</w:t>
      </w:r>
    </w:p>
    <w:p>
      <w:pPr>
        <w:spacing w:after="0" w:line="176" w:lineRule="exact"/>
        <w:rPr>
          <w:sz w:val="20"/>
          <w:szCs w:val="20"/>
          <w:color w:val="auto"/>
        </w:rPr>
      </w:pPr>
    </w:p>
    <w:p>
      <w:pPr>
        <w:ind w:left="260" w:right="260" w:firstLine="435"/>
        <w:spacing w:after="0" w:line="269" w:lineRule="auto"/>
        <w:rPr>
          <w:sz w:val="20"/>
          <w:szCs w:val="20"/>
          <w:color w:val="auto"/>
        </w:rPr>
      </w:pPr>
      <w:r>
        <w:rPr>
          <w:rFonts w:ascii="Arial" w:cs="Arial" w:eastAsia="Arial" w:hAnsi="Arial"/>
          <w:sz w:val="18"/>
          <w:szCs w:val="18"/>
          <w:i w:val="1"/>
          <w:iCs w:val="1"/>
          <w:color w:val="auto"/>
        </w:rPr>
        <w:t xml:space="preserve">Time-Based RSUs. </w:t>
      </w:r>
      <w:r>
        <w:rPr>
          <w:rFonts w:ascii="Arial" w:cs="Arial" w:eastAsia="Arial" w:hAnsi="Arial"/>
          <w:sz w:val="18"/>
          <w:szCs w:val="18"/>
          <w:color w:val="auto"/>
        </w:rPr>
        <w:t>Approximately 33% of the value was delivered in the form of time-based RSUs, which increase or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 depending on our share performance.</w:t>
      </w:r>
    </w:p>
    <w:p>
      <w:pPr>
        <w:spacing w:after="0" w:line="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41</w:t>
      </w:r>
    </w:p>
    <w:p>
      <w:pPr>
        <w:sectPr>
          <w:pgSz w:w="11900" w:h="16838" w:orient="portrait"/>
          <w:cols w:equalWidth="0" w:num="1">
            <w:col w:w="11160"/>
          </w:cols>
          <w:pgMar w:left="240" w:top="454"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360" w:firstLine="435"/>
        <w:spacing w:after="0" w:line="26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Approximately 33% of the value of our executives’ equity was delivered in the form of stock options that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 link between these awards and the appreciation of the stock owned by our shareholders.</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Benchmarking</w:t>
      </w:r>
    </w:p>
    <w:p>
      <w:pPr>
        <w:spacing w:after="0" w:line="100" w:lineRule="exact"/>
        <w:rPr>
          <w:sz w:val="20"/>
          <w:szCs w:val="20"/>
          <w:color w:val="auto"/>
        </w:rPr>
      </w:pPr>
    </w:p>
    <w:p>
      <w:pPr>
        <w:ind w:left="260" w:right="180" w:firstLine="435"/>
        <w:spacing w:after="0" w:line="236" w:lineRule="auto"/>
        <w:rPr>
          <w:sz w:val="20"/>
          <w:szCs w:val="20"/>
          <w:color w:val="auto"/>
        </w:rPr>
      </w:pPr>
      <w:r>
        <w:rPr>
          <w:rFonts w:ascii="Arial" w:cs="Arial" w:eastAsia="Arial" w:hAnsi="Arial"/>
          <w:sz w:val="18"/>
          <w:szCs w:val="18"/>
          <w:color w:val="auto"/>
        </w:rPr>
        <w:t>In making its compensation determinations, including base salary, cash incentive bonus award targets and long-term equity compensation, the Compensation Committee annually reviews the total compensation that each of our executives is eligible to receive against the compensation levels of comparable positions of a peer group of companies. The composition of the peer group is also reviewed annually by the Compensation Committee. In fiscal 2017, the Compensation Committee engaged Pearl Meyer to conduct a review of the composition of the Company’s peer group for fiscal 2018. The Compensation Committee has sought to select peer companies that are publicly traded, headquartered in the United States, compete with us for talent, and are similar to ADI in their product and services offerings, business model, revenue size and market capitalization. As a result of rapid consolidation in the semiconductor industry over the last several years, in addition to companies that meet the criteria outlined above, the peer group for 2018 included companies outside of the semiconductor industry. These additional companies are similar in size and have similar gross margins and research and development spend as the Company, include peers of peers and peers of other companies in our sector, and we often compete with them for talent.</w:t>
      </w:r>
    </w:p>
    <w:p>
      <w:pPr>
        <w:spacing w:after="0" w:line="178" w:lineRule="exact"/>
        <w:rPr>
          <w:sz w:val="20"/>
          <w:szCs w:val="20"/>
          <w:color w:val="auto"/>
        </w:rPr>
      </w:pPr>
    </w:p>
    <w:p>
      <w:pPr>
        <w:ind w:left="260" w:right="140" w:firstLine="435"/>
        <w:spacing w:after="0" w:line="269" w:lineRule="auto"/>
        <w:rPr>
          <w:sz w:val="20"/>
          <w:szCs w:val="20"/>
          <w:color w:val="auto"/>
        </w:rPr>
      </w:pPr>
      <w:r>
        <w:rPr>
          <w:rFonts w:ascii="Arial" w:cs="Arial" w:eastAsia="Arial" w:hAnsi="Arial"/>
          <w:sz w:val="18"/>
          <w:szCs w:val="18"/>
          <w:color w:val="auto"/>
        </w:rPr>
        <w:t>The peer group used by the Compensation Committee in fiscal 2018 to evaluate executive compensation was the same as the peer group used in fiscal 2017 and consisted of the following companies:</w:t>
      </w:r>
    </w:p>
    <w:p>
      <w:pPr>
        <w:spacing w:after="0" w:line="80" w:lineRule="exact"/>
        <w:rPr>
          <w:sz w:val="20"/>
          <w:szCs w:val="20"/>
          <w:color w:val="auto"/>
        </w:rPr>
      </w:pPr>
    </w:p>
    <w:tbl>
      <w:tblPr>
        <w:tblLayout w:type="fixed"/>
        <w:tblInd w:w="290" w:type="dxa"/>
        <w:tblCellMar>
          <w:top w:w="0" w:type="dxa"/>
          <w:left w:w="0" w:type="dxa"/>
          <w:bottom w:w="0" w:type="dxa"/>
          <w:right w:w="0" w:type="dxa"/>
        </w:tblCellMar>
      </w:tblPr>
      <w:tr>
        <w:trPr>
          <w:trHeight w:val="254"/>
        </w:trPr>
        <w:tc>
          <w:tcPr>
            <w:tcW w:w="3560" w:type="dxa"/>
            <w:vAlign w:val="bottom"/>
            <w:tcBorders>
              <w:left w:val="single" w:sz="8" w:color="052B82"/>
            </w:tcBorders>
            <w:shd w:val="clear" w:color="auto" w:fill="052B82"/>
          </w:tcPr>
          <w:p>
            <w:pPr>
              <w:spacing w:after="0"/>
              <w:rPr>
                <w:sz w:val="22"/>
                <w:szCs w:val="22"/>
                <w:color w:val="auto"/>
              </w:rPr>
            </w:pPr>
          </w:p>
        </w:tc>
        <w:tc>
          <w:tcPr>
            <w:tcW w:w="7340" w:type="dxa"/>
            <w:vAlign w:val="bottom"/>
            <w:tcBorders>
              <w:right w:val="single" w:sz="8" w:color="052B82"/>
            </w:tcBorders>
            <w:gridSpan w:val="2"/>
            <w:shd w:val="clear" w:color="auto" w:fill="052B82"/>
          </w:tcPr>
          <w:p>
            <w:pPr>
              <w:ind w:left="1260"/>
              <w:spacing w:after="0"/>
              <w:rPr>
                <w:sz w:val="20"/>
                <w:szCs w:val="20"/>
                <w:color w:val="auto"/>
              </w:rPr>
            </w:pPr>
            <w:r>
              <w:rPr>
                <w:rFonts w:ascii="Arial" w:cs="Arial" w:eastAsia="Arial" w:hAnsi="Arial"/>
                <w:sz w:val="17"/>
                <w:szCs w:val="17"/>
                <w:b w:val="1"/>
                <w:bCs w:val="1"/>
                <w:color w:val="FFFFFF"/>
              </w:rPr>
              <w:t>2018 Peer Group</w:t>
            </w:r>
          </w:p>
        </w:tc>
      </w:tr>
      <w:tr>
        <w:trPr>
          <w:trHeight w:val="279"/>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Advanced Micro Devices, Inc.</w:t>
            </w:r>
          </w:p>
        </w:tc>
        <w:tc>
          <w:tcPr>
            <w:tcW w:w="1800" w:type="dxa"/>
            <w:vAlign w:val="bottom"/>
            <w:tcBorders>
              <w:bottom w:val="single" w:sz="8" w:color="506AA7"/>
              <w:right w:val="single" w:sz="8" w:color="052B82"/>
            </w:tcBorders>
          </w:tcPr>
          <w:p>
            <w:pPr>
              <w:spacing w:after="0"/>
              <w:rPr>
                <w:sz w:val="24"/>
                <w:szCs w:val="24"/>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Maxim Integrated Products,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Agilent Technologies, Inc.</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Microchip Technology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Applied Materials, Inc.</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NetApp,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Boston Scientific Corporation</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NVIDIA Corporation</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Broadcom Limited</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Qorvo,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Juniper Networks, Inc.</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Skyworks Solutions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Lam Research Corporation</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Texas Instruments Inc.</w:t>
            </w:r>
          </w:p>
        </w:tc>
      </w:tr>
      <w:tr>
        <w:trPr>
          <w:trHeight w:val="274"/>
        </w:trPr>
        <w:tc>
          <w:tcPr>
            <w:tcW w:w="3560" w:type="dxa"/>
            <w:vAlign w:val="bottom"/>
            <w:tcBorders>
              <w:left w:val="single" w:sz="8" w:color="052B82"/>
              <w:bottom w:val="single" w:sz="8" w:color="506AA7"/>
            </w:tcBorders>
          </w:tcPr>
          <w:p>
            <w:pPr>
              <w:ind w:left="140"/>
              <w:spacing w:after="0"/>
              <w:rPr>
                <w:sz w:val="20"/>
                <w:szCs w:val="20"/>
                <w:color w:val="auto"/>
              </w:rPr>
            </w:pPr>
            <w:r>
              <w:rPr>
                <w:rFonts w:ascii="Arial" w:cs="Arial" w:eastAsia="Arial" w:hAnsi="Arial"/>
                <w:sz w:val="16"/>
                <w:szCs w:val="16"/>
                <w:color w:val="auto"/>
              </w:rPr>
              <w:t>Marvell Technology Group Ltd.</w:t>
            </w:r>
          </w:p>
        </w:tc>
        <w:tc>
          <w:tcPr>
            <w:tcW w:w="1800" w:type="dxa"/>
            <w:vAlign w:val="bottom"/>
            <w:tcBorders>
              <w:bottom w:val="single" w:sz="8" w:color="506AA7"/>
              <w:right w:val="single" w:sz="8" w:color="052B82"/>
            </w:tcBorders>
          </w:tcPr>
          <w:p>
            <w:pPr>
              <w:spacing w:after="0"/>
              <w:rPr>
                <w:sz w:val="23"/>
                <w:szCs w:val="23"/>
                <w:color w:val="auto"/>
              </w:rPr>
            </w:pPr>
          </w:p>
        </w:tc>
        <w:tc>
          <w:tcPr>
            <w:tcW w:w="5540" w:type="dxa"/>
            <w:vAlign w:val="bottom"/>
            <w:tcBorders>
              <w:bottom w:val="single" w:sz="8" w:color="506AA7"/>
              <w:right w:val="single" w:sz="8" w:color="052B82"/>
            </w:tcBorders>
          </w:tcPr>
          <w:p>
            <w:pPr>
              <w:ind w:left="400"/>
              <w:spacing w:after="0"/>
              <w:rPr>
                <w:sz w:val="20"/>
                <w:szCs w:val="20"/>
                <w:color w:val="auto"/>
              </w:rPr>
            </w:pPr>
            <w:r>
              <w:rPr>
                <w:rFonts w:ascii="Arial" w:cs="Arial" w:eastAsia="Arial" w:hAnsi="Arial"/>
                <w:sz w:val="16"/>
                <w:szCs w:val="16"/>
                <w:color w:val="auto"/>
              </w:rPr>
              <w:t>Xilinx Inc.</w:t>
            </w:r>
          </w:p>
        </w:tc>
      </w:tr>
    </w:tbl>
    <w:p>
      <w:pPr>
        <w:spacing w:after="0" w:line="240" w:lineRule="exact"/>
        <w:rPr>
          <w:sz w:val="20"/>
          <w:szCs w:val="20"/>
          <w:color w:val="auto"/>
        </w:rPr>
      </w:pPr>
    </w:p>
    <w:tbl>
      <w:tblPr>
        <w:tblLayout w:type="fixed"/>
        <w:tblInd w:w="730" w:type="dxa"/>
        <w:tblCellMar>
          <w:top w:w="0" w:type="dxa"/>
          <w:left w:w="0" w:type="dxa"/>
          <w:bottom w:w="0" w:type="dxa"/>
          <w:right w:w="0" w:type="dxa"/>
        </w:tblCellMar>
      </w:tblPr>
      <w:tr>
        <w:trPr>
          <w:trHeight w:val="265"/>
        </w:trPr>
        <w:tc>
          <w:tcPr>
            <w:tcW w:w="3220" w:type="dxa"/>
            <w:vAlign w:val="bottom"/>
            <w:tcBorders>
              <w:left w:val="single" w:sz="8" w:color="052B82"/>
              <w:bottom w:val="single" w:sz="8" w:color="506AA7"/>
              <w:right w:val="single" w:sz="8" w:color="052B82"/>
            </w:tcBorders>
            <w:shd w:val="clear" w:color="auto" w:fill="052B82"/>
          </w:tcPr>
          <w:p>
            <w:pPr>
              <w:spacing w:after="0"/>
              <w:rPr>
                <w:sz w:val="23"/>
                <w:szCs w:val="23"/>
                <w:color w:val="auto"/>
              </w:rPr>
            </w:pPr>
          </w:p>
        </w:tc>
        <w:tc>
          <w:tcPr>
            <w:tcW w:w="3400" w:type="dxa"/>
            <w:vAlign w:val="bottom"/>
            <w:tcBorders>
              <w:bottom w:val="single" w:sz="8" w:color="506AA7"/>
              <w:right w:val="single" w:sz="8" w:color="052B82"/>
            </w:tcBorders>
            <w:shd w:val="clear" w:color="auto" w:fill="052B82"/>
          </w:tcPr>
          <w:p>
            <w:pPr>
              <w:ind w:left="380"/>
              <w:spacing w:after="0"/>
              <w:rPr>
                <w:sz w:val="20"/>
                <w:szCs w:val="20"/>
                <w:color w:val="auto"/>
              </w:rPr>
            </w:pPr>
            <w:r>
              <w:rPr>
                <w:rFonts w:ascii="Arial" w:cs="Arial" w:eastAsia="Arial" w:hAnsi="Arial"/>
                <w:sz w:val="17"/>
                <w:szCs w:val="17"/>
                <w:b w:val="1"/>
                <w:bCs w:val="1"/>
                <w:color w:val="FFFFFF"/>
              </w:rPr>
              <w:t>2017 Market Capitalization</w:t>
            </w:r>
          </w:p>
        </w:tc>
        <w:tc>
          <w:tcPr>
            <w:tcW w:w="3400" w:type="dxa"/>
            <w:vAlign w:val="bottom"/>
            <w:tcBorders>
              <w:bottom w:val="single" w:sz="8" w:color="506AA7"/>
              <w:right w:val="single" w:sz="8" w:color="052B82"/>
            </w:tcBorders>
            <w:shd w:val="clear" w:color="auto" w:fill="052B82"/>
          </w:tcPr>
          <w:p>
            <w:pPr>
              <w:ind w:left="380"/>
              <w:spacing w:after="0"/>
              <w:rPr>
                <w:sz w:val="20"/>
                <w:szCs w:val="20"/>
                <w:color w:val="auto"/>
              </w:rPr>
            </w:pPr>
            <w:r>
              <w:rPr>
                <w:rFonts w:ascii="Arial" w:cs="Arial" w:eastAsia="Arial" w:hAnsi="Arial"/>
                <w:sz w:val="17"/>
                <w:szCs w:val="17"/>
                <w:b w:val="1"/>
                <w:bCs w:val="1"/>
                <w:color w:val="FFFFFF"/>
              </w:rPr>
              <w:t>2017 Revenues</w:t>
            </w:r>
          </w:p>
        </w:tc>
      </w:tr>
      <w:tr>
        <w:trPr>
          <w:trHeight w:val="274"/>
        </w:trPr>
        <w:tc>
          <w:tcPr>
            <w:tcW w:w="3220" w:type="dxa"/>
            <w:vAlign w:val="bottom"/>
            <w:tcBorders>
              <w:left w:val="single" w:sz="8" w:color="052B82"/>
              <w:bottom w:val="single" w:sz="8" w:color="506AA7"/>
              <w:right w:val="single" w:sz="8" w:color="052B82"/>
            </w:tcBorders>
          </w:tcPr>
          <w:p>
            <w:pPr>
              <w:ind w:left="140"/>
              <w:spacing w:after="0"/>
              <w:rPr>
                <w:sz w:val="20"/>
                <w:szCs w:val="20"/>
                <w:color w:val="auto"/>
              </w:rPr>
            </w:pPr>
            <w:r>
              <w:rPr>
                <w:rFonts w:ascii="Arial" w:cs="Arial" w:eastAsia="Arial" w:hAnsi="Arial"/>
                <w:sz w:val="16"/>
                <w:szCs w:val="16"/>
                <w:color w:val="auto"/>
              </w:rPr>
              <w:t>Analog Devices</w:t>
            </w:r>
          </w:p>
        </w:tc>
        <w:tc>
          <w:tcPr>
            <w:tcW w:w="3400" w:type="dxa"/>
            <w:vAlign w:val="bottom"/>
            <w:tcBorders>
              <w:bottom w:val="single" w:sz="8" w:color="506AA7"/>
              <w:right w:val="single" w:sz="8" w:color="052B82"/>
            </w:tcBorders>
          </w:tcPr>
          <w:p>
            <w:pPr>
              <w:ind w:left="380"/>
              <w:spacing w:after="0"/>
              <w:rPr>
                <w:sz w:val="20"/>
                <w:szCs w:val="20"/>
                <w:color w:val="auto"/>
              </w:rPr>
            </w:pPr>
            <w:r>
              <w:rPr>
                <w:rFonts w:ascii="Arial" w:cs="Arial" w:eastAsia="Arial" w:hAnsi="Arial"/>
                <w:sz w:val="16"/>
                <w:szCs w:val="16"/>
                <w:color w:val="auto"/>
              </w:rPr>
              <w:t>$27.9 billion</w:t>
            </w:r>
          </w:p>
        </w:tc>
        <w:tc>
          <w:tcPr>
            <w:tcW w:w="3400" w:type="dxa"/>
            <w:vAlign w:val="bottom"/>
            <w:tcBorders>
              <w:bottom w:val="single" w:sz="8" w:color="506AA7"/>
              <w:right w:val="single" w:sz="8" w:color="052B82"/>
            </w:tcBorders>
          </w:tcPr>
          <w:p>
            <w:pPr>
              <w:ind w:left="380"/>
              <w:spacing w:after="0"/>
              <w:rPr>
                <w:sz w:val="20"/>
                <w:szCs w:val="20"/>
                <w:color w:val="auto"/>
              </w:rPr>
            </w:pPr>
            <w:r>
              <w:rPr>
                <w:rFonts w:ascii="Arial" w:cs="Arial" w:eastAsia="Arial" w:hAnsi="Arial"/>
                <w:sz w:val="16"/>
                <w:szCs w:val="16"/>
                <w:color w:val="auto"/>
              </w:rPr>
              <w:t>$5.1 billion</w:t>
            </w:r>
          </w:p>
        </w:tc>
      </w:tr>
      <w:tr>
        <w:trPr>
          <w:trHeight w:val="274"/>
        </w:trPr>
        <w:tc>
          <w:tcPr>
            <w:tcW w:w="3220" w:type="dxa"/>
            <w:vAlign w:val="bottom"/>
            <w:tcBorders>
              <w:left w:val="single" w:sz="8" w:color="052B82"/>
              <w:bottom w:val="single" w:sz="8" w:color="506AA7"/>
              <w:right w:val="single" w:sz="8" w:color="052B82"/>
            </w:tcBorders>
          </w:tcPr>
          <w:p>
            <w:pPr>
              <w:ind w:left="140"/>
              <w:spacing w:after="0"/>
              <w:rPr>
                <w:sz w:val="20"/>
                <w:szCs w:val="20"/>
                <w:color w:val="auto"/>
              </w:rPr>
            </w:pPr>
            <w:r>
              <w:rPr>
                <w:rFonts w:ascii="Arial" w:cs="Arial" w:eastAsia="Arial" w:hAnsi="Arial"/>
                <w:sz w:val="16"/>
                <w:szCs w:val="16"/>
                <w:color w:val="auto"/>
              </w:rPr>
              <w:t>2018 Peer Group Median</w:t>
            </w:r>
          </w:p>
        </w:tc>
        <w:tc>
          <w:tcPr>
            <w:tcW w:w="3400" w:type="dxa"/>
            <w:vAlign w:val="bottom"/>
            <w:tcBorders>
              <w:bottom w:val="single" w:sz="8" w:color="506AA7"/>
              <w:right w:val="single" w:sz="8" w:color="052B82"/>
            </w:tcBorders>
          </w:tcPr>
          <w:p>
            <w:pPr>
              <w:ind w:left="380"/>
              <w:spacing w:after="0"/>
              <w:rPr>
                <w:sz w:val="20"/>
                <w:szCs w:val="20"/>
                <w:color w:val="auto"/>
              </w:rPr>
            </w:pPr>
            <w:r>
              <w:rPr>
                <w:rFonts w:ascii="Arial" w:cs="Arial" w:eastAsia="Arial" w:hAnsi="Arial"/>
                <w:sz w:val="16"/>
                <w:szCs w:val="16"/>
                <w:color w:val="auto"/>
              </w:rPr>
              <w:t>$16.3 billion</w:t>
            </w:r>
          </w:p>
        </w:tc>
        <w:tc>
          <w:tcPr>
            <w:tcW w:w="3400" w:type="dxa"/>
            <w:vAlign w:val="bottom"/>
            <w:tcBorders>
              <w:bottom w:val="single" w:sz="8" w:color="506AA7"/>
              <w:right w:val="single" w:sz="8" w:color="052B82"/>
            </w:tcBorders>
          </w:tcPr>
          <w:p>
            <w:pPr>
              <w:ind w:left="380"/>
              <w:spacing w:after="0"/>
              <w:rPr>
                <w:sz w:val="20"/>
                <w:szCs w:val="20"/>
                <w:color w:val="auto"/>
              </w:rPr>
            </w:pPr>
            <w:r>
              <w:rPr>
                <w:rFonts w:ascii="Arial" w:cs="Arial" w:eastAsia="Arial" w:hAnsi="Arial"/>
                <w:sz w:val="16"/>
                <w:szCs w:val="16"/>
                <w:color w:val="auto"/>
              </w:rPr>
              <w:t>$5.0 billion</w:t>
            </w:r>
          </w:p>
        </w:tc>
      </w:tr>
    </w:tbl>
    <w:p>
      <w:pPr>
        <w:spacing w:after="0" w:line="191" w:lineRule="exact"/>
        <w:rPr>
          <w:sz w:val="20"/>
          <w:szCs w:val="20"/>
          <w:color w:val="auto"/>
        </w:rPr>
      </w:pPr>
    </w:p>
    <w:p>
      <w:pPr>
        <w:ind w:left="260" w:right="60" w:firstLine="435"/>
        <w:spacing w:after="0" w:line="250" w:lineRule="auto"/>
        <w:rPr>
          <w:sz w:val="20"/>
          <w:szCs w:val="20"/>
          <w:color w:val="auto"/>
        </w:rPr>
      </w:pPr>
      <w:r>
        <w:rPr>
          <w:rFonts w:ascii="Arial" w:cs="Arial" w:eastAsia="Arial" w:hAnsi="Arial"/>
          <w:sz w:val="18"/>
          <w:szCs w:val="18"/>
          <w:color w:val="auto"/>
        </w:rPr>
        <w:t>For officers in positions for which the fiscal 2018 peer group companies do not publicly disclose compensation data, the Compensation Committee reviewed data collected from Radford’s Global Technology Survey. This survey depicts executive compensation levels across a wide spectrum of technology sector companies comparable in annual revenue size.</w:t>
      </w:r>
    </w:p>
    <w:p>
      <w:pPr>
        <w:spacing w:after="0" w:line="129" w:lineRule="exact"/>
        <w:rPr>
          <w:sz w:val="20"/>
          <w:szCs w:val="20"/>
          <w:color w:val="auto"/>
        </w:rPr>
      </w:pPr>
    </w:p>
    <w:p>
      <w:pPr>
        <w:ind w:left="660" w:hanging="393"/>
        <w:spacing w:after="0"/>
        <w:tabs>
          <w:tab w:leader="none" w:pos="660" w:val="left"/>
        </w:tabs>
        <w:numPr>
          <w:ilvl w:val="0"/>
          <w:numId w:val="7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80"/>
          </w:cols>
          <w:pgMar w:left="240" w:top="453" w:right="4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fiscal 2018, compensation for our executive officers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86360</wp:posOffset>
            </wp:positionV>
            <wp:extent cx="3390900" cy="35521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0900" cy="355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0" w:right="280" w:firstLine="435"/>
        <w:spacing w:after="0" w:line="263" w:lineRule="auto"/>
        <w:rPr>
          <w:sz w:val="20"/>
          <w:szCs w:val="20"/>
          <w:color w:val="auto"/>
        </w:rPr>
      </w:pPr>
      <w:r>
        <w:rPr>
          <w:rFonts w:ascii="Arial" w:cs="Arial" w:eastAsia="Arial" w:hAnsi="Arial"/>
          <w:sz w:val="17"/>
          <w:szCs w:val="17"/>
          <w:color w:val="auto"/>
        </w:rPr>
        <w:t>In connection with the acquisition of Linear Technology, we made commitments covering the compensation and benefits of legacy Linear Technology employees, including Mr. Pietkiewicz, through May 5, 2018, the end of the second quarter of our fiscal 2018. For a summary of Mr. Pietkiewicz’ compensation for the first half of fiscal 2018, please refer to “Compensation for Other Named Executive Officers—Compensation for Steve Pietkiewicz, Senior Vice President, Power Products” below and in the tabular disclosures.</w:t>
      </w:r>
    </w:p>
    <w:p>
      <w:pPr>
        <w:spacing w:after="0" w:line="2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w:t>
      </w:r>
    </w:p>
    <w:p>
      <w:pPr>
        <w:spacing w:after="0" w:line="100" w:lineRule="exact"/>
        <w:rPr>
          <w:sz w:val="20"/>
          <w:szCs w:val="20"/>
          <w:color w:val="auto"/>
        </w:rPr>
      </w:pPr>
    </w:p>
    <w:p>
      <w:pPr>
        <w:ind w:left="260" w:right="200" w:firstLine="435"/>
        <w:spacing w:after="0" w:line="250" w:lineRule="auto"/>
        <w:rPr>
          <w:sz w:val="20"/>
          <w:szCs w:val="20"/>
          <w:color w:val="auto"/>
        </w:rPr>
      </w:pPr>
      <w:r>
        <w:rPr>
          <w:rFonts w:ascii="Arial" w:cs="Arial" w:eastAsia="Arial" w:hAnsi="Arial"/>
          <w:sz w:val="18"/>
          <w:szCs w:val="18"/>
          <w:color w:val="auto"/>
        </w:rPr>
        <w:t>We use salaries for similar positions within our peer group as an important factor in setting a base salary that can attract and retain talent. When setting the fiscal 2018 base salary for each individual NEO, the Compensation Committee also considered other factors, including the scope of the role and the performance and experience of the individual.</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Fiscal 2018 Executive Performance Incentive Plan</w:t>
      </w:r>
    </w:p>
    <w:p>
      <w:pPr>
        <w:spacing w:after="0" w:line="100" w:lineRule="exact"/>
        <w:rPr>
          <w:sz w:val="20"/>
          <w:szCs w:val="20"/>
          <w:color w:val="auto"/>
        </w:rPr>
      </w:pPr>
    </w:p>
    <w:p>
      <w:pPr>
        <w:ind w:left="260" w:right="380" w:firstLine="435"/>
        <w:spacing w:after="0" w:line="250" w:lineRule="auto"/>
        <w:rPr>
          <w:sz w:val="20"/>
          <w:szCs w:val="20"/>
          <w:color w:val="auto"/>
        </w:rPr>
      </w:pPr>
      <w:r>
        <w:rPr>
          <w:rFonts w:ascii="Arial" w:cs="Arial" w:eastAsia="Arial" w:hAnsi="Arial"/>
          <w:sz w:val="18"/>
          <w:szCs w:val="18"/>
          <w:color w:val="auto"/>
        </w:rPr>
        <w:t>In November 2017 and January 2018, the Compensation Committee approved the terms of our executive performance incentive plan for the first and second quarters of fiscal 2018 and for the third and fourth quarters of fiscal 2018, respectively. The plans are designed to be variable, depending on ADI’s operating results.</w:t>
      </w:r>
    </w:p>
    <w:p>
      <w:pPr>
        <w:spacing w:after="0" w:line="1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43</w:t>
      </w:r>
    </w:p>
    <w:p>
      <w:pPr>
        <w:sectPr>
          <w:pgSz w:w="11900" w:h="16838" w:orient="portrait"/>
          <w:cols w:equalWidth="0" w:num="1">
            <w:col w:w="11160"/>
          </w:cols>
          <w:pgMar w:left="240" w:top="453"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880" w:firstLine="435"/>
        <w:spacing w:after="0" w:line="250" w:lineRule="auto"/>
        <w:rPr>
          <w:sz w:val="20"/>
          <w:szCs w:val="20"/>
          <w:color w:val="auto"/>
        </w:rPr>
      </w:pPr>
      <w:r>
        <w:rPr>
          <w:rFonts w:ascii="Arial" w:cs="Arial" w:eastAsia="Arial" w:hAnsi="Arial"/>
          <w:sz w:val="18"/>
          <w:szCs w:val="18"/>
          <w:color w:val="auto"/>
        </w:rPr>
        <w:t>All executive officers, including our NEOs (other than Mr. Pietkiewicz), participated in our first half of fiscal 2018 executive performance incentive plan. All executive officers, including our NEOs, participated in our second half of fiscal 2018 executive performance incentive plan. We calculated and paid bonuses under the fiscal 2018 plans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137795</wp:posOffset>
            </wp:positionV>
            <wp:extent cx="5154295" cy="1136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54295" cy="113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right="40" w:firstLine="435"/>
        <w:spacing w:after="0" w:line="259" w:lineRule="auto"/>
        <w:rPr>
          <w:sz w:val="20"/>
          <w:szCs w:val="20"/>
          <w:color w:val="auto"/>
        </w:rPr>
      </w:pPr>
      <w:r>
        <w:rPr>
          <w:rFonts w:ascii="Arial" w:cs="Arial" w:eastAsia="Arial" w:hAnsi="Arial"/>
          <w:sz w:val="17"/>
          <w:szCs w:val="17"/>
          <w:u w:val="single" w:color="auto"/>
          <w:color w:val="auto"/>
        </w:rPr>
        <w:t>Individual Target Bonus Percentage</w:t>
      </w:r>
      <w:r>
        <w:rPr>
          <w:rFonts w:ascii="Arial" w:cs="Arial" w:eastAsia="Arial" w:hAnsi="Arial"/>
          <w:sz w:val="17"/>
          <w:szCs w:val="17"/>
          <w:color w:val="auto"/>
        </w:rPr>
        <w:t>. For fiscal 2018, the Compensation Committee set target percentages of 150% of base salary for our Chief Executive Officer and between 90%-100% of base salary for our other NEOs. The Compensation Committee selected these target bonus percentages to ensure that a substantial portion of each NEO’s cash compensation is performance-based and linked directly to our business performance, and to ensure that total compensation is competitive with those in similar positions within our peer group. Setting our Chief Executive Officer’s target at 150% also ties the majority of his cash compensation directly to Company performance.</w:t>
      </w:r>
    </w:p>
    <w:p>
      <w:pPr>
        <w:spacing w:after="0" w:line="160" w:lineRule="exact"/>
        <w:rPr>
          <w:sz w:val="20"/>
          <w:szCs w:val="20"/>
          <w:color w:val="auto"/>
        </w:rPr>
      </w:pPr>
    </w:p>
    <w:p>
      <w:pPr>
        <w:ind w:left="260" w:firstLine="435"/>
        <w:spacing w:after="0" w:line="239" w:lineRule="auto"/>
        <w:rPr>
          <w:sz w:val="20"/>
          <w:szCs w:val="20"/>
          <w:color w:val="auto"/>
        </w:rPr>
      </w:pPr>
      <w:r>
        <w:rPr>
          <w:rFonts w:ascii="Arial" w:cs="Arial" w:eastAsia="Arial" w:hAnsi="Arial"/>
          <w:sz w:val="18"/>
          <w:szCs w:val="18"/>
          <w:u w:val="single" w:color="auto"/>
          <w:color w:val="auto"/>
        </w:rPr>
        <w:t>Bonus Payout Factor</w:t>
      </w:r>
      <w:r>
        <w:rPr>
          <w:rFonts w:ascii="Arial" w:cs="Arial" w:eastAsia="Arial" w:hAnsi="Arial"/>
          <w:sz w:val="18"/>
          <w:szCs w:val="18"/>
          <w:color w:val="auto"/>
        </w:rPr>
        <w:t>. For fiscal 2018, we based the Bonus Payout Factor for the applicable quarterly bonus period on our OPBT margin and year-over-year revenue growth compared to the same quarter in the prior year. While our executive performance incentive plan contains quarterly performance targets, the Compensation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178" w:lineRule="exact"/>
        <w:rPr>
          <w:sz w:val="20"/>
          <w:szCs w:val="20"/>
          <w:color w:val="auto"/>
        </w:rPr>
      </w:pPr>
    </w:p>
    <w:p>
      <w:pPr>
        <w:ind w:left="260" w:firstLine="435"/>
        <w:spacing w:after="0" w:line="235" w:lineRule="auto"/>
        <w:rPr>
          <w:sz w:val="20"/>
          <w:szCs w:val="20"/>
          <w:color w:val="auto"/>
        </w:rPr>
      </w:pPr>
      <w:r>
        <w:rPr>
          <w:rFonts w:ascii="Arial" w:cs="Arial" w:eastAsia="Arial" w:hAnsi="Arial"/>
          <w:sz w:val="18"/>
          <w:szCs w:val="18"/>
          <w:color w:val="auto"/>
        </w:rPr>
        <w:t>The Compensation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2018, OPBT margin was adjusted to exclude acquisition-related expenses, acquisition-related transaction costs, restructuring-related expenses and accelerated stock-based compensation expense, consistent with the non-GAAP adjustments included in our fiscal 2018 quarterly earnings releases. The Compensation Committee also normalized the financial results of the first quarter of fiscal 2018, which was a 14-week quarter, to a 13-week quarter. The financial results for Linear Technology were also excluded when determining the Bonus Payout Factors for the first and second quarters of fiscal 2018 while Mr. Pietkiewicz and the other legacy Linear Technology employees remained on the legacy Linear Technology incentive compensation plans. We aligned the compensation of our executives and legacy ADI and Linear Technology employees commencing the second half of fiscal 2018, and as such, the financial results of Linear Technology were included in the Bonus Payout Factor calculations for the second half of fiscal 2018. ADI executive and employee bonuses for the second half of fiscal 2018 were calculated using the same plan targets.</w:t>
      </w:r>
    </w:p>
    <w:p>
      <w:pPr>
        <w:spacing w:after="0" w:line="180" w:lineRule="exact"/>
        <w:rPr>
          <w:sz w:val="20"/>
          <w:szCs w:val="20"/>
          <w:color w:val="auto"/>
        </w:rPr>
      </w:pPr>
    </w:p>
    <w:p>
      <w:pPr>
        <w:ind w:left="260" w:right="100" w:firstLine="435"/>
        <w:spacing w:after="0" w:line="238" w:lineRule="auto"/>
        <w:rPr>
          <w:sz w:val="20"/>
          <w:szCs w:val="20"/>
          <w:color w:val="auto"/>
        </w:rPr>
      </w:pPr>
      <w:r>
        <w:rPr>
          <w:rFonts w:ascii="Arial" w:cs="Arial" w:eastAsia="Arial" w:hAnsi="Arial"/>
          <w:sz w:val="18"/>
          <w:szCs w:val="18"/>
          <w:color w:val="auto"/>
        </w:rPr>
        <w:t>The Compensation Committee reviews and approves our performance targets, and historically these targets have not been re-set during the performance period,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typically set annually, we measure performance against those targets on a quarterly basis, applying the corresponding Bonus Payout Factor to base salary for that quarter, and pay the bonus amounts on a semi-annual basis following the end of the second and fourth quarters.</w:t>
      </w:r>
    </w:p>
    <w:p>
      <w:pPr>
        <w:spacing w:after="0" w:line="140" w:lineRule="exact"/>
        <w:rPr>
          <w:sz w:val="20"/>
          <w:szCs w:val="20"/>
          <w:color w:val="auto"/>
        </w:rPr>
      </w:pPr>
    </w:p>
    <w:p>
      <w:pPr>
        <w:ind w:left="660" w:hanging="393"/>
        <w:spacing w:after="0"/>
        <w:tabs>
          <w:tab w:leader="none" w:pos="660" w:val="left"/>
        </w:tabs>
        <w:numPr>
          <w:ilvl w:val="0"/>
          <w:numId w:val="77"/>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20"/>
          </w:cols>
          <w:pgMar w:left="240" w:top="453" w:right="5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0" w:firstLine="435"/>
        <w:spacing w:after="0" w:line="236" w:lineRule="auto"/>
        <w:rPr>
          <w:sz w:val="20"/>
          <w:szCs w:val="20"/>
          <w:color w:val="auto"/>
        </w:rPr>
      </w:pPr>
      <w:r>
        <w:rPr>
          <w:rFonts w:ascii="Arial" w:cs="Arial" w:eastAsia="Arial" w:hAnsi="Arial"/>
          <w:sz w:val="18"/>
          <w:szCs w:val="18"/>
          <w:color w:val="auto"/>
        </w:rPr>
        <w:t>In setting performance targets for our executive performance incentive plans, multiple factors are considered including our actual past business results, estimates of multi-year performance from our long-term strategic planning, and the performance of market competitors. Based on our evaluation of these factors, we develop a range of performance scenarios and then set goals at threshold, target and maximum performance levels. Based on analyses of our peer group performance over the past three years, as presented by our Compensation Committee’s independent consultant, Pearl Meyer, our OPBT margin targets (30% for the first and second quarters of fiscal 2018 and 39% for the third and fourth quarters of fiscal 2018) were well above our peer group median performance, while our annual growth rate targets (8% for the first and second quarters of fiscal 2018 and 5% for the third and fourth quarters of fiscal 2018) were well aligned with our peer group median performance. We increased the OPBT margin targets and decreased the annual growth rate targets for the third and fourth quarters of fiscal 2018 as compared to the first and second quarters of fiscal 2018 to align both with the financial profile of the combined company following the acquisition of Linear Technology and our Company’s post-acquisition long-term financial model, which we announced at our Investor Day in June 2017.</w:t>
      </w:r>
    </w:p>
    <w:p>
      <w:pPr>
        <w:spacing w:after="0" w:line="178" w:lineRule="exact"/>
        <w:rPr>
          <w:sz w:val="20"/>
          <w:szCs w:val="20"/>
          <w:color w:val="auto"/>
        </w:rPr>
      </w:pPr>
    </w:p>
    <w:p>
      <w:pPr>
        <w:ind w:left="260" w:right="120" w:firstLine="435"/>
        <w:spacing w:after="0" w:line="244" w:lineRule="auto"/>
        <w:rPr>
          <w:sz w:val="20"/>
          <w:szCs w:val="20"/>
          <w:color w:val="auto"/>
        </w:rPr>
      </w:pPr>
      <w:r>
        <w:rPr>
          <w:rFonts w:ascii="Arial" w:cs="Arial" w:eastAsia="Arial" w:hAnsi="Arial"/>
          <w:sz w:val="18"/>
          <w:szCs w:val="18"/>
          <w:color w:val="auto"/>
        </w:rPr>
        <w:t>Fiscal 2018 was a year in which we had excellent financial results and exceeded our profitability and year-over-year growth targets. For a summary of our fiscal 2018 financial results, see page 48 of this proxy statement. For fiscal 2018, the calculated OPBT Margin, Year-Over-Year Revenue Growth and Bonus Payout Factor under our executive performance incentive program for each quarter were as follows:</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shd w:val="clear" w:color="auto" w:fill="052B82"/>
          </w:tcPr>
          <w:p>
            <w:pPr>
              <w:spacing w:after="0"/>
              <w:rPr>
                <w:sz w:val="14"/>
                <w:szCs w:val="14"/>
                <w:color w:val="auto"/>
              </w:rPr>
            </w:pPr>
          </w:p>
        </w:tc>
        <w:tc>
          <w:tcPr>
            <w:tcW w:w="4180" w:type="dxa"/>
            <w:vAlign w:val="bottom"/>
            <w:gridSpan w:val="2"/>
            <w:shd w:val="clear" w:color="auto" w:fill="052B82"/>
          </w:tcPr>
          <w:p>
            <w:pPr>
              <w:ind w:left="1140"/>
              <w:spacing w:after="0"/>
              <w:rPr>
                <w:sz w:val="20"/>
                <w:szCs w:val="20"/>
                <w:color w:val="auto"/>
              </w:rPr>
            </w:pPr>
            <w:r>
              <w:rPr>
                <w:rFonts w:ascii="Arial" w:cs="Arial" w:eastAsia="Arial" w:hAnsi="Arial"/>
                <w:sz w:val="14"/>
                <w:szCs w:val="14"/>
                <w:b w:val="1"/>
                <w:bCs w:val="1"/>
                <w:color w:val="FFFFFF"/>
              </w:rPr>
              <w:t>OPBT Margin (50% weight)</w:t>
            </w:r>
          </w:p>
        </w:tc>
        <w:tc>
          <w:tcPr>
            <w:tcW w:w="3720" w:type="dxa"/>
            <w:vAlign w:val="bottom"/>
            <w:gridSpan w:val="2"/>
            <w:shd w:val="clear" w:color="auto" w:fill="052B82"/>
          </w:tcPr>
          <w:p>
            <w:pPr>
              <w:ind w:left="920"/>
              <w:spacing w:after="0"/>
              <w:rPr>
                <w:sz w:val="20"/>
                <w:szCs w:val="20"/>
                <w:color w:val="auto"/>
              </w:rPr>
            </w:pPr>
            <w:r>
              <w:rPr>
                <w:rFonts w:ascii="Arial" w:cs="Arial" w:eastAsia="Arial" w:hAnsi="Arial"/>
                <w:sz w:val="14"/>
                <w:szCs w:val="14"/>
                <w:b w:val="1"/>
                <w:bCs w:val="1"/>
                <w:color w:val="FFFFFF"/>
              </w:rPr>
              <w:t>Revenue Growth (50% weight)</w:t>
            </w:r>
          </w:p>
        </w:tc>
        <w:tc>
          <w:tcPr>
            <w:tcW w:w="1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Quarterly Bonus</w:t>
            </w:r>
          </w:p>
        </w:tc>
      </w:tr>
      <w:tr>
        <w:trPr>
          <w:trHeight w:val="147"/>
        </w:trPr>
        <w:tc>
          <w:tcPr>
            <w:tcW w:w="20" w:type="dxa"/>
            <w:vAlign w:val="bottom"/>
          </w:tcPr>
          <w:p>
            <w:pPr>
              <w:spacing w:after="0"/>
              <w:rPr>
                <w:sz w:val="12"/>
                <w:szCs w:val="12"/>
                <w:color w:val="auto"/>
              </w:rPr>
            </w:pPr>
          </w:p>
        </w:tc>
        <w:tc>
          <w:tcPr>
            <w:tcW w:w="300" w:type="dxa"/>
            <w:vAlign w:val="bottom"/>
            <w:shd w:val="clear" w:color="auto" w:fill="052B82"/>
          </w:tcPr>
          <w:p>
            <w:pPr>
              <w:spacing w:after="0"/>
              <w:rPr>
                <w:sz w:val="12"/>
                <w:szCs w:val="12"/>
                <w:color w:val="auto"/>
              </w:rPr>
            </w:pPr>
          </w:p>
        </w:tc>
        <w:tc>
          <w:tcPr>
            <w:tcW w:w="2100" w:type="dxa"/>
            <w:vAlign w:val="bottom"/>
            <w:shd w:val="clear" w:color="auto" w:fill="052B82"/>
          </w:tcPr>
          <w:p>
            <w:pPr>
              <w:jc w:val="center"/>
              <w:ind w:left="100"/>
              <w:spacing w:after="0" w:line="147" w:lineRule="exact"/>
              <w:rPr>
                <w:sz w:val="20"/>
                <w:szCs w:val="20"/>
                <w:color w:val="auto"/>
              </w:rPr>
            </w:pPr>
            <w:r>
              <w:rPr>
                <w:rFonts w:ascii="Arial" w:cs="Arial" w:eastAsia="Arial" w:hAnsi="Arial"/>
                <w:sz w:val="14"/>
                <w:szCs w:val="14"/>
                <w:color w:val="FFFFFF"/>
              </w:rPr>
              <w:t>OPBT</w:t>
            </w:r>
          </w:p>
        </w:tc>
        <w:tc>
          <w:tcPr>
            <w:tcW w:w="2080" w:type="dxa"/>
            <w:vAlign w:val="bottom"/>
            <w:shd w:val="clear" w:color="auto" w:fill="052B82"/>
          </w:tcPr>
          <w:p>
            <w:pPr>
              <w:jc w:val="center"/>
              <w:spacing w:after="0" w:line="147" w:lineRule="exact"/>
              <w:rPr>
                <w:sz w:val="20"/>
                <w:szCs w:val="20"/>
                <w:color w:val="auto"/>
              </w:rPr>
            </w:pPr>
            <w:r>
              <w:rPr>
                <w:rFonts w:ascii="Arial" w:cs="Arial" w:eastAsia="Arial" w:hAnsi="Arial"/>
                <w:sz w:val="14"/>
                <w:szCs w:val="14"/>
                <w:color w:val="FFFFFF"/>
              </w:rPr>
              <w:t>Bonus Payout</w:t>
            </w:r>
          </w:p>
        </w:tc>
        <w:tc>
          <w:tcPr>
            <w:tcW w:w="1960" w:type="dxa"/>
            <w:vAlign w:val="bottom"/>
            <w:shd w:val="clear" w:color="auto" w:fill="052B82"/>
          </w:tcPr>
          <w:p>
            <w:pPr>
              <w:jc w:val="center"/>
              <w:ind w:left="60"/>
              <w:spacing w:after="0" w:line="147" w:lineRule="exact"/>
              <w:rPr>
                <w:sz w:val="20"/>
                <w:szCs w:val="20"/>
                <w:color w:val="auto"/>
              </w:rPr>
            </w:pPr>
            <w:r>
              <w:rPr>
                <w:rFonts w:ascii="Arial" w:cs="Arial" w:eastAsia="Arial" w:hAnsi="Arial"/>
                <w:sz w:val="14"/>
                <w:szCs w:val="14"/>
                <w:color w:val="FFFFFF"/>
              </w:rPr>
              <w:t>YOY Revenue</w:t>
            </w:r>
          </w:p>
        </w:tc>
        <w:tc>
          <w:tcPr>
            <w:tcW w:w="1760" w:type="dxa"/>
            <w:vAlign w:val="bottom"/>
            <w:shd w:val="clear" w:color="auto" w:fill="052B82"/>
          </w:tcPr>
          <w:p>
            <w:pPr>
              <w:jc w:val="center"/>
              <w:spacing w:after="0" w:line="147" w:lineRule="exact"/>
              <w:rPr>
                <w:sz w:val="20"/>
                <w:szCs w:val="20"/>
                <w:color w:val="auto"/>
              </w:rPr>
            </w:pPr>
            <w:r>
              <w:rPr>
                <w:rFonts w:ascii="Arial" w:cs="Arial" w:eastAsia="Arial" w:hAnsi="Arial"/>
                <w:sz w:val="14"/>
                <w:szCs w:val="14"/>
                <w:color w:val="FFFFFF"/>
              </w:rPr>
              <w:t>Bonus Payout</w:t>
            </w:r>
          </w:p>
        </w:tc>
        <w:tc>
          <w:tcPr>
            <w:tcW w:w="1800" w:type="dxa"/>
            <w:vAlign w:val="bottom"/>
            <w:shd w:val="clear" w:color="auto" w:fill="052B82"/>
          </w:tcPr>
          <w:p>
            <w:pPr>
              <w:jc w:val="center"/>
              <w:spacing w:after="0" w:line="147" w:lineRule="exact"/>
              <w:rPr>
                <w:sz w:val="20"/>
                <w:szCs w:val="20"/>
                <w:color w:val="auto"/>
              </w:rPr>
            </w:pPr>
            <w:r>
              <w:rPr>
                <w:rFonts w:ascii="Arial" w:cs="Arial" w:eastAsia="Arial" w:hAnsi="Arial"/>
                <w:sz w:val="14"/>
                <w:szCs w:val="14"/>
                <w:b w:val="1"/>
                <w:bCs w:val="1"/>
                <w:color w:val="FFFFFF"/>
              </w:rPr>
              <w:t>Payout Factor</w:t>
            </w:r>
          </w:p>
        </w:tc>
      </w:tr>
      <w:tr>
        <w:trPr>
          <w:trHeight w:val="174"/>
        </w:trPr>
        <w:tc>
          <w:tcPr>
            <w:tcW w:w="20" w:type="dxa"/>
            <w:vAlign w:val="bottom"/>
          </w:tcPr>
          <w:p>
            <w:pPr>
              <w:spacing w:after="0"/>
              <w:rPr>
                <w:sz w:val="15"/>
                <w:szCs w:val="15"/>
                <w:color w:val="auto"/>
              </w:rPr>
            </w:pPr>
          </w:p>
        </w:tc>
        <w:tc>
          <w:tcPr>
            <w:tcW w:w="300" w:type="dxa"/>
            <w:vAlign w:val="bottom"/>
            <w:shd w:val="clear" w:color="auto" w:fill="052B82"/>
          </w:tcPr>
          <w:p>
            <w:pPr>
              <w:spacing w:after="0"/>
              <w:rPr>
                <w:sz w:val="15"/>
                <w:szCs w:val="15"/>
                <w:color w:val="auto"/>
              </w:rPr>
            </w:pPr>
          </w:p>
        </w:tc>
        <w:tc>
          <w:tcPr>
            <w:tcW w:w="2100" w:type="dxa"/>
            <w:vAlign w:val="bottom"/>
            <w:shd w:val="clear" w:color="auto" w:fill="052B82"/>
          </w:tcPr>
          <w:p>
            <w:pPr>
              <w:jc w:val="center"/>
              <w:ind w:left="100"/>
              <w:spacing w:after="0"/>
              <w:rPr>
                <w:sz w:val="20"/>
                <w:szCs w:val="20"/>
                <w:color w:val="auto"/>
              </w:rPr>
            </w:pPr>
            <w:r>
              <w:rPr>
                <w:rFonts w:ascii="Arial" w:cs="Arial" w:eastAsia="Arial" w:hAnsi="Arial"/>
                <w:sz w:val="14"/>
                <w:szCs w:val="14"/>
                <w:color w:val="FFFFFF"/>
              </w:rPr>
              <w:t>Margin</w:t>
            </w:r>
          </w:p>
        </w:tc>
        <w:tc>
          <w:tcPr>
            <w:tcW w:w="2080" w:type="dxa"/>
            <w:vAlign w:val="bottom"/>
            <w:shd w:val="clear" w:color="auto" w:fill="052B82"/>
          </w:tcPr>
          <w:p>
            <w:pPr>
              <w:jc w:val="center"/>
              <w:spacing w:after="0"/>
              <w:rPr>
                <w:sz w:val="20"/>
                <w:szCs w:val="20"/>
                <w:color w:val="auto"/>
              </w:rPr>
            </w:pPr>
            <w:r>
              <w:rPr>
                <w:rFonts w:ascii="Arial" w:cs="Arial" w:eastAsia="Arial" w:hAnsi="Arial"/>
                <w:sz w:val="14"/>
                <w:szCs w:val="14"/>
                <w:color w:val="FFFFFF"/>
              </w:rPr>
              <w:t>Factor</w:t>
            </w:r>
          </w:p>
        </w:tc>
        <w:tc>
          <w:tcPr>
            <w:tcW w:w="1960" w:type="dxa"/>
            <w:vAlign w:val="bottom"/>
            <w:shd w:val="clear" w:color="auto" w:fill="052B82"/>
          </w:tcPr>
          <w:p>
            <w:pPr>
              <w:jc w:val="center"/>
              <w:ind w:left="60"/>
              <w:spacing w:after="0"/>
              <w:rPr>
                <w:sz w:val="20"/>
                <w:szCs w:val="20"/>
                <w:color w:val="auto"/>
              </w:rPr>
            </w:pPr>
            <w:r>
              <w:rPr>
                <w:rFonts w:ascii="Arial" w:cs="Arial" w:eastAsia="Arial" w:hAnsi="Arial"/>
                <w:sz w:val="14"/>
                <w:szCs w:val="14"/>
                <w:color w:val="FFFFFF"/>
              </w:rPr>
              <w:t>Growth</w:t>
            </w:r>
          </w:p>
        </w:tc>
        <w:tc>
          <w:tcPr>
            <w:tcW w:w="1760" w:type="dxa"/>
            <w:vAlign w:val="bottom"/>
            <w:shd w:val="clear" w:color="auto" w:fill="052B82"/>
          </w:tcPr>
          <w:p>
            <w:pPr>
              <w:jc w:val="center"/>
              <w:spacing w:after="0"/>
              <w:rPr>
                <w:sz w:val="20"/>
                <w:szCs w:val="20"/>
                <w:color w:val="auto"/>
              </w:rPr>
            </w:pPr>
            <w:r>
              <w:rPr>
                <w:rFonts w:ascii="Arial" w:cs="Arial" w:eastAsia="Arial" w:hAnsi="Arial"/>
                <w:sz w:val="14"/>
                <w:szCs w:val="14"/>
                <w:color w:val="FFFFFF"/>
              </w:rPr>
              <w:t>Factor</w:t>
            </w:r>
          </w:p>
        </w:tc>
        <w:tc>
          <w:tcPr>
            <w:tcW w:w="1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(average)</w:t>
            </w:r>
          </w:p>
        </w:tc>
      </w:tr>
      <w:tr>
        <w:trPr>
          <w:trHeight w:val="187"/>
        </w:trPr>
        <w:tc>
          <w:tcPr>
            <w:tcW w:w="20" w:type="dxa"/>
            <w:vAlign w:val="bottom"/>
          </w:tcPr>
          <w:p>
            <w:pPr>
              <w:spacing w:after="0"/>
              <w:rPr>
                <w:sz w:val="16"/>
                <w:szCs w:val="16"/>
                <w:color w:val="auto"/>
              </w:rPr>
            </w:pPr>
          </w:p>
        </w:tc>
        <w:tc>
          <w:tcPr>
            <w:tcW w:w="300" w:type="dxa"/>
            <w:vAlign w:val="bottom"/>
            <w:shd w:val="clear" w:color="auto" w:fill="052B82"/>
          </w:tcPr>
          <w:p>
            <w:pPr>
              <w:spacing w:after="0"/>
              <w:rPr>
                <w:sz w:val="16"/>
                <w:szCs w:val="16"/>
                <w:color w:val="auto"/>
              </w:rPr>
            </w:pPr>
          </w:p>
        </w:tc>
        <w:tc>
          <w:tcPr>
            <w:tcW w:w="2100" w:type="dxa"/>
            <w:vAlign w:val="bottom"/>
            <w:shd w:val="clear" w:color="auto" w:fill="052B82"/>
          </w:tcPr>
          <w:p>
            <w:pPr>
              <w:jc w:val="center"/>
              <w:ind w:left="120"/>
              <w:spacing w:after="0"/>
              <w:rPr>
                <w:sz w:val="20"/>
                <w:szCs w:val="20"/>
                <w:color w:val="auto"/>
              </w:rPr>
            </w:pPr>
            <w:r>
              <w:rPr>
                <w:rFonts w:ascii="Arial" w:cs="Arial" w:eastAsia="Arial" w:hAnsi="Arial"/>
                <w:sz w:val="14"/>
                <w:szCs w:val="14"/>
                <w:color w:val="FFFFFF"/>
              </w:rPr>
              <w:t>(by quarter)</w:t>
            </w:r>
          </w:p>
        </w:tc>
        <w:tc>
          <w:tcPr>
            <w:tcW w:w="2080" w:type="dxa"/>
            <w:vAlign w:val="bottom"/>
            <w:shd w:val="clear" w:color="auto" w:fill="052B82"/>
          </w:tcPr>
          <w:p>
            <w:pPr>
              <w:jc w:val="center"/>
              <w:spacing w:after="0"/>
              <w:rPr>
                <w:sz w:val="20"/>
                <w:szCs w:val="20"/>
                <w:color w:val="auto"/>
              </w:rPr>
            </w:pPr>
            <w:r>
              <w:rPr>
                <w:rFonts w:ascii="Arial" w:cs="Arial" w:eastAsia="Arial" w:hAnsi="Arial"/>
                <w:sz w:val="14"/>
                <w:szCs w:val="14"/>
                <w:color w:val="FFFFFF"/>
                <w:w w:val="99"/>
              </w:rPr>
              <w:t>(by quarter)</w:t>
            </w:r>
          </w:p>
        </w:tc>
        <w:tc>
          <w:tcPr>
            <w:tcW w:w="1960" w:type="dxa"/>
            <w:vAlign w:val="bottom"/>
            <w:shd w:val="clear" w:color="auto" w:fill="052B82"/>
          </w:tcPr>
          <w:p>
            <w:pPr>
              <w:jc w:val="center"/>
              <w:ind w:left="60"/>
              <w:spacing w:after="0"/>
              <w:rPr>
                <w:sz w:val="20"/>
                <w:szCs w:val="20"/>
                <w:color w:val="auto"/>
              </w:rPr>
            </w:pPr>
            <w:r>
              <w:rPr>
                <w:rFonts w:ascii="Arial" w:cs="Arial" w:eastAsia="Arial" w:hAnsi="Arial"/>
                <w:sz w:val="14"/>
                <w:szCs w:val="14"/>
                <w:color w:val="FFFFFF"/>
              </w:rPr>
              <w:t>(by quarter)</w:t>
            </w:r>
          </w:p>
        </w:tc>
        <w:tc>
          <w:tcPr>
            <w:tcW w:w="1760" w:type="dxa"/>
            <w:vAlign w:val="bottom"/>
            <w:shd w:val="clear" w:color="auto" w:fill="052B82"/>
          </w:tcPr>
          <w:p>
            <w:pPr>
              <w:jc w:val="center"/>
              <w:spacing w:after="0"/>
              <w:rPr>
                <w:sz w:val="20"/>
                <w:szCs w:val="20"/>
                <w:color w:val="auto"/>
              </w:rPr>
            </w:pPr>
            <w:r>
              <w:rPr>
                <w:rFonts w:ascii="Arial" w:cs="Arial" w:eastAsia="Arial" w:hAnsi="Arial"/>
                <w:sz w:val="14"/>
                <w:szCs w:val="14"/>
                <w:color w:val="FFFFFF"/>
              </w:rPr>
              <w:t>(by quarter)</w:t>
            </w:r>
          </w:p>
        </w:tc>
        <w:tc>
          <w:tcPr>
            <w:tcW w:w="1800" w:type="dxa"/>
            <w:vAlign w:val="bottom"/>
            <w:shd w:val="clear" w:color="auto" w:fill="052B82"/>
          </w:tcPr>
          <w:p>
            <w:pPr>
              <w:spacing w:after="0"/>
              <w:rPr>
                <w:sz w:val="16"/>
                <w:szCs w:val="16"/>
                <w:color w:val="auto"/>
              </w:rPr>
            </w:pPr>
          </w:p>
        </w:tc>
      </w:tr>
      <w:tr>
        <w:trPr>
          <w:trHeight w:val="288"/>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91"/>
              </w:rPr>
              <w:t>Q1</w:t>
            </w:r>
          </w:p>
        </w:tc>
        <w:tc>
          <w:tcPr>
            <w:tcW w:w="2100" w:type="dxa"/>
            <w:vAlign w:val="bottom"/>
          </w:tcPr>
          <w:p>
            <w:pPr>
              <w:jc w:val="center"/>
              <w:ind w:left="120"/>
              <w:spacing w:after="0"/>
              <w:rPr>
                <w:sz w:val="20"/>
                <w:szCs w:val="20"/>
                <w:color w:val="auto"/>
              </w:rPr>
            </w:pPr>
            <w:r>
              <w:rPr>
                <w:rFonts w:ascii="Arial" w:cs="Arial" w:eastAsia="Arial" w:hAnsi="Arial"/>
                <w:sz w:val="18"/>
                <w:szCs w:val="18"/>
                <w:color w:val="auto"/>
                <w:w w:val="97"/>
              </w:rPr>
              <w:t>39.4%</w:t>
            </w:r>
          </w:p>
        </w:tc>
        <w:tc>
          <w:tcPr>
            <w:tcW w:w="2080" w:type="dxa"/>
            <w:vAlign w:val="bottom"/>
          </w:tcPr>
          <w:p>
            <w:pPr>
              <w:jc w:val="center"/>
              <w:spacing w:after="0"/>
              <w:rPr>
                <w:sz w:val="20"/>
                <w:szCs w:val="20"/>
                <w:color w:val="auto"/>
              </w:rPr>
            </w:pPr>
            <w:r>
              <w:rPr>
                <w:rFonts w:ascii="Arial" w:cs="Arial" w:eastAsia="Arial" w:hAnsi="Arial"/>
                <w:sz w:val="18"/>
                <w:szCs w:val="18"/>
                <w:color w:val="auto"/>
              </w:rPr>
              <w:t>2.88</w:t>
            </w:r>
          </w:p>
        </w:tc>
        <w:tc>
          <w:tcPr>
            <w:tcW w:w="1960" w:type="dxa"/>
            <w:vAlign w:val="bottom"/>
          </w:tcPr>
          <w:p>
            <w:pPr>
              <w:jc w:val="center"/>
              <w:ind w:left="60"/>
              <w:spacing w:after="0"/>
              <w:rPr>
                <w:sz w:val="20"/>
                <w:szCs w:val="20"/>
                <w:color w:val="auto"/>
              </w:rPr>
            </w:pPr>
            <w:r>
              <w:rPr>
                <w:rFonts w:ascii="Arial" w:cs="Arial" w:eastAsia="Arial" w:hAnsi="Arial"/>
                <w:sz w:val="18"/>
                <w:szCs w:val="18"/>
                <w:color w:val="auto"/>
              </w:rPr>
              <w:t>4.6%</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0.58</w:t>
            </w:r>
          </w:p>
        </w:tc>
        <w:tc>
          <w:tcPr>
            <w:tcW w:w="1800" w:type="dxa"/>
            <w:vAlign w:val="bottom"/>
          </w:tcPr>
          <w:p>
            <w:pPr>
              <w:jc w:val="center"/>
              <w:spacing w:after="0"/>
              <w:rPr>
                <w:sz w:val="20"/>
                <w:szCs w:val="20"/>
                <w:color w:val="auto"/>
              </w:rPr>
            </w:pPr>
            <w:r>
              <w:rPr>
                <w:rFonts w:ascii="Arial" w:cs="Arial" w:eastAsia="Arial" w:hAnsi="Arial"/>
                <w:sz w:val="18"/>
                <w:szCs w:val="18"/>
                <w:color w:val="auto"/>
              </w:rPr>
              <w:t>1.73</w:t>
            </w:r>
          </w:p>
        </w:tc>
      </w:tr>
      <w:tr>
        <w:trPr>
          <w:trHeight w:val="299"/>
        </w:trPr>
        <w:tc>
          <w:tcPr>
            <w:tcW w:w="20" w:type="dxa"/>
            <w:vAlign w:val="bottom"/>
          </w:tcPr>
          <w:p>
            <w:pPr>
              <w:spacing w:after="0"/>
              <w:rPr>
                <w:sz w:val="24"/>
                <w:szCs w:val="24"/>
                <w:color w:val="auto"/>
              </w:rPr>
            </w:pPr>
          </w:p>
        </w:tc>
        <w:tc>
          <w:tcPr>
            <w:tcW w:w="300" w:type="dxa"/>
            <w:vAlign w:val="bottom"/>
            <w:shd w:val="clear" w:color="auto" w:fill="E8EDF4"/>
          </w:tcPr>
          <w:p>
            <w:pPr>
              <w:jc w:val="right"/>
              <w:spacing w:after="0"/>
              <w:rPr>
                <w:sz w:val="20"/>
                <w:szCs w:val="20"/>
                <w:color w:val="auto"/>
              </w:rPr>
            </w:pPr>
            <w:r>
              <w:rPr>
                <w:rFonts w:ascii="Arial" w:cs="Arial" w:eastAsia="Arial" w:hAnsi="Arial"/>
                <w:sz w:val="18"/>
                <w:szCs w:val="18"/>
                <w:color w:val="auto"/>
                <w:w w:val="83"/>
              </w:rPr>
              <w:t>Q2</w:t>
            </w:r>
          </w:p>
        </w:tc>
        <w:tc>
          <w:tcPr>
            <w:tcW w:w="2100" w:type="dxa"/>
            <w:vAlign w:val="bottom"/>
            <w:shd w:val="clear" w:color="auto" w:fill="E8EDF4"/>
          </w:tcPr>
          <w:p>
            <w:pPr>
              <w:jc w:val="center"/>
              <w:ind w:left="120"/>
              <w:spacing w:after="0"/>
              <w:rPr>
                <w:sz w:val="20"/>
                <w:szCs w:val="20"/>
                <w:color w:val="auto"/>
              </w:rPr>
            </w:pPr>
            <w:r>
              <w:rPr>
                <w:rFonts w:ascii="Arial" w:cs="Arial" w:eastAsia="Arial" w:hAnsi="Arial"/>
                <w:sz w:val="18"/>
                <w:szCs w:val="18"/>
                <w:color w:val="auto"/>
                <w:w w:val="97"/>
              </w:rPr>
              <w:t>40.0%</w:t>
            </w:r>
          </w:p>
        </w:tc>
        <w:tc>
          <w:tcPr>
            <w:tcW w:w="208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3.00</w:t>
            </w:r>
          </w:p>
        </w:tc>
        <w:tc>
          <w:tcPr>
            <w:tcW w:w="1960" w:type="dxa"/>
            <w:vAlign w:val="bottom"/>
            <w:shd w:val="clear" w:color="auto" w:fill="E8EDF4"/>
          </w:tcPr>
          <w:p>
            <w:pPr>
              <w:jc w:val="center"/>
              <w:ind w:left="60"/>
              <w:spacing w:after="0"/>
              <w:rPr>
                <w:sz w:val="20"/>
                <w:szCs w:val="20"/>
                <w:color w:val="auto"/>
              </w:rPr>
            </w:pPr>
            <w:r>
              <w:rPr>
                <w:rFonts w:ascii="Arial" w:cs="Arial" w:eastAsia="Arial" w:hAnsi="Arial"/>
                <w:sz w:val="18"/>
                <w:szCs w:val="18"/>
                <w:color w:val="auto"/>
                <w:w w:val="97"/>
              </w:rPr>
              <w:t>10.7%</w:t>
            </w:r>
          </w:p>
        </w:tc>
        <w:tc>
          <w:tcPr>
            <w:tcW w:w="17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6"/>
              </w:rPr>
              <w:t>1.27</w:t>
            </w:r>
          </w:p>
        </w:tc>
        <w:tc>
          <w:tcPr>
            <w:tcW w:w="180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2.14</w:t>
            </w:r>
          </w:p>
        </w:tc>
      </w:tr>
      <w:tr>
        <w:trPr>
          <w:trHeight w:val="288"/>
        </w:trPr>
        <w:tc>
          <w:tcPr>
            <w:tcW w:w="320" w:type="dxa"/>
            <w:vAlign w:val="bottom"/>
            <w:gridSpan w:val="2"/>
          </w:tcPr>
          <w:p>
            <w:pPr>
              <w:jc w:val="right"/>
              <w:spacing w:after="0"/>
              <w:rPr>
                <w:sz w:val="20"/>
                <w:szCs w:val="20"/>
                <w:color w:val="auto"/>
              </w:rPr>
            </w:pPr>
            <w:r>
              <w:rPr>
                <w:rFonts w:ascii="Arial" w:cs="Arial" w:eastAsia="Arial" w:hAnsi="Arial"/>
                <w:sz w:val="18"/>
                <w:szCs w:val="18"/>
                <w:color w:val="auto"/>
                <w:w w:val="91"/>
              </w:rPr>
              <w:t>Q3</w:t>
            </w:r>
          </w:p>
        </w:tc>
        <w:tc>
          <w:tcPr>
            <w:tcW w:w="2100" w:type="dxa"/>
            <w:vAlign w:val="bottom"/>
          </w:tcPr>
          <w:p>
            <w:pPr>
              <w:jc w:val="center"/>
              <w:ind w:left="120"/>
              <w:spacing w:after="0"/>
              <w:rPr>
                <w:sz w:val="20"/>
                <w:szCs w:val="20"/>
                <w:color w:val="auto"/>
              </w:rPr>
            </w:pPr>
            <w:r>
              <w:rPr>
                <w:rFonts w:ascii="Arial" w:cs="Arial" w:eastAsia="Arial" w:hAnsi="Arial"/>
                <w:sz w:val="18"/>
                <w:szCs w:val="18"/>
                <w:color w:val="auto"/>
                <w:w w:val="97"/>
              </w:rPr>
              <w:t>42.7%</w:t>
            </w:r>
          </w:p>
        </w:tc>
        <w:tc>
          <w:tcPr>
            <w:tcW w:w="2080" w:type="dxa"/>
            <w:vAlign w:val="bottom"/>
          </w:tcPr>
          <w:p>
            <w:pPr>
              <w:jc w:val="center"/>
              <w:spacing w:after="0"/>
              <w:rPr>
                <w:sz w:val="20"/>
                <w:szCs w:val="20"/>
                <w:color w:val="auto"/>
              </w:rPr>
            </w:pPr>
            <w:r>
              <w:rPr>
                <w:rFonts w:ascii="Arial" w:cs="Arial" w:eastAsia="Arial" w:hAnsi="Arial"/>
                <w:sz w:val="18"/>
                <w:szCs w:val="18"/>
                <w:color w:val="auto"/>
              </w:rPr>
              <w:t>2.23</w:t>
            </w:r>
          </w:p>
        </w:tc>
        <w:tc>
          <w:tcPr>
            <w:tcW w:w="1960" w:type="dxa"/>
            <w:vAlign w:val="bottom"/>
          </w:tcPr>
          <w:p>
            <w:pPr>
              <w:jc w:val="center"/>
              <w:ind w:left="60"/>
              <w:spacing w:after="0"/>
              <w:rPr>
                <w:sz w:val="20"/>
                <w:szCs w:val="20"/>
                <w:color w:val="auto"/>
              </w:rPr>
            </w:pPr>
            <w:r>
              <w:rPr>
                <w:rFonts w:ascii="Arial" w:cs="Arial" w:eastAsia="Arial" w:hAnsi="Arial"/>
                <w:sz w:val="18"/>
                <w:szCs w:val="18"/>
                <w:color w:val="auto"/>
              </w:rPr>
              <w:t>7.8%</w:t>
            </w:r>
          </w:p>
        </w:tc>
        <w:tc>
          <w:tcPr>
            <w:tcW w:w="1760" w:type="dxa"/>
            <w:vAlign w:val="bottom"/>
          </w:tcPr>
          <w:p>
            <w:pPr>
              <w:jc w:val="center"/>
              <w:spacing w:after="0"/>
              <w:rPr>
                <w:sz w:val="20"/>
                <w:szCs w:val="20"/>
                <w:color w:val="auto"/>
              </w:rPr>
            </w:pPr>
            <w:r>
              <w:rPr>
                <w:rFonts w:ascii="Arial" w:cs="Arial" w:eastAsia="Arial" w:hAnsi="Arial"/>
                <w:sz w:val="18"/>
                <w:szCs w:val="18"/>
                <w:color w:val="auto"/>
                <w:w w:val="96"/>
              </w:rPr>
              <w:t>1.56</w:t>
            </w:r>
          </w:p>
        </w:tc>
        <w:tc>
          <w:tcPr>
            <w:tcW w:w="1800" w:type="dxa"/>
            <w:vAlign w:val="bottom"/>
          </w:tcPr>
          <w:p>
            <w:pPr>
              <w:jc w:val="center"/>
              <w:spacing w:after="0"/>
              <w:rPr>
                <w:sz w:val="20"/>
                <w:szCs w:val="20"/>
                <w:color w:val="auto"/>
              </w:rPr>
            </w:pPr>
            <w:r>
              <w:rPr>
                <w:rFonts w:ascii="Arial" w:cs="Arial" w:eastAsia="Arial" w:hAnsi="Arial"/>
                <w:sz w:val="18"/>
                <w:szCs w:val="18"/>
                <w:color w:val="auto"/>
              </w:rPr>
              <w:t>1.90</w:t>
            </w:r>
          </w:p>
        </w:tc>
      </w:tr>
      <w:tr>
        <w:trPr>
          <w:trHeight w:val="299"/>
        </w:trPr>
        <w:tc>
          <w:tcPr>
            <w:tcW w:w="20" w:type="dxa"/>
            <w:vAlign w:val="bottom"/>
          </w:tcPr>
          <w:p>
            <w:pPr>
              <w:spacing w:after="0"/>
              <w:rPr>
                <w:sz w:val="24"/>
                <w:szCs w:val="24"/>
                <w:color w:val="auto"/>
              </w:rPr>
            </w:pPr>
          </w:p>
        </w:tc>
        <w:tc>
          <w:tcPr>
            <w:tcW w:w="300" w:type="dxa"/>
            <w:vAlign w:val="bottom"/>
            <w:shd w:val="clear" w:color="auto" w:fill="E8EDF4"/>
          </w:tcPr>
          <w:p>
            <w:pPr>
              <w:jc w:val="right"/>
              <w:spacing w:after="0"/>
              <w:rPr>
                <w:sz w:val="20"/>
                <w:szCs w:val="20"/>
                <w:color w:val="auto"/>
              </w:rPr>
            </w:pPr>
            <w:r>
              <w:rPr>
                <w:rFonts w:ascii="Arial" w:cs="Arial" w:eastAsia="Arial" w:hAnsi="Arial"/>
                <w:sz w:val="18"/>
                <w:szCs w:val="18"/>
                <w:color w:val="auto"/>
                <w:w w:val="83"/>
              </w:rPr>
              <w:t>Q4</w:t>
            </w:r>
          </w:p>
        </w:tc>
        <w:tc>
          <w:tcPr>
            <w:tcW w:w="2100" w:type="dxa"/>
            <w:vAlign w:val="bottom"/>
            <w:shd w:val="clear" w:color="auto" w:fill="E8EDF4"/>
          </w:tcPr>
          <w:p>
            <w:pPr>
              <w:jc w:val="center"/>
              <w:ind w:left="120"/>
              <w:spacing w:after="0"/>
              <w:rPr>
                <w:sz w:val="20"/>
                <w:szCs w:val="20"/>
                <w:color w:val="auto"/>
              </w:rPr>
            </w:pPr>
            <w:r>
              <w:rPr>
                <w:rFonts w:ascii="Arial" w:cs="Arial" w:eastAsia="Arial" w:hAnsi="Arial"/>
                <w:sz w:val="18"/>
                <w:szCs w:val="18"/>
                <w:color w:val="auto"/>
                <w:w w:val="97"/>
              </w:rPr>
              <w:t>43.0%</w:t>
            </w:r>
          </w:p>
        </w:tc>
        <w:tc>
          <w:tcPr>
            <w:tcW w:w="208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2.33</w:t>
            </w:r>
          </w:p>
        </w:tc>
        <w:tc>
          <w:tcPr>
            <w:tcW w:w="1960" w:type="dxa"/>
            <w:vAlign w:val="bottom"/>
            <w:shd w:val="clear" w:color="auto" w:fill="E8EDF4"/>
          </w:tcPr>
          <w:p>
            <w:pPr>
              <w:jc w:val="center"/>
              <w:ind w:left="60"/>
              <w:spacing w:after="0"/>
              <w:rPr>
                <w:sz w:val="20"/>
                <w:szCs w:val="20"/>
                <w:color w:val="auto"/>
              </w:rPr>
            </w:pPr>
            <w:r>
              <w:rPr>
                <w:rFonts w:ascii="Arial" w:cs="Arial" w:eastAsia="Arial" w:hAnsi="Arial"/>
                <w:sz w:val="18"/>
                <w:szCs w:val="18"/>
                <w:color w:val="auto"/>
              </w:rPr>
              <w:t>3.6%</w:t>
            </w:r>
          </w:p>
        </w:tc>
        <w:tc>
          <w:tcPr>
            <w:tcW w:w="1760" w:type="dxa"/>
            <w:vAlign w:val="bottom"/>
            <w:shd w:val="clear" w:color="auto" w:fill="E8EDF4"/>
          </w:tcPr>
          <w:p>
            <w:pPr>
              <w:jc w:val="center"/>
              <w:spacing w:after="0"/>
              <w:rPr>
                <w:sz w:val="20"/>
                <w:szCs w:val="20"/>
                <w:color w:val="auto"/>
              </w:rPr>
            </w:pPr>
            <w:r>
              <w:rPr>
                <w:rFonts w:ascii="Arial" w:cs="Arial" w:eastAsia="Arial" w:hAnsi="Arial"/>
                <w:sz w:val="18"/>
                <w:szCs w:val="18"/>
                <w:color w:val="auto"/>
                <w:w w:val="96"/>
              </w:rPr>
              <w:t>0.72</w:t>
            </w:r>
          </w:p>
        </w:tc>
        <w:tc>
          <w:tcPr>
            <w:tcW w:w="1800" w:type="dxa"/>
            <w:vAlign w:val="bottom"/>
            <w:shd w:val="clear" w:color="auto" w:fill="E8EDF4"/>
          </w:tcPr>
          <w:p>
            <w:pPr>
              <w:jc w:val="center"/>
              <w:spacing w:after="0"/>
              <w:rPr>
                <w:sz w:val="20"/>
                <w:szCs w:val="20"/>
                <w:color w:val="auto"/>
              </w:rPr>
            </w:pPr>
            <w:r>
              <w:rPr>
                <w:rFonts w:ascii="Arial" w:cs="Arial" w:eastAsia="Arial" w:hAnsi="Arial"/>
                <w:sz w:val="18"/>
                <w:szCs w:val="18"/>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-1067435</wp:posOffset>
            </wp:positionV>
            <wp:extent cx="5010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10150" cy="8255"/>
                    </a:xfrm>
                    <a:prstGeom prst="rect">
                      <a:avLst/>
                    </a:prstGeom>
                    <a:noFill/>
                  </pic:spPr>
                </pic:pic>
              </a:graphicData>
            </a:graphic>
          </wp:anchor>
        </w:drawing>
      </w:r>
    </w:p>
    <w:p>
      <w:pPr>
        <w:spacing w:after="0" w:line="171" w:lineRule="exact"/>
        <w:rPr>
          <w:sz w:val="20"/>
          <w:szCs w:val="20"/>
          <w:color w:val="auto"/>
        </w:rPr>
      </w:pPr>
    </w:p>
    <w:p>
      <w:pPr>
        <w:ind w:left="260" w:firstLine="435"/>
        <w:spacing w:after="0" w:line="269" w:lineRule="auto"/>
        <w:rPr>
          <w:sz w:val="20"/>
          <w:szCs w:val="20"/>
          <w:color w:val="auto"/>
        </w:rPr>
      </w:pPr>
      <w:r>
        <w:rPr>
          <w:rFonts w:ascii="Arial" w:cs="Arial" w:eastAsia="Arial" w:hAnsi="Arial"/>
          <w:sz w:val="18"/>
          <w:szCs w:val="18"/>
          <w:color w:val="auto"/>
        </w:rPr>
        <w:t>Aggregate payments under our executive performance incentive plan were made at 183% of target, compared to 248% in fiscal 2017 and 85% in fiscal 2016.</w:t>
      </w:r>
    </w:p>
    <w:p>
      <w:pPr>
        <w:spacing w:after="0" w:line="150" w:lineRule="exact"/>
        <w:rPr>
          <w:sz w:val="20"/>
          <w:szCs w:val="20"/>
          <w:color w:val="auto"/>
        </w:rPr>
      </w:pPr>
    </w:p>
    <w:p>
      <w:pPr>
        <w:ind w:left="260" w:right="40" w:firstLine="435"/>
        <w:spacing w:after="0" w:line="235" w:lineRule="auto"/>
        <w:rPr>
          <w:sz w:val="20"/>
          <w:szCs w:val="20"/>
          <w:color w:val="auto"/>
        </w:rPr>
      </w:pPr>
      <w:r>
        <w:rPr>
          <w:rFonts w:ascii="Arial" w:cs="Arial" w:eastAsia="Arial" w:hAnsi="Arial"/>
          <w:sz w:val="18"/>
          <w:szCs w:val="18"/>
          <w:u w:val="single" w:color="auto"/>
          <w:color w:val="auto"/>
        </w:rPr>
        <w:t>Funding of Executive Performance Incentive Plan</w:t>
      </w:r>
      <w:r>
        <w:rPr>
          <w:rFonts w:ascii="Arial" w:cs="Arial" w:eastAsia="Arial" w:hAnsi="Arial"/>
          <w:sz w:val="18"/>
          <w:szCs w:val="18"/>
          <w:color w:val="auto"/>
        </w:rPr>
        <w:t>. For fiscal 2018, the Compensation Committee structured and administered the Company’s executive compensation plans and arrangements in a manner intended to allow for deductions under Section 162(m) of the Internal Revenue Code. Our Executive Section 162(m) Plan, or the 162(m) plan, is a separate plan approved by shareholders that allows for the annual bonus compensation paid to certain of our executive officers under our executive performance incentive plan to become eligible for deduction when it may not otherwise be deductible as a result of Section 162(m) as in effect for fiscal 2018. Pursuant to the 162(m) plan, at the beginning of fiscal 2018, the Compensation Committee designated Messrs. Roche, Cotter, Hassett and Pietkiewicz as participants in the 162(m) plan and allocated to each designated participant a portion of the annual incentive pool which is funded with 2% of the Company’s profits as described in the plan. Under the 162(m) plan, the Compensation Committee may use its discretion to decrease, but not increase, the amounts that may be paid to the participants out of their allocation of the funded incentive pool. The Compensation Committee exercised this discretion for fiscal 2018 by applying the performance goals of our executive performance incentive plan to the participants’ allocation of the funded incentive pool. For fiscal 2018, the 162(m) plan funded the incentive pool with an aggregate of $38.1 million, of which an aggregate of $4.4 million was distributed to the NEO participants based on achievement of the performance goals under our executive performance incentive plan. Pursuant to the 2017 Tax Cuts and Jobs Act, signed into law on December 22, 2017 (the “Tax Act”), for fiscal 2019 and future years, the exemption to the deduction limitations under Section 162(m) for our executive performance incentive plans is no longer available.</w:t>
      </w:r>
    </w:p>
    <w:p>
      <w:pPr>
        <w:spacing w:after="0" w:line="2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0" w:lineRule="exact"/>
        <w:rPr>
          <w:sz w:val="20"/>
          <w:szCs w:val="20"/>
          <w:color w:val="auto"/>
        </w:rPr>
      </w:pPr>
    </w:p>
    <w:p>
      <w:pPr>
        <w:ind w:left="260" w:right="440" w:firstLine="435"/>
        <w:spacing w:after="0" w:line="269" w:lineRule="auto"/>
        <w:rPr>
          <w:sz w:val="20"/>
          <w:szCs w:val="20"/>
          <w:color w:val="auto"/>
        </w:rPr>
      </w:pPr>
      <w:r>
        <w:rPr>
          <w:rFonts w:ascii="Arial" w:cs="Arial" w:eastAsia="Arial" w:hAnsi="Arial"/>
          <w:sz w:val="18"/>
          <w:szCs w:val="18"/>
          <w:color w:val="auto"/>
        </w:rPr>
        <w:t>Our equity compensation program is a broad-based, long-term employee rewards program that is intended to attract, retain and motivate our employees, officers and directors and to align their interests with</w:t>
      </w:r>
    </w:p>
    <w:p>
      <w:pPr>
        <w:spacing w:after="0" w:line="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45</w:t>
      </w:r>
    </w:p>
    <w:p>
      <w:pPr>
        <w:sectPr>
          <w:pgSz w:w="11900" w:h="16838" w:orient="portrait"/>
          <w:cols w:equalWidth="0" w:num="1">
            <w:col w:w="11160"/>
          </w:cols>
          <w:pgMar w:left="240" w:top="453"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360"/>
        <w:spacing w:after="0" w:line="250" w:lineRule="auto"/>
        <w:rPr>
          <w:sz w:val="20"/>
          <w:szCs w:val="20"/>
          <w:color w:val="auto"/>
        </w:rPr>
      </w:pPr>
      <w:r>
        <w:rPr>
          <w:rFonts w:ascii="Arial" w:cs="Arial" w:eastAsia="Arial" w:hAnsi="Arial"/>
          <w:sz w:val="18"/>
          <w:szCs w:val="18"/>
          <w:color w:val="auto"/>
        </w:rPr>
        <w:t>those of our shareholders. We believe that our equity program is critical to our efforts to hire and retain the best talent in the extremely competitive analog semiconductor industry. All equity awards granted to our executive officers are made under the Company’s 2006 Equity Incentive Plan.</w:t>
      </w:r>
    </w:p>
    <w:p>
      <w:pPr>
        <w:spacing w:after="0" w:line="168" w:lineRule="exact"/>
        <w:rPr>
          <w:sz w:val="20"/>
          <w:szCs w:val="20"/>
          <w:color w:val="auto"/>
        </w:rPr>
      </w:pPr>
    </w:p>
    <w:p>
      <w:pPr>
        <w:ind w:left="260" w:right="40" w:firstLine="435"/>
        <w:spacing w:after="0" w:line="238" w:lineRule="auto"/>
        <w:rPr>
          <w:sz w:val="20"/>
          <w:szCs w:val="20"/>
          <w:color w:val="auto"/>
        </w:rPr>
      </w:pPr>
      <w:r>
        <w:rPr>
          <w:rFonts w:ascii="Arial" w:cs="Arial" w:eastAsia="Arial" w:hAnsi="Arial"/>
          <w:sz w:val="18"/>
          <w:szCs w:val="18"/>
          <w:color w:val="auto"/>
        </w:rPr>
        <w:t>For fiscal 2018, the value of our annual equity awards to our NEOs was comprised of approximately 33% of performance-based RSUs, which have a three-year performance period and vest in one installment 14 days after the third anniversary of the grant date subject to the achievement of applicable performance metrics; approximately 33% of time-based RSUs that vest in four equal installments on the anniversaries of the grant date; and approximately 33% of stock options that vest in four equal installments on the anniversaries of the grant date. Because the value of the awards is based on our stock price and our stock price appreciation, stock options, time-based RSUs and performance-based RSUs encourage recipients to focus on achievement of longer-term goals, such as strategic opportunities, technological innovation and shareholder return.</w:t>
      </w:r>
    </w:p>
    <w:p>
      <w:pPr>
        <w:spacing w:after="0" w:line="179" w:lineRule="exact"/>
        <w:rPr>
          <w:sz w:val="20"/>
          <w:szCs w:val="20"/>
          <w:color w:val="auto"/>
        </w:rPr>
      </w:pPr>
    </w:p>
    <w:p>
      <w:pPr>
        <w:ind w:left="260" w:firstLine="435"/>
        <w:spacing w:after="0" w:line="235" w:lineRule="auto"/>
        <w:rPr>
          <w:sz w:val="20"/>
          <w:szCs w:val="20"/>
          <w:color w:val="auto"/>
        </w:rPr>
      </w:pPr>
      <w:r>
        <w:rPr>
          <w:rFonts w:ascii="Arial" w:cs="Arial" w:eastAsia="Arial" w:hAnsi="Arial"/>
          <w:sz w:val="18"/>
          <w:szCs w:val="18"/>
          <w:i w:val="1"/>
          <w:iCs w:val="1"/>
          <w:color w:val="auto"/>
        </w:rPr>
        <w:t>Performance-Based Restricted Stock Units</w:t>
      </w:r>
      <w:r>
        <w:rPr>
          <w:rFonts w:ascii="Arial" w:cs="Arial" w:eastAsia="Arial" w:hAnsi="Arial"/>
          <w:sz w:val="18"/>
          <w:szCs w:val="18"/>
          <w:color w:val="auto"/>
        </w:rPr>
        <w:t>. Our equity compensation program includes performance-based RSUs for our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to ensure that a direct link exists between the value of our long-term incentives and the value that is created for our shareholders. The number of shares of ADI common stock received by an executive officer following vesting of the performance-based RSUs will range from 0% to a maximum of 200% of the target amount based on ADI’s TSR performance measured against the median TSR of an established comparator group over a three-year period, capped at a maximum of 100% of the initial number of performance-based RSUs granted if the Company’s TSR is negative. The performance parameters established by the Compensation Committee are equal to 100% plus or minus two times the difference between the Company’s TSR and the comparator group median TSR. Attainment among performance parameters is subject to interpolation on a linear basis. The performance-based RSUs granted on March 11, 2015 had a three-year performance period that ended on March 11, 2018. The comparative peer group consisted of Broadcom Limited, Marvell Technology Group Ltd., Maxim Integrated Products, Inc., Microchip Technology Inc., Nvidia Corp., Qorvo, Inc., Skyworks Solutions, Inc., Texas Instruments Inc. and Xilinx, Inc. On a three-year cumulative basis, our TSR performance was 50.83%, compared to the median comparative peer group TSR of 78.46%. The median comparative peer group TSR performance exceeded the Company’s TSR performance, which resulted in a payout percentage of 44.74% of target.</w:t>
      </w:r>
    </w:p>
    <w:p>
      <w:pPr>
        <w:spacing w:after="0" w:line="182" w:lineRule="exact"/>
        <w:rPr>
          <w:sz w:val="20"/>
          <w:szCs w:val="20"/>
          <w:color w:val="auto"/>
        </w:rPr>
      </w:pPr>
    </w:p>
    <w:p>
      <w:pPr>
        <w:ind w:left="260" w:right="60" w:firstLine="435"/>
        <w:spacing w:after="0" w:line="256" w:lineRule="auto"/>
        <w:rPr>
          <w:sz w:val="20"/>
          <w:szCs w:val="20"/>
          <w:color w:val="auto"/>
        </w:rPr>
      </w:pPr>
      <w:r>
        <w:rPr>
          <w:rFonts w:ascii="Arial" w:cs="Arial" w:eastAsia="Arial" w:hAnsi="Arial"/>
          <w:sz w:val="17"/>
          <w:szCs w:val="17"/>
          <w:color w:val="auto"/>
        </w:rPr>
        <w:t>The comparator group designated for the performance-based RSUs granted in fiscal 2018 consisted of the companies represented in the Philadelphia Semiconductor Index (SOX Index) as of the grant date that are included in the SOX Index for the entire performance period. The Compensation Committee chose this comparator group because it consists of publicly traded companies, which compete in the semiconductor industry, are representative of likely alternative investment opportunities for our investors, compete with us for talent, and are similar to ADI in their product and services offerings and business models. Consistent with our Compensation Committee’s desire to tie pay to performance, the value of each of these awards is directly linked to the long-term performance of our stock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We use stock options as a way to reward long-term value creation.</w:t>
      </w:r>
    </w:p>
    <w:p>
      <w:pPr>
        <w:spacing w:after="0" w:line="207" w:lineRule="exact"/>
        <w:rPr>
          <w:sz w:val="20"/>
          <w:szCs w:val="20"/>
          <w:color w:val="auto"/>
        </w:rPr>
      </w:pPr>
    </w:p>
    <w:p>
      <w:pPr>
        <w:ind w:left="260" w:right="160" w:firstLine="435"/>
        <w:spacing w:after="0" w:line="244" w:lineRule="auto"/>
        <w:rPr>
          <w:sz w:val="20"/>
          <w:szCs w:val="20"/>
          <w:color w:val="auto"/>
        </w:rPr>
      </w:pPr>
      <w:r>
        <w:rPr>
          <w:rFonts w:ascii="Arial" w:cs="Arial" w:eastAsia="Arial" w:hAnsi="Arial"/>
          <w:sz w:val="18"/>
          <w:szCs w:val="18"/>
          <w:i w:val="1"/>
          <w:iCs w:val="1"/>
          <w:color w:val="auto"/>
        </w:rPr>
        <w:t xml:space="preserve">Time -Based Restricted Stock Units. </w:t>
      </w:r>
      <w:r>
        <w:rPr>
          <w:rFonts w:ascii="Arial" w:cs="Arial" w:eastAsia="Arial" w:hAnsi="Arial"/>
          <w:sz w:val="18"/>
          <w:szCs w:val="18"/>
          <w:color w:val="auto"/>
        </w:rPr>
        <w:t>In a volatile stock market, time-based RSUs continue to provide value when stock options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which the Compensation Committee believes will be useful in retaining talented executives and employees in uncertain economic times. In this way, we use time-based RSUs as a retention tool and to enable our executives to accumulate stock ownership in the Company.</w:t>
      </w:r>
    </w:p>
    <w:p>
      <w:pPr>
        <w:spacing w:after="0" w:line="173" w:lineRule="exact"/>
        <w:rPr>
          <w:sz w:val="20"/>
          <w:szCs w:val="20"/>
          <w:color w:val="auto"/>
        </w:rPr>
      </w:pPr>
    </w:p>
    <w:p>
      <w:pPr>
        <w:ind w:left="260" w:right="60" w:firstLine="435"/>
        <w:spacing w:after="0" w:line="250" w:lineRule="auto"/>
        <w:rPr>
          <w:sz w:val="20"/>
          <w:szCs w:val="20"/>
          <w:color w:val="auto"/>
        </w:rPr>
      </w:pPr>
      <w:r>
        <w:rPr>
          <w:rFonts w:ascii="Arial" w:cs="Arial" w:eastAsia="Arial" w:hAnsi="Arial"/>
          <w:sz w:val="17"/>
          <w:szCs w:val="17"/>
          <w:color w:val="auto"/>
        </w:rPr>
        <w:t>We set a goal each year to keep the shareholder dilution related to our equity compensation program to a certain percentage, calculated as the total number of shares of common stock underlying new equity grants made during the year, divided by the total number of outstanding shares of our common stock at the beginning of the year. Our gross and net dilution rate have been consistently lower than that of our peers over the past several years. For fiscal 2018, our gross dilution percentage was 0.6%, compared to an average of 1.1% for our peer group, and our net dilution percentage was 0.4%, compared to an average of 0.8% for our peers. For the last five years, our gross dilution percentage was 1.0% on average, compared to 1.6% on average for our peer group, and our net dilution percentage was</w:t>
      </w:r>
    </w:p>
    <w:p>
      <w:pPr>
        <w:spacing w:after="0" w:line="2" w:lineRule="exact"/>
        <w:rPr>
          <w:sz w:val="20"/>
          <w:szCs w:val="20"/>
          <w:color w:val="auto"/>
        </w:rPr>
      </w:pPr>
    </w:p>
    <w:p>
      <w:pPr>
        <w:ind w:left="260" w:right="120"/>
        <w:spacing w:after="0" w:line="243" w:lineRule="auto"/>
        <w:rPr>
          <w:sz w:val="20"/>
          <w:szCs w:val="20"/>
          <w:color w:val="auto"/>
        </w:rPr>
      </w:pPr>
      <w:r>
        <w:rPr>
          <w:rFonts w:ascii="Arial" w:cs="Arial" w:eastAsia="Arial" w:hAnsi="Arial"/>
          <w:sz w:val="18"/>
          <w:szCs w:val="18"/>
          <w:color w:val="auto"/>
        </w:rPr>
        <w:t>0.8% on average, compared to 1.0% on average for our peer group. For the fiscal year ending November 2, 2019, our Board of Directors set the maximum aggregate number of shares of common stock with respect to which awards may be</w:t>
      </w:r>
    </w:p>
    <w:p>
      <w:pPr>
        <w:spacing w:after="0" w:line="134" w:lineRule="exact"/>
        <w:rPr>
          <w:sz w:val="20"/>
          <w:szCs w:val="20"/>
          <w:color w:val="auto"/>
        </w:rPr>
      </w:pPr>
    </w:p>
    <w:p>
      <w:pPr>
        <w:ind w:left="660" w:hanging="393"/>
        <w:spacing w:after="0"/>
        <w:tabs>
          <w:tab w:leader="none" w:pos="660" w:val="left"/>
        </w:tabs>
        <w:numPr>
          <w:ilvl w:val="0"/>
          <w:numId w:val="7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4" w:right="5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440"/>
        <w:spacing w:after="0" w:line="269" w:lineRule="auto"/>
        <w:rPr>
          <w:sz w:val="20"/>
          <w:szCs w:val="20"/>
          <w:color w:val="auto"/>
        </w:rPr>
      </w:pPr>
      <w:r>
        <w:rPr>
          <w:rFonts w:ascii="Arial" w:cs="Arial" w:eastAsia="Arial" w:hAnsi="Arial"/>
          <w:sz w:val="18"/>
          <w:szCs w:val="18"/>
          <w:color w:val="auto"/>
        </w:rPr>
        <w:t>granted under the 2006 Stock Incentive Plan and the 2010 Stock Incentive Plan, in the aggregate, at 3.7 million shares, which equals approximately 1.0% of our outstanding common stock at the end of fiscal 2018.</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Executive Stock Ownership Guidelines</w:t>
      </w:r>
    </w:p>
    <w:p>
      <w:pPr>
        <w:spacing w:after="0" w:line="100" w:lineRule="exact"/>
        <w:rPr>
          <w:sz w:val="20"/>
          <w:szCs w:val="20"/>
          <w:color w:val="auto"/>
        </w:rPr>
      </w:pPr>
    </w:p>
    <w:p>
      <w:pPr>
        <w:ind w:left="260" w:right="60" w:firstLine="435"/>
        <w:spacing w:after="0" w:line="239" w:lineRule="auto"/>
        <w:rPr>
          <w:sz w:val="20"/>
          <w:szCs w:val="20"/>
          <w:color w:val="auto"/>
        </w:rPr>
      </w:pPr>
      <w:r>
        <w:rPr>
          <w:rFonts w:ascii="Arial" w:cs="Arial" w:eastAsia="Arial" w:hAnsi="Arial"/>
          <w:sz w:val="18"/>
          <w:szCs w:val="18"/>
          <w:color w:val="auto"/>
        </w:rPr>
        <w:t>Under our guidelines, the target stock ownership levels are two times annual base salary for the Chief Executive Officer and one times annual base salary for other executive officers. The Chief Executive Officer has four years from the date of his appointment as CEO to achieve his targeted level. Executive officers other than the CEO have five years from the date he or she becomes an executive officer to achieve their targeted level. Shares subject to unexercised options, whether or not vested, will not be counted for purposes of satisfying these guidelines. RSUs (whether or not vested) are counted for purposes of satisfying the guidelines. All of our executive officers were in compliance with our stock ownership guidelines as of the end of fiscal 2018.</w:t>
      </w:r>
    </w:p>
    <w:p>
      <w:pPr>
        <w:spacing w:after="0" w:line="2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Retirement and Other Employee Benefits</w:t>
      </w:r>
    </w:p>
    <w:p>
      <w:pPr>
        <w:spacing w:after="0" w:line="100" w:lineRule="exact"/>
        <w:rPr>
          <w:sz w:val="20"/>
          <w:szCs w:val="20"/>
          <w:color w:val="auto"/>
        </w:rPr>
      </w:pPr>
    </w:p>
    <w:p>
      <w:pPr>
        <w:ind w:left="260" w:right="80" w:firstLine="435"/>
        <w:spacing w:after="0" w:line="263" w:lineRule="auto"/>
        <w:rPr>
          <w:sz w:val="20"/>
          <w:szCs w:val="20"/>
          <w:color w:val="auto"/>
        </w:rPr>
      </w:pPr>
      <w:r>
        <w:rPr>
          <w:rFonts w:ascii="Arial" w:cs="Arial" w:eastAsia="Arial" w:hAnsi="Arial"/>
          <w:sz w:val="17"/>
          <w:szCs w:val="17"/>
          <w:color w:val="auto"/>
        </w:rPr>
        <w:t>We maintain broad-based benefits for all employees, including health and dental insurance, life and disability insurance and retirement plans. Executives are eligible to participate in all of our employee benefit plans on the same basis as our other employees. The retirement and other employee benefit component of our executive compensation program is designed to attract excellent candidates by providing financial protection and security, and reward our executives for the total commitment we expect from them in service to ADI.</w:t>
      </w:r>
    </w:p>
    <w:p>
      <w:pPr>
        <w:spacing w:after="0" w:line="158" w:lineRule="exact"/>
        <w:rPr>
          <w:sz w:val="20"/>
          <w:szCs w:val="20"/>
          <w:color w:val="auto"/>
        </w:rPr>
      </w:pPr>
    </w:p>
    <w:p>
      <w:pPr>
        <w:ind w:left="260" w:right="200" w:firstLine="435"/>
        <w:spacing w:after="0" w:line="244" w:lineRule="auto"/>
        <w:rPr>
          <w:sz w:val="20"/>
          <w:szCs w:val="20"/>
          <w:color w:val="auto"/>
        </w:rPr>
      </w:pPr>
      <w:r>
        <w:rPr>
          <w:rFonts w:ascii="Arial" w:cs="Arial" w:eastAsia="Arial" w:hAnsi="Arial"/>
          <w:sz w:val="18"/>
          <w:szCs w:val="18"/>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173" w:lineRule="exact"/>
        <w:rPr>
          <w:sz w:val="20"/>
          <w:szCs w:val="20"/>
          <w:color w:val="auto"/>
        </w:rPr>
      </w:pPr>
    </w:p>
    <w:p>
      <w:pPr>
        <w:ind w:left="260" w:right="20" w:firstLine="435"/>
        <w:spacing w:after="0" w:line="238" w:lineRule="auto"/>
        <w:rPr>
          <w:sz w:val="20"/>
          <w:szCs w:val="20"/>
          <w:color w:val="auto"/>
        </w:rPr>
      </w:pPr>
      <w:r>
        <w:rPr>
          <w:rFonts w:ascii="Arial" w:cs="Arial" w:eastAsia="Arial" w:hAnsi="Arial"/>
          <w:sz w:val="18"/>
          <w:szCs w:val="18"/>
          <w:color w:val="auto"/>
        </w:rPr>
        <w:t>In the United States during fiscal 2018, we contributed to our 401(k) plan on behalf all legacy ADI participants, including our NEOs (other than Steve Pietkiewicz), amounts equal to 5% of the employee’s eligible compensation, plus matching contributions up to an additional 3%, subject to Internal Revenue Service, or IRS, limits. For those employees who also 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($275,000 for fiscal 2018), with a taxable payment equal to 8% of the employee’s 401(k)-eligible compensation in excess of the IRS limit.</w:t>
      </w:r>
    </w:p>
    <w:p>
      <w:pPr>
        <w:spacing w:after="0" w:line="2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00" w:lineRule="exact"/>
        <w:rPr>
          <w:sz w:val="20"/>
          <w:szCs w:val="20"/>
          <w:color w:val="auto"/>
        </w:rPr>
      </w:pPr>
    </w:p>
    <w:p>
      <w:pPr>
        <w:ind w:left="260" w:right="220" w:firstLine="435"/>
        <w:spacing w:after="0" w:line="250" w:lineRule="auto"/>
        <w:rPr>
          <w:sz w:val="20"/>
          <w:szCs w:val="20"/>
          <w:color w:val="auto"/>
        </w:rPr>
      </w:pPr>
      <w:r>
        <w:rPr>
          <w:rFonts w:ascii="Arial" w:cs="Arial" w:eastAsia="Arial" w:hAnsi="Arial"/>
          <w:sz w:val="18"/>
          <w:szCs w:val="18"/>
          <w:color w:val="auto"/>
        </w:rPr>
        <w:t>We do not award extensive perquisites to our executive officers. In fiscal 2018, we provided a voluntary health services benefit to executives and reimbursement for financial and tax planning services of up to $15,000 for the Chief Executive Officer and up to $10,000 for the other executive officers. These items are detailed in the Summary Compensation Table below.</w:t>
      </w:r>
    </w:p>
    <w:p>
      <w:pPr>
        <w:spacing w:after="0" w:line="168" w:lineRule="exact"/>
        <w:rPr>
          <w:sz w:val="20"/>
          <w:szCs w:val="20"/>
          <w:color w:val="auto"/>
        </w:rPr>
      </w:pPr>
    </w:p>
    <w:p>
      <w:pPr>
        <w:ind w:left="260" w:right="340" w:firstLine="435"/>
        <w:spacing w:after="0" w:line="241" w:lineRule="auto"/>
        <w:rPr>
          <w:sz w:val="20"/>
          <w:szCs w:val="20"/>
          <w:color w:val="auto"/>
        </w:rPr>
      </w:pPr>
      <w:r>
        <w:rPr>
          <w:rFonts w:ascii="Arial" w:cs="Arial" w:eastAsia="Arial" w:hAnsi="Arial"/>
          <w:sz w:val="18"/>
          <w:szCs w:val="18"/>
          <w:color w:val="auto"/>
        </w:rPr>
        <w:t>We also maintain an expatriate program that provides certain benefits to our employees who accept expatriate assignments. Our executive officers are entitled to the same benefits under the Company’s expatriate program as other Company employees. Under the Company’s expatriate program, such benefits include providing gross-ups on taxable foreign assignment assistance and making tax equalization payments on behalf of (or to) expatriate employees who, as a result of their expatriate assignment, incur tax liabilities in excess of what they would have incurred had they not accepted the expatriate assignment.</w:t>
      </w:r>
    </w:p>
    <w:p>
      <w:pPr>
        <w:spacing w:after="0" w:line="176" w:lineRule="exact"/>
        <w:rPr>
          <w:sz w:val="20"/>
          <w:szCs w:val="20"/>
          <w:color w:val="auto"/>
        </w:rPr>
      </w:pPr>
    </w:p>
    <w:p>
      <w:pPr>
        <w:ind w:left="260" w:right="80" w:firstLine="435"/>
        <w:spacing w:after="0" w:line="269" w:lineRule="auto"/>
        <w:rPr>
          <w:sz w:val="20"/>
          <w:szCs w:val="20"/>
          <w:color w:val="auto"/>
        </w:rPr>
      </w:pPr>
      <w:r>
        <w:rPr>
          <w:rFonts w:ascii="Arial" w:cs="Arial" w:eastAsia="Arial" w:hAnsi="Arial"/>
          <w:sz w:val="18"/>
          <w:szCs w:val="18"/>
          <w:color w:val="auto"/>
        </w:rPr>
        <w:t>On occasion, and with the approval of our CEO, an officer or director may have his or her family members accompany him or her on the Company’s leased airplane when traveling on business. The</w:t>
      </w:r>
    </w:p>
    <w:p>
      <w:pPr>
        <w:spacing w:after="0" w:line="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47</w:t>
      </w:r>
    </w:p>
    <w:p>
      <w:pPr>
        <w:sectPr>
          <w:pgSz w:w="11900" w:h="16838" w:orient="portrait"/>
          <w:cols w:equalWidth="0" w:num="1">
            <w:col w:w="11160"/>
          </w:cols>
          <w:pgMar w:left="240" w:top="454"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line="269" w:lineRule="auto"/>
        <w:rPr>
          <w:sz w:val="20"/>
          <w:szCs w:val="20"/>
          <w:color w:val="auto"/>
        </w:rPr>
      </w:pPr>
      <w:r>
        <w:rPr>
          <w:rFonts w:ascii="Arial" w:cs="Arial" w:eastAsia="Arial" w:hAnsi="Arial"/>
          <w:sz w:val="18"/>
          <w:szCs w:val="18"/>
          <w:color w:val="auto"/>
        </w:rPr>
        <w:t>executive or director may incur taxable income for any such travel in accordance with applicable tax rules. We do not gross-up or in any way compensate the officer or director for any income tax owed for any such travel.</w:t>
      </w:r>
    </w:p>
    <w:p>
      <w:pPr>
        <w:spacing w:after="0" w:line="2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Recovery</w:t>
      </w:r>
    </w:p>
    <w:p>
      <w:pPr>
        <w:spacing w:after="0" w:line="100" w:lineRule="exact"/>
        <w:rPr>
          <w:sz w:val="20"/>
          <w:szCs w:val="20"/>
          <w:color w:val="auto"/>
        </w:rPr>
      </w:pPr>
    </w:p>
    <w:p>
      <w:pPr>
        <w:ind w:left="260" w:firstLine="435"/>
        <w:spacing w:after="0" w:line="244" w:lineRule="auto"/>
        <w:rPr>
          <w:sz w:val="20"/>
          <w:szCs w:val="20"/>
          <w:color w:val="auto"/>
        </w:rPr>
      </w:pPr>
      <w:r>
        <w:rPr>
          <w:rFonts w:ascii="Arial" w:cs="Arial" w:eastAsia="Arial" w:hAnsi="Arial"/>
          <w:sz w:val="18"/>
          <w:szCs w:val="18"/>
          <w:color w:val="auto"/>
        </w:rPr>
        <w:t>Under the Sarbanes-Oxley Act, in the event of misconduct that results in a financial restatement that would have reduced a previously paid incentive amount, we can recoup those improper payments from our Chief Executive Officer and Chief Financial Officer. We will implement a broader clawback policy that is compliant with the regulations mandated under the Dodd-Frank Act when the regulations are adopted by the SEC and corresponding listing standards become effective.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Fiscal 2018 Financial and Strategic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163830</wp:posOffset>
            </wp:positionV>
            <wp:extent cx="6120765" cy="3136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20765" cy="313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 w:right="80" w:hanging="113"/>
        <w:spacing w:after="0" w:line="193" w:lineRule="auto"/>
        <w:tabs>
          <w:tab w:leader="none" w:pos="38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Total Shareholder Return calculation is share price appreciation plus cumulative cash dividend payments for the three-and five-year periods ended November 3, 2018, utilizing the 90 day average of the beginning and ending closing prices.</w:t>
      </w:r>
    </w:p>
    <w:p>
      <w:pPr>
        <w:spacing w:after="0" w:line="134" w:lineRule="exact"/>
        <w:rPr>
          <w:sz w:val="20"/>
          <w:szCs w:val="20"/>
          <w:color w:val="auto"/>
        </w:rPr>
      </w:pPr>
    </w:p>
    <w:p>
      <w:pPr>
        <w:ind w:left="660" w:hanging="393"/>
        <w:spacing w:after="0"/>
        <w:tabs>
          <w:tab w:leader="none" w:pos="660" w:val="left"/>
        </w:tabs>
        <w:numPr>
          <w:ilvl w:val="0"/>
          <w:numId w:val="8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0920"/>
          </w:cols>
          <w:pgMar w:left="240" w:top="453" w:right="7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02" w:lineRule="exact"/>
        <w:rPr>
          <w:sz w:val="20"/>
          <w:szCs w:val="20"/>
          <w:color w:val="auto"/>
        </w:rPr>
      </w:pPr>
    </w:p>
    <w:p>
      <w:pPr>
        <w:ind w:left="260" w:right="20" w:firstLine="435"/>
        <w:spacing w:after="0" w:line="244" w:lineRule="auto"/>
        <w:rPr>
          <w:sz w:val="20"/>
          <w:szCs w:val="20"/>
          <w:color w:val="auto"/>
        </w:rPr>
      </w:pPr>
      <w:r>
        <w:rPr>
          <w:rFonts w:ascii="Arial" w:cs="Arial" w:eastAsia="Arial" w:hAnsi="Arial"/>
          <w:sz w:val="18"/>
          <w:szCs w:val="18"/>
          <w:color w:val="auto"/>
        </w:rPr>
        <w:t>Mr. Roche has served as our Chief Executive Officer since May 2013. Under his leadership, the Company has successfully executed its financial, strategic and operational objectives intended to drive long-term profitable growth and increase shareholder value. In addition to the financial and strategic results achieved in fiscal 2018 outlined above, the Company has achieved the following exceptional results over the past five years under his leadership:</w:t>
      </w:r>
    </w:p>
    <w:p>
      <w:pPr>
        <w:spacing w:after="0" w:line="79" w:lineRule="exact"/>
        <w:rPr>
          <w:sz w:val="20"/>
          <w:szCs w:val="20"/>
          <w:color w:val="auto"/>
        </w:rPr>
      </w:pPr>
    </w:p>
    <w:p>
      <w:pPr>
        <w:ind w:left="1120" w:hanging="319"/>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annual revenue from $2.6 billion to $6.2 billion through both organic growth and strategic acquisitions;</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Nearly tripled operating cash flow from $912 million to $2.4 billion and free cash flow from $790 million to $2.1 billion;</w:t>
      </w:r>
      <w:r>
        <w:rPr>
          <w:rFonts w:ascii="Arial" w:cs="Arial" w:eastAsia="Arial" w:hAnsi="Arial"/>
          <w:sz w:val="15"/>
          <w:szCs w:val="15"/>
          <w:color w:val="auto"/>
        </w:rPr>
        <w:t>4</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the Company’s enterprise value by 280% from $10.9 billion to $41.6 billion;</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Increased total shareholder return by 128%; and</w:t>
      </w:r>
    </w:p>
    <w:p>
      <w:pPr>
        <w:spacing w:after="0" w:line="113" w:lineRule="exact"/>
        <w:rPr>
          <w:rFonts w:ascii="Arial" w:cs="Arial" w:eastAsia="Arial" w:hAnsi="Arial"/>
          <w:sz w:val="18"/>
          <w:szCs w:val="18"/>
          <w:color w:val="auto"/>
        </w:rPr>
      </w:pPr>
    </w:p>
    <w:p>
      <w:pPr>
        <w:jc w:val="both"/>
        <w:ind w:left="1120" w:right="300" w:hanging="319"/>
        <w:spacing w:after="0" w:line="250"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Acquired and successfully integrated Hittite Microwave Corporation and Linear Technology, which added RF and microwave and power management technologies, giving the Company a top two market share position across all key technologies and building blocks in the analog market.</w:t>
      </w:r>
      <w:r>
        <w:rPr>
          <w:rFonts w:ascii="Arial" w:cs="Arial" w:eastAsia="Arial" w:hAnsi="Arial"/>
          <w:sz w:val="15"/>
          <w:szCs w:val="15"/>
          <w:color w:val="auto"/>
        </w:rPr>
        <w:t>5</w:t>
      </w:r>
    </w:p>
    <w:p>
      <w:pPr>
        <w:spacing w:after="0" w:line="168" w:lineRule="exact"/>
        <w:rPr>
          <w:sz w:val="20"/>
          <w:szCs w:val="20"/>
          <w:color w:val="auto"/>
        </w:rPr>
      </w:pPr>
    </w:p>
    <w:p>
      <w:pPr>
        <w:ind w:left="260" w:firstLine="435"/>
        <w:spacing w:after="0" w:line="241" w:lineRule="auto"/>
        <w:rPr>
          <w:sz w:val="20"/>
          <w:szCs w:val="20"/>
          <w:color w:val="auto"/>
        </w:rPr>
      </w:pPr>
      <w:r>
        <w:rPr>
          <w:rFonts w:ascii="Arial" w:cs="Arial" w:eastAsia="Arial" w:hAnsi="Arial"/>
          <w:sz w:val="18"/>
          <w:szCs w:val="18"/>
          <w:color w:val="auto"/>
        </w:rPr>
        <w:t>In determining Mr. Roche’s compensation as Chief Executive Officer for fiscal 2018, the Compensation Committee considered all elements of Mr. Roche’s compensation and compared his total target compensation to the median of Chief Executive Officer compensation within our peer companies. They also considered Mr. Roche’s experience, tenure, and performance executing the Company’s strategy and driving long-term shareholder value. The design of Mr. Roche’s fiscal 2018 compensation provides incentives that link realized compensation with Company performance and is comprised of the following:</w:t>
      </w:r>
    </w:p>
    <w:p>
      <w:pPr>
        <w:spacing w:after="0" w:line="82" w:lineRule="exact"/>
        <w:rPr>
          <w:sz w:val="20"/>
          <w:szCs w:val="20"/>
          <w:color w:val="auto"/>
        </w:rPr>
      </w:pPr>
    </w:p>
    <w:p>
      <w:pPr>
        <w:ind w:left="1120" w:hanging="319"/>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base salary of $1,000,000, an increase of 11% compared to Mr. Roche’s fiscal 2017 annual base salary of $900,000;</w:t>
      </w:r>
    </w:p>
    <w:p>
      <w:pPr>
        <w:spacing w:after="0" w:line="113" w:lineRule="exact"/>
        <w:rPr>
          <w:rFonts w:ascii="Arial" w:cs="Arial" w:eastAsia="Arial" w:hAnsi="Arial"/>
          <w:sz w:val="18"/>
          <w:szCs w:val="18"/>
          <w:color w:val="auto"/>
        </w:rPr>
      </w:pPr>
    </w:p>
    <w:p>
      <w:pPr>
        <w:ind w:left="1120" w:right="100" w:hanging="319"/>
        <w:spacing w:after="0" w:line="269" w:lineRule="auto"/>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target bonus of 150% of base salary, calculated in accordance with the terms of the Company’s executive performance incentive plan, which remain unchanged from fiscal 2017; and</w:t>
      </w:r>
    </w:p>
    <w:p>
      <w:pPr>
        <w:spacing w:after="0" w:line="56" w:lineRule="exact"/>
        <w:rPr>
          <w:rFonts w:ascii="Arial" w:cs="Arial" w:eastAsia="Arial" w:hAnsi="Arial"/>
          <w:sz w:val="18"/>
          <w:szCs w:val="18"/>
          <w:color w:val="auto"/>
        </w:rPr>
      </w:pPr>
    </w:p>
    <w:p>
      <w:pPr>
        <w:ind w:left="1120" w:hanging="319"/>
        <w:spacing w:after="0" w:line="238" w:lineRule="auto"/>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performance-based RSU grant with a Black-Scholes value of $2,669,030 (26,366 shares), a time-based RSU grant with a Black-Scholes value of $2,280,923 (26,366 shares), and an option grant with a Black-Scholes value of $2,305,013 (110,661 shares). The number of shares, if any, earned under the performance-based RSU grant will vest three years and fourteen days after its grant date, subject to the level of attainment of the performance parameters. Mr. Roche’s time-based RSU grant will each vest 25% per year on each of the first four anniversaries of the date of grant. Mr. Roche’s option grant will vest 25% per year on each of the first four anniversaries of the date of grant. These vesting terms are identical to those generally contained in equity grants made to our employees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76835</wp:posOffset>
            </wp:positionV>
            <wp:extent cx="686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41" w:lineRule="exact"/>
        <w:rPr>
          <w:sz w:val="20"/>
          <w:szCs w:val="20"/>
          <w:color w:val="auto"/>
        </w:rPr>
      </w:pPr>
    </w:p>
    <w:p>
      <w:pPr>
        <w:ind w:left="380" w:right="340" w:hanging="113"/>
        <w:spacing w:after="0" w:line="181" w:lineRule="auto"/>
        <w:tabs>
          <w:tab w:leader="none" w:pos="38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Free cash flow is a non-GAAP financial measure. See Appendix A for additional information regarding non-GAAP financial measures and reconciliations of non-GAAP financial measures to their most directly comparable GAAP financial measures.</w:t>
      </w:r>
    </w:p>
    <w:p>
      <w:pPr>
        <w:spacing w:after="0" w:line="1" w:lineRule="exact"/>
        <w:rPr>
          <w:sz w:val="20"/>
          <w:szCs w:val="20"/>
          <w:color w:val="auto"/>
        </w:rPr>
      </w:pPr>
    </w:p>
    <w:p>
      <w:pPr>
        <w:ind w:left="380" w:right="100" w:hanging="113"/>
        <w:spacing w:after="0" w:line="188" w:lineRule="auto"/>
        <w:tabs>
          <w:tab w:leader="none" w:pos="38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Data based on Gartner reports and Company estimates based on fiscal 2016 and 2017 data. RF/microwave is based on Company estimates and excludes consumer and cellular infrastructure power amplifiers.</w:t>
      </w:r>
    </w:p>
    <w:p>
      <w:pPr>
        <w:spacing w:after="0" w:line="1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49</w:t>
      </w:r>
    </w:p>
    <w:p>
      <w:pPr>
        <w:sectPr>
          <w:pgSz w:w="11900" w:h="16838" w:orient="portrait"/>
          <w:cols w:equalWidth="0" w:num="1">
            <w:col w:w="11160"/>
          </w:cols>
          <w:pgMar w:left="240" w:top="453"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Compensation for Other Named Executive Officers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Base Salary and Individual Target Bonus Percentages</w:t>
      </w:r>
    </w:p>
    <w:p>
      <w:pPr>
        <w:spacing w:after="0" w:line="100" w:lineRule="exact"/>
        <w:rPr>
          <w:sz w:val="20"/>
          <w:szCs w:val="20"/>
          <w:color w:val="auto"/>
        </w:rPr>
      </w:pPr>
    </w:p>
    <w:p>
      <w:pPr>
        <w:ind w:left="260" w:right="200" w:firstLine="435"/>
        <w:spacing w:after="0" w:line="269" w:lineRule="auto"/>
        <w:rPr>
          <w:sz w:val="20"/>
          <w:szCs w:val="20"/>
          <w:color w:val="auto"/>
        </w:rPr>
      </w:pPr>
      <w:r>
        <w:rPr>
          <w:rFonts w:ascii="Arial" w:cs="Arial" w:eastAsia="Arial" w:hAnsi="Arial"/>
          <w:sz w:val="18"/>
          <w:szCs w:val="18"/>
          <w:color w:val="auto"/>
        </w:rPr>
        <w:t>During fiscal 2018, the Compensation Committee authorized base salaries and target bonus percentages for our NEOs (other than our Chief Executive Officer), as specified in the table below:</w:t>
      </w:r>
    </w:p>
    <w:p>
      <w:pPr>
        <w:spacing w:after="0" w:line="200"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2500" w:type="dxa"/>
            <w:vAlign w:val="bottom"/>
            <w:shd w:val="clear" w:color="auto" w:fill="052B82"/>
          </w:tcPr>
          <w:p>
            <w:pPr>
              <w:spacing w:after="0"/>
              <w:rPr>
                <w:sz w:val="18"/>
                <w:szCs w:val="18"/>
                <w:color w:val="auto"/>
              </w:rPr>
            </w:pPr>
          </w:p>
        </w:tc>
        <w:tc>
          <w:tcPr>
            <w:tcW w:w="1400" w:type="dxa"/>
            <w:vAlign w:val="bottom"/>
            <w:vMerge w:val="restart"/>
            <w:shd w:val="clear" w:color="auto" w:fill="052B82"/>
          </w:tcPr>
          <w:p>
            <w:pPr>
              <w:ind w:left="440"/>
              <w:spacing w:after="0"/>
              <w:rPr>
                <w:sz w:val="20"/>
                <w:szCs w:val="20"/>
                <w:color w:val="auto"/>
              </w:rPr>
            </w:pPr>
            <w:r>
              <w:rPr>
                <w:rFonts w:ascii="Arial" w:cs="Arial" w:eastAsia="Arial" w:hAnsi="Arial"/>
                <w:sz w:val="14"/>
                <w:szCs w:val="14"/>
                <w:b w:val="1"/>
                <w:bCs w:val="1"/>
                <w:color w:val="FFFFFF"/>
              </w:rPr>
              <w:t>2018 Base</w:t>
            </w:r>
          </w:p>
        </w:tc>
        <w:tc>
          <w:tcPr>
            <w:tcW w:w="1620" w:type="dxa"/>
            <w:vAlign w:val="bottom"/>
            <w:shd w:val="clear" w:color="auto" w:fill="052B82"/>
          </w:tcPr>
          <w:p>
            <w:pPr>
              <w:spacing w:after="0"/>
              <w:rPr>
                <w:sz w:val="18"/>
                <w:szCs w:val="18"/>
                <w:color w:val="auto"/>
              </w:rPr>
            </w:pPr>
          </w:p>
        </w:tc>
        <w:tc>
          <w:tcPr>
            <w:tcW w:w="1180" w:type="dxa"/>
            <w:vAlign w:val="bottom"/>
            <w:shd w:val="clear" w:color="auto" w:fill="052B82"/>
          </w:tcPr>
          <w:p>
            <w:pPr>
              <w:spacing w:after="0"/>
              <w:rPr>
                <w:sz w:val="18"/>
                <w:szCs w:val="18"/>
                <w:color w:val="auto"/>
              </w:rPr>
            </w:pP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2018 Individual</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2017 Individual</w:t>
            </w:r>
          </w:p>
        </w:tc>
        <w:tc>
          <w:tcPr>
            <w:tcW w:w="1020" w:type="dxa"/>
            <w:vAlign w:val="bottom"/>
            <w:shd w:val="clear" w:color="auto" w:fill="052B82"/>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 of Executive</w:t>
            </w:r>
          </w:p>
        </w:tc>
        <w:tc>
          <w:tcPr>
            <w:tcW w:w="1400" w:type="dxa"/>
            <w:vAlign w:val="bottom"/>
            <w:vMerge w:val="continue"/>
            <w:shd w:val="clear" w:color="auto" w:fill="052B82"/>
          </w:tcPr>
          <w:p>
            <w:pPr>
              <w:spacing w:after="0"/>
              <w:rPr>
                <w:sz w:val="13"/>
                <w:szCs w:val="13"/>
                <w:color w:val="auto"/>
              </w:rPr>
            </w:pPr>
          </w:p>
        </w:tc>
        <w:tc>
          <w:tcPr>
            <w:tcW w:w="1620" w:type="dxa"/>
            <w:vAlign w:val="bottom"/>
            <w:vMerge w:val="restart"/>
            <w:shd w:val="clear" w:color="auto" w:fill="052B82"/>
          </w:tcPr>
          <w:p>
            <w:pPr>
              <w:jc w:val="right"/>
              <w:ind w:right="135"/>
              <w:spacing w:after="0"/>
              <w:rPr>
                <w:sz w:val="20"/>
                <w:szCs w:val="20"/>
                <w:color w:val="auto"/>
              </w:rPr>
            </w:pPr>
            <w:r>
              <w:rPr>
                <w:rFonts w:ascii="Arial" w:cs="Arial" w:eastAsia="Arial" w:hAnsi="Arial"/>
                <w:sz w:val="14"/>
                <w:szCs w:val="14"/>
                <w:b w:val="1"/>
                <w:bCs w:val="1"/>
                <w:color w:val="FFFFFF"/>
              </w:rPr>
              <w:t>2017 Base Salary</w:t>
            </w:r>
          </w:p>
        </w:tc>
        <w:tc>
          <w:tcPr>
            <w:tcW w:w="1180" w:type="dxa"/>
            <w:vAlign w:val="bottom"/>
            <w:vMerge w:val="restart"/>
            <w:shd w:val="clear" w:color="auto" w:fill="052B82"/>
          </w:tcPr>
          <w:p>
            <w:pPr>
              <w:jc w:val="right"/>
              <w:ind w:right="135"/>
              <w:spacing w:after="0"/>
              <w:rPr>
                <w:sz w:val="20"/>
                <w:szCs w:val="20"/>
                <w:color w:val="auto"/>
              </w:rPr>
            </w:pPr>
            <w:r>
              <w:rPr>
                <w:rFonts w:ascii="Arial" w:cs="Arial" w:eastAsia="Arial" w:hAnsi="Arial"/>
                <w:sz w:val="14"/>
                <w:szCs w:val="14"/>
                <w:b w:val="1"/>
                <w:bCs w:val="1"/>
                <w:color w:val="FFFFFF"/>
              </w:rPr>
              <w:t>% Increase</w:t>
            </w: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Bonus as</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Bonus as</w:t>
            </w:r>
          </w:p>
        </w:tc>
        <w:tc>
          <w:tcPr>
            <w:tcW w:w="1020" w:type="dxa"/>
            <w:vAlign w:val="bottom"/>
            <w:vMerge w:val="restart"/>
            <w:shd w:val="clear" w:color="auto" w:fill="052B82"/>
          </w:tcPr>
          <w:p>
            <w:pPr>
              <w:jc w:val="right"/>
              <w:ind w:right="15"/>
              <w:spacing w:after="0"/>
              <w:rPr>
                <w:sz w:val="20"/>
                <w:szCs w:val="20"/>
                <w:color w:val="auto"/>
              </w:rPr>
            </w:pPr>
            <w:r>
              <w:rPr>
                <w:rFonts w:ascii="Arial" w:cs="Arial" w:eastAsia="Arial" w:hAnsi="Arial"/>
                <w:sz w:val="14"/>
                <w:szCs w:val="14"/>
                <w:b w:val="1"/>
                <w:bCs w:val="1"/>
                <w:color w:val="FFFFFF"/>
              </w:rPr>
              <w:t>% Increase</w:t>
            </w:r>
          </w:p>
        </w:tc>
        <w:tc>
          <w:tcPr>
            <w:tcW w:w="0" w:type="dxa"/>
            <w:vAlign w:val="bottom"/>
          </w:tcPr>
          <w:p>
            <w:pPr>
              <w:spacing w:after="0"/>
              <w:rPr>
                <w:sz w:val="1"/>
                <w:szCs w:val="1"/>
                <w:color w:val="auto"/>
              </w:rPr>
            </w:pPr>
          </w:p>
        </w:tc>
      </w:tr>
      <w:tr>
        <w:trPr>
          <w:trHeight w:val="202"/>
        </w:trPr>
        <w:tc>
          <w:tcPr>
            <w:tcW w:w="2500" w:type="dxa"/>
            <w:vAlign w:val="bottom"/>
            <w:vMerge w:val="continue"/>
            <w:shd w:val="clear" w:color="auto" w:fill="052B82"/>
          </w:tcPr>
          <w:p>
            <w:pPr>
              <w:spacing w:after="0"/>
              <w:rPr>
                <w:sz w:val="17"/>
                <w:szCs w:val="17"/>
                <w:color w:val="auto"/>
              </w:rPr>
            </w:pPr>
          </w:p>
        </w:tc>
        <w:tc>
          <w:tcPr>
            <w:tcW w:w="1400" w:type="dxa"/>
            <w:vAlign w:val="bottom"/>
            <w:shd w:val="clear" w:color="auto" w:fill="052B82"/>
          </w:tcPr>
          <w:p>
            <w:pPr>
              <w:ind w:left="580"/>
              <w:spacing w:after="0"/>
              <w:rPr>
                <w:sz w:val="20"/>
                <w:szCs w:val="20"/>
                <w:color w:val="auto"/>
              </w:rPr>
            </w:pPr>
            <w:r>
              <w:rPr>
                <w:rFonts w:ascii="Arial" w:cs="Arial" w:eastAsia="Arial" w:hAnsi="Arial"/>
                <w:sz w:val="14"/>
                <w:szCs w:val="14"/>
                <w:b w:val="1"/>
                <w:bCs w:val="1"/>
                <w:color w:val="FFFFFF"/>
              </w:rPr>
              <w:t>Salary</w:t>
            </w:r>
          </w:p>
        </w:tc>
        <w:tc>
          <w:tcPr>
            <w:tcW w:w="1620" w:type="dxa"/>
            <w:vAlign w:val="bottom"/>
            <w:vMerge w:val="continue"/>
            <w:shd w:val="clear" w:color="auto" w:fill="052B82"/>
          </w:tcPr>
          <w:p>
            <w:pPr>
              <w:spacing w:after="0"/>
              <w:rPr>
                <w:sz w:val="17"/>
                <w:szCs w:val="17"/>
                <w:color w:val="auto"/>
              </w:rPr>
            </w:pPr>
          </w:p>
        </w:tc>
        <w:tc>
          <w:tcPr>
            <w:tcW w:w="1180" w:type="dxa"/>
            <w:vAlign w:val="bottom"/>
            <w:vMerge w:val="continue"/>
            <w:shd w:val="clear" w:color="auto" w:fill="052B82"/>
          </w:tcPr>
          <w:p>
            <w:pPr>
              <w:spacing w:after="0"/>
              <w:rPr>
                <w:sz w:val="17"/>
                <w:szCs w:val="17"/>
                <w:color w:val="auto"/>
              </w:rPr>
            </w:pP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 of Base Salary</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 of Base Salary</w:t>
            </w:r>
          </w:p>
        </w:tc>
        <w:tc>
          <w:tcPr>
            <w:tcW w:w="1020" w:type="dxa"/>
            <w:vAlign w:val="bottom"/>
            <w:vMerge w:val="continue"/>
            <w:shd w:val="clear" w:color="auto" w:fill="052B82"/>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500" w:type="dxa"/>
            <w:vAlign w:val="bottom"/>
          </w:tcPr>
          <w:p>
            <w:pPr>
              <w:ind w:left="40"/>
              <w:spacing w:after="0"/>
              <w:rPr>
                <w:sz w:val="20"/>
                <w:szCs w:val="20"/>
                <w:color w:val="auto"/>
              </w:rPr>
            </w:pPr>
            <w:r>
              <w:rPr>
                <w:rFonts w:ascii="Arial" w:cs="Arial" w:eastAsia="Arial" w:hAnsi="Arial"/>
                <w:sz w:val="18"/>
                <w:szCs w:val="18"/>
                <w:color w:val="auto"/>
              </w:rPr>
              <w:t>Prashanth Mahendra-Rajah</w:t>
            </w:r>
          </w:p>
        </w:tc>
        <w:tc>
          <w:tcPr>
            <w:tcW w:w="1400" w:type="dxa"/>
            <w:vAlign w:val="bottom"/>
          </w:tcPr>
          <w:p>
            <w:pPr>
              <w:ind w:left="440"/>
              <w:spacing w:after="0"/>
              <w:rPr>
                <w:sz w:val="20"/>
                <w:szCs w:val="20"/>
                <w:color w:val="auto"/>
              </w:rPr>
            </w:pPr>
            <w:r>
              <w:rPr>
                <w:rFonts w:ascii="Arial" w:cs="Arial" w:eastAsia="Arial" w:hAnsi="Arial"/>
                <w:sz w:val="18"/>
                <w:szCs w:val="18"/>
                <w:color w:val="auto"/>
              </w:rPr>
              <w:t>$550,000</w:t>
            </w: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$550,000</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0%</w:t>
            </w: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119"/>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0"/>
        </w:trPr>
        <w:tc>
          <w:tcPr>
            <w:tcW w:w="2500" w:type="dxa"/>
            <w:vAlign w:val="bottom"/>
          </w:tcPr>
          <w:p>
            <w:pPr>
              <w:ind w:left="160"/>
              <w:spacing w:after="0" w:line="201" w:lineRule="exact"/>
              <w:rPr>
                <w:sz w:val="20"/>
                <w:szCs w:val="20"/>
                <w:color w:val="auto"/>
              </w:rPr>
            </w:pPr>
            <w:r>
              <w:rPr>
                <w:rFonts w:ascii="Arial" w:cs="Arial" w:eastAsia="Arial" w:hAnsi="Arial"/>
                <w:sz w:val="18"/>
                <w:szCs w:val="18"/>
                <w:color w:val="auto"/>
              </w:rPr>
              <w:t>Senior Vice President,</w:t>
            </w: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tcPr>
          <w:p>
            <w:pPr>
              <w:ind w:left="160"/>
              <w:spacing w:after="0" w:line="201" w:lineRule="exact"/>
              <w:rPr>
                <w:sz w:val="20"/>
                <w:szCs w:val="20"/>
                <w:color w:val="auto"/>
              </w:rPr>
            </w:pPr>
            <w:r>
              <w:rPr>
                <w:rFonts w:ascii="Arial" w:cs="Arial" w:eastAsia="Arial" w:hAnsi="Arial"/>
                <w:sz w:val="18"/>
                <w:szCs w:val="18"/>
                <w:color w:val="auto"/>
              </w:rPr>
              <w:t>Finance and Chief Financial</w:t>
            </w: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160"/>
              <w:spacing w:after="0"/>
              <w:rPr>
                <w:sz w:val="20"/>
                <w:szCs w:val="20"/>
                <w:color w:val="auto"/>
              </w:rPr>
            </w:pPr>
            <w:r>
              <w:rPr>
                <w:rFonts w:ascii="Arial" w:cs="Arial" w:eastAsia="Arial" w:hAnsi="Arial"/>
                <w:sz w:val="18"/>
                <w:szCs w:val="18"/>
                <w:color w:val="auto"/>
              </w:rPr>
              <w:t>Officer</w:t>
            </w:r>
          </w:p>
        </w:tc>
        <w:tc>
          <w:tcPr>
            <w:tcW w:w="1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500" w:type="dxa"/>
            <w:vAlign w:val="bottom"/>
            <w:shd w:val="clear" w:color="auto" w:fill="E8EDF4"/>
          </w:tcPr>
          <w:p>
            <w:pPr>
              <w:ind w:left="40"/>
              <w:spacing w:after="0"/>
              <w:rPr>
                <w:sz w:val="20"/>
                <w:szCs w:val="20"/>
                <w:color w:val="auto"/>
              </w:rPr>
            </w:pPr>
            <w:r>
              <w:rPr>
                <w:rFonts w:ascii="Arial" w:cs="Arial" w:eastAsia="Arial" w:hAnsi="Arial"/>
                <w:sz w:val="18"/>
                <w:szCs w:val="18"/>
                <w:color w:val="auto"/>
              </w:rPr>
              <w:t>Martin Cotter</w:t>
            </w:r>
          </w:p>
        </w:tc>
        <w:tc>
          <w:tcPr>
            <w:tcW w:w="1400" w:type="dxa"/>
            <w:vAlign w:val="bottom"/>
            <w:shd w:val="clear" w:color="auto" w:fill="E8EDF4"/>
          </w:tcPr>
          <w:p>
            <w:pPr>
              <w:ind w:left="440"/>
              <w:spacing w:after="0"/>
              <w:rPr>
                <w:sz w:val="20"/>
                <w:szCs w:val="20"/>
                <w:color w:val="auto"/>
              </w:rPr>
            </w:pPr>
            <w:r>
              <w:rPr>
                <w:rFonts w:ascii="Arial" w:cs="Arial" w:eastAsia="Arial" w:hAnsi="Arial"/>
                <w:sz w:val="18"/>
                <w:szCs w:val="18"/>
                <w:color w:val="auto"/>
              </w:rPr>
              <w:t>$450,000</w:t>
            </w:r>
          </w:p>
        </w:tc>
        <w:tc>
          <w:tcPr>
            <w:tcW w:w="1620" w:type="dxa"/>
            <w:vAlign w:val="bottom"/>
            <w:shd w:val="clear" w:color="auto" w:fill="E8EDF4"/>
          </w:tcPr>
          <w:p>
            <w:pPr>
              <w:jc w:val="right"/>
              <w:ind w:right="135"/>
              <w:spacing w:after="0"/>
              <w:rPr>
                <w:sz w:val="20"/>
                <w:szCs w:val="20"/>
                <w:color w:val="auto"/>
              </w:rPr>
            </w:pPr>
            <w:r>
              <w:rPr>
                <w:rFonts w:ascii="Arial" w:cs="Arial" w:eastAsia="Arial" w:hAnsi="Arial"/>
                <w:sz w:val="18"/>
                <w:szCs w:val="18"/>
                <w:color w:val="auto"/>
              </w:rPr>
              <w:t>$425,000</w:t>
            </w:r>
          </w:p>
        </w:tc>
        <w:tc>
          <w:tcPr>
            <w:tcW w:w="1180" w:type="dxa"/>
            <w:vAlign w:val="bottom"/>
            <w:shd w:val="clear" w:color="auto" w:fill="E8EDF4"/>
          </w:tcPr>
          <w:p>
            <w:pPr>
              <w:jc w:val="right"/>
              <w:ind w:right="135"/>
              <w:spacing w:after="0"/>
              <w:rPr>
                <w:sz w:val="20"/>
                <w:szCs w:val="20"/>
                <w:color w:val="auto"/>
              </w:rPr>
            </w:pPr>
            <w:r>
              <w:rPr>
                <w:rFonts w:ascii="Arial" w:cs="Arial" w:eastAsia="Arial" w:hAnsi="Arial"/>
                <w:sz w:val="18"/>
                <w:szCs w:val="18"/>
                <w:color w:val="auto"/>
              </w:rPr>
              <w:t>5.9%</w:t>
            </w:r>
          </w:p>
        </w:tc>
        <w:tc>
          <w:tcPr>
            <w:tcW w:w="1600" w:type="dxa"/>
            <w:vAlign w:val="bottom"/>
            <w:shd w:val="clear" w:color="auto" w:fill="E8EDF4"/>
          </w:tcPr>
          <w:p>
            <w:pPr>
              <w:jc w:val="right"/>
              <w:ind w:right="139"/>
              <w:spacing w:after="0"/>
              <w:rPr>
                <w:sz w:val="20"/>
                <w:szCs w:val="20"/>
                <w:color w:val="auto"/>
              </w:rPr>
            </w:pPr>
            <w:r>
              <w:rPr>
                <w:rFonts w:ascii="Arial" w:cs="Arial" w:eastAsia="Arial" w:hAnsi="Arial"/>
                <w:sz w:val="18"/>
                <w:szCs w:val="18"/>
                <w:color w:val="auto"/>
              </w:rPr>
              <w:t>90%</w:t>
            </w:r>
          </w:p>
        </w:tc>
        <w:tc>
          <w:tcPr>
            <w:tcW w:w="1560" w:type="dxa"/>
            <w:vAlign w:val="bottom"/>
            <w:shd w:val="clear" w:color="auto" w:fill="E8EDF4"/>
          </w:tcPr>
          <w:p>
            <w:pPr>
              <w:jc w:val="right"/>
              <w:ind w:right="119"/>
              <w:spacing w:after="0"/>
              <w:rPr>
                <w:sz w:val="20"/>
                <w:szCs w:val="20"/>
                <w:color w:val="auto"/>
              </w:rPr>
            </w:pPr>
            <w:r>
              <w:rPr>
                <w:rFonts w:ascii="Arial" w:cs="Arial" w:eastAsia="Arial" w:hAnsi="Arial"/>
                <w:sz w:val="18"/>
                <w:szCs w:val="18"/>
                <w:color w:val="auto"/>
              </w:rPr>
              <w:t>80%</w:t>
            </w:r>
          </w:p>
        </w:tc>
        <w:tc>
          <w:tcPr>
            <w:tcW w:w="1020" w:type="dxa"/>
            <w:vAlign w:val="bottom"/>
            <w:shd w:val="clear" w:color="auto" w:fill="E8EDF4"/>
          </w:tcPr>
          <w:p>
            <w:pPr>
              <w:jc w:val="right"/>
              <w:ind w:right="15"/>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0"/>
        </w:trPr>
        <w:tc>
          <w:tcPr>
            <w:tcW w:w="2500" w:type="dxa"/>
            <w:vAlign w:val="bottom"/>
            <w:shd w:val="clear" w:color="auto" w:fill="E8EDF4"/>
          </w:tcPr>
          <w:p>
            <w:pPr>
              <w:ind w:left="160"/>
              <w:spacing w:after="0" w:line="201" w:lineRule="exact"/>
              <w:rPr>
                <w:sz w:val="20"/>
                <w:szCs w:val="20"/>
                <w:color w:val="auto"/>
              </w:rPr>
            </w:pPr>
            <w:r>
              <w:rPr>
                <w:rFonts w:ascii="Arial" w:cs="Arial" w:eastAsia="Arial" w:hAnsi="Arial"/>
                <w:sz w:val="18"/>
                <w:szCs w:val="18"/>
                <w:color w:val="auto"/>
              </w:rPr>
              <w:t>Senior Vice President,</w:t>
            </w:r>
          </w:p>
        </w:tc>
        <w:tc>
          <w:tcPr>
            <w:tcW w:w="1400" w:type="dxa"/>
            <w:vAlign w:val="bottom"/>
            <w:shd w:val="clear" w:color="auto" w:fill="E8EDF4"/>
          </w:tcPr>
          <w:p>
            <w:pPr>
              <w:spacing w:after="0"/>
              <w:rPr>
                <w:sz w:val="17"/>
                <w:szCs w:val="17"/>
                <w:color w:val="auto"/>
              </w:rPr>
            </w:pPr>
          </w:p>
        </w:tc>
        <w:tc>
          <w:tcPr>
            <w:tcW w:w="1620" w:type="dxa"/>
            <w:vAlign w:val="bottom"/>
            <w:shd w:val="clear" w:color="auto" w:fill="E8EDF4"/>
          </w:tcPr>
          <w:p>
            <w:pPr>
              <w:spacing w:after="0"/>
              <w:rPr>
                <w:sz w:val="17"/>
                <w:szCs w:val="17"/>
                <w:color w:val="auto"/>
              </w:rPr>
            </w:pPr>
          </w:p>
        </w:tc>
        <w:tc>
          <w:tcPr>
            <w:tcW w:w="118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560" w:type="dxa"/>
            <w:vAlign w:val="bottom"/>
            <w:shd w:val="clear" w:color="auto" w:fill="E8EDF4"/>
          </w:tcPr>
          <w:p>
            <w:pPr>
              <w:spacing w:after="0"/>
              <w:rPr>
                <w:sz w:val="17"/>
                <w:szCs w:val="17"/>
                <w:color w:val="auto"/>
              </w:rPr>
            </w:pPr>
          </w:p>
        </w:tc>
        <w:tc>
          <w:tcPr>
            <w:tcW w:w="10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shd w:val="clear" w:color="auto" w:fill="E8EDF4"/>
          </w:tcPr>
          <w:p>
            <w:pPr>
              <w:ind w:left="160"/>
              <w:spacing w:after="0" w:line="201" w:lineRule="exact"/>
              <w:rPr>
                <w:sz w:val="20"/>
                <w:szCs w:val="20"/>
                <w:color w:val="auto"/>
              </w:rPr>
            </w:pPr>
            <w:r>
              <w:rPr>
                <w:rFonts w:ascii="Arial" w:cs="Arial" w:eastAsia="Arial" w:hAnsi="Arial"/>
                <w:sz w:val="18"/>
                <w:szCs w:val="18"/>
                <w:color w:val="auto"/>
              </w:rPr>
              <w:t>Worldwide Sales &amp; Digital</w:t>
            </w:r>
          </w:p>
        </w:tc>
        <w:tc>
          <w:tcPr>
            <w:tcW w:w="1400" w:type="dxa"/>
            <w:vAlign w:val="bottom"/>
            <w:shd w:val="clear" w:color="auto" w:fill="E8EDF4"/>
          </w:tcPr>
          <w:p>
            <w:pPr>
              <w:spacing w:after="0"/>
              <w:rPr>
                <w:sz w:val="17"/>
                <w:szCs w:val="17"/>
                <w:color w:val="auto"/>
              </w:rPr>
            </w:pPr>
          </w:p>
        </w:tc>
        <w:tc>
          <w:tcPr>
            <w:tcW w:w="1620" w:type="dxa"/>
            <w:vAlign w:val="bottom"/>
            <w:shd w:val="clear" w:color="auto" w:fill="E8EDF4"/>
          </w:tcPr>
          <w:p>
            <w:pPr>
              <w:spacing w:after="0"/>
              <w:rPr>
                <w:sz w:val="17"/>
                <w:szCs w:val="17"/>
                <w:color w:val="auto"/>
              </w:rPr>
            </w:pPr>
          </w:p>
        </w:tc>
        <w:tc>
          <w:tcPr>
            <w:tcW w:w="118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560" w:type="dxa"/>
            <w:vAlign w:val="bottom"/>
            <w:shd w:val="clear" w:color="auto" w:fill="E8EDF4"/>
          </w:tcPr>
          <w:p>
            <w:pPr>
              <w:spacing w:after="0"/>
              <w:rPr>
                <w:sz w:val="17"/>
                <w:szCs w:val="17"/>
                <w:color w:val="auto"/>
              </w:rPr>
            </w:pPr>
          </w:p>
        </w:tc>
        <w:tc>
          <w:tcPr>
            <w:tcW w:w="10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E8EDF4"/>
          </w:tcPr>
          <w:p>
            <w:pPr>
              <w:ind w:left="160"/>
              <w:spacing w:after="0"/>
              <w:rPr>
                <w:sz w:val="20"/>
                <w:szCs w:val="20"/>
                <w:color w:val="auto"/>
              </w:rPr>
            </w:pPr>
            <w:r>
              <w:rPr>
                <w:rFonts w:ascii="Arial" w:cs="Arial" w:eastAsia="Arial" w:hAnsi="Arial"/>
                <w:sz w:val="18"/>
                <w:szCs w:val="18"/>
                <w:color w:val="auto"/>
              </w:rPr>
              <w:t>Marketing</w:t>
            </w:r>
          </w:p>
        </w:tc>
        <w:tc>
          <w:tcPr>
            <w:tcW w:w="1400" w:type="dxa"/>
            <w:vAlign w:val="bottom"/>
            <w:shd w:val="clear" w:color="auto" w:fill="E8EDF4"/>
          </w:tcPr>
          <w:p>
            <w:pPr>
              <w:spacing w:after="0"/>
              <w:rPr>
                <w:sz w:val="21"/>
                <w:szCs w:val="21"/>
                <w:color w:val="auto"/>
              </w:rPr>
            </w:pPr>
          </w:p>
        </w:tc>
        <w:tc>
          <w:tcPr>
            <w:tcW w:w="1620" w:type="dxa"/>
            <w:vAlign w:val="bottom"/>
            <w:shd w:val="clear" w:color="auto" w:fill="E8EDF4"/>
          </w:tcPr>
          <w:p>
            <w:pPr>
              <w:spacing w:after="0"/>
              <w:rPr>
                <w:sz w:val="21"/>
                <w:szCs w:val="21"/>
                <w:color w:val="auto"/>
              </w:rPr>
            </w:pPr>
          </w:p>
        </w:tc>
        <w:tc>
          <w:tcPr>
            <w:tcW w:w="1180" w:type="dxa"/>
            <w:vAlign w:val="bottom"/>
            <w:shd w:val="clear" w:color="auto" w:fill="E8EDF4"/>
          </w:tcPr>
          <w:p>
            <w:pPr>
              <w:spacing w:after="0"/>
              <w:rPr>
                <w:sz w:val="21"/>
                <w:szCs w:val="21"/>
                <w:color w:val="auto"/>
              </w:rPr>
            </w:pPr>
          </w:p>
        </w:tc>
        <w:tc>
          <w:tcPr>
            <w:tcW w:w="1600" w:type="dxa"/>
            <w:vAlign w:val="bottom"/>
            <w:shd w:val="clear" w:color="auto" w:fill="E8EDF4"/>
          </w:tcPr>
          <w:p>
            <w:pPr>
              <w:spacing w:after="0"/>
              <w:rPr>
                <w:sz w:val="21"/>
                <w:szCs w:val="21"/>
                <w:color w:val="auto"/>
              </w:rPr>
            </w:pPr>
          </w:p>
        </w:tc>
        <w:tc>
          <w:tcPr>
            <w:tcW w:w="1560" w:type="dxa"/>
            <w:vAlign w:val="bottom"/>
            <w:shd w:val="clear" w:color="auto" w:fill="E8EDF4"/>
          </w:tcPr>
          <w:p>
            <w:pPr>
              <w:spacing w:after="0"/>
              <w:rPr>
                <w:sz w:val="21"/>
                <w:szCs w:val="21"/>
                <w:color w:val="auto"/>
              </w:rPr>
            </w:pPr>
          </w:p>
        </w:tc>
        <w:tc>
          <w:tcPr>
            <w:tcW w:w="1020" w:type="dxa"/>
            <w:vAlign w:val="bottom"/>
            <w:shd w:val="clear" w:color="auto" w:fill="E8EDF4"/>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500" w:type="dxa"/>
            <w:vAlign w:val="bottom"/>
          </w:tcPr>
          <w:p>
            <w:pPr>
              <w:ind w:left="40"/>
              <w:spacing w:after="0"/>
              <w:rPr>
                <w:sz w:val="20"/>
                <w:szCs w:val="20"/>
                <w:color w:val="auto"/>
              </w:rPr>
            </w:pPr>
            <w:r>
              <w:rPr>
                <w:rFonts w:ascii="Arial" w:cs="Arial" w:eastAsia="Arial" w:hAnsi="Arial"/>
                <w:sz w:val="18"/>
                <w:szCs w:val="18"/>
                <w:color w:val="auto"/>
              </w:rPr>
              <w:t>John Hassett</w:t>
            </w:r>
          </w:p>
        </w:tc>
        <w:tc>
          <w:tcPr>
            <w:tcW w:w="1400" w:type="dxa"/>
            <w:vAlign w:val="bottom"/>
          </w:tcPr>
          <w:p>
            <w:pPr>
              <w:ind w:left="440"/>
              <w:spacing w:after="0"/>
              <w:rPr>
                <w:sz w:val="20"/>
                <w:szCs w:val="20"/>
                <w:color w:val="auto"/>
              </w:rPr>
            </w:pPr>
            <w:r>
              <w:rPr>
                <w:rFonts w:ascii="Arial" w:cs="Arial" w:eastAsia="Arial" w:hAnsi="Arial"/>
                <w:sz w:val="18"/>
                <w:szCs w:val="18"/>
                <w:color w:val="auto"/>
              </w:rPr>
              <w:t>$465,000</w:t>
            </w:r>
          </w:p>
        </w:tc>
        <w:tc>
          <w:tcPr>
            <w:tcW w:w="1620" w:type="dxa"/>
            <w:vAlign w:val="bottom"/>
          </w:tcPr>
          <w:p>
            <w:pPr>
              <w:jc w:val="right"/>
              <w:ind w:right="135"/>
              <w:spacing w:after="0"/>
              <w:rPr>
                <w:sz w:val="20"/>
                <w:szCs w:val="20"/>
                <w:color w:val="auto"/>
              </w:rPr>
            </w:pPr>
            <w:r>
              <w:rPr>
                <w:rFonts w:ascii="Arial" w:cs="Arial" w:eastAsia="Arial" w:hAnsi="Arial"/>
                <w:sz w:val="18"/>
                <w:szCs w:val="18"/>
                <w:color w:val="auto"/>
              </w:rPr>
              <w:t>$440,000</w:t>
            </w: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5.7%</w:t>
            </w:r>
          </w:p>
        </w:tc>
        <w:tc>
          <w:tcPr>
            <w:tcW w:w="1600" w:type="dxa"/>
            <w:vAlign w:val="bottom"/>
          </w:tcPr>
          <w:p>
            <w:pPr>
              <w:jc w:val="right"/>
              <w:ind w:right="139"/>
              <w:spacing w:after="0"/>
              <w:rPr>
                <w:sz w:val="20"/>
                <w:szCs w:val="20"/>
                <w:color w:val="auto"/>
              </w:rPr>
            </w:pPr>
            <w:r>
              <w:rPr>
                <w:rFonts w:ascii="Arial" w:cs="Arial" w:eastAsia="Arial" w:hAnsi="Arial"/>
                <w:sz w:val="18"/>
                <w:szCs w:val="18"/>
                <w:color w:val="auto"/>
              </w:rPr>
              <w:t>100%</w:t>
            </w:r>
          </w:p>
        </w:tc>
        <w:tc>
          <w:tcPr>
            <w:tcW w:w="1560" w:type="dxa"/>
            <w:vAlign w:val="bottom"/>
          </w:tcPr>
          <w:p>
            <w:pPr>
              <w:jc w:val="right"/>
              <w:ind w:right="119"/>
              <w:spacing w:after="0"/>
              <w:rPr>
                <w:sz w:val="20"/>
                <w:szCs w:val="20"/>
                <w:color w:val="auto"/>
              </w:rPr>
            </w:pPr>
            <w:r>
              <w:rPr>
                <w:rFonts w:ascii="Arial" w:cs="Arial" w:eastAsia="Arial" w:hAnsi="Arial"/>
                <w:sz w:val="18"/>
                <w:szCs w:val="18"/>
                <w:color w:val="auto"/>
              </w:rPr>
              <w:t>80%</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0"/>
        </w:trPr>
        <w:tc>
          <w:tcPr>
            <w:tcW w:w="2500" w:type="dxa"/>
            <w:vAlign w:val="bottom"/>
          </w:tcPr>
          <w:p>
            <w:pPr>
              <w:ind w:left="160"/>
              <w:spacing w:after="0" w:line="201" w:lineRule="exact"/>
              <w:rPr>
                <w:sz w:val="20"/>
                <w:szCs w:val="20"/>
                <w:color w:val="auto"/>
              </w:rPr>
            </w:pPr>
            <w:r>
              <w:rPr>
                <w:rFonts w:ascii="Arial" w:cs="Arial" w:eastAsia="Arial" w:hAnsi="Arial"/>
                <w:sz w:val="18"/>
                <w:szCs w:val="18"/>
                <w:color w:val="auto"/>
                <w:w w:val="98"/>
              </w:rPr>
              <w:t>Senior Vice President, Global</w:t>
            </w:r>
          </w:p>
        </w:tc>
        <w:tc>
          <w:tcPr>
            <w:tcW w:w="1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500" w:type="dxa"/>
            <w:vAlign w:val="bottom"/>
          </w:tcPr>
          <w:p>
            <w:pPr>
              <w:ind w:left="160"/>
              <w:spacing w:after="0"/>
              <w:rPr>
                <w:sz w:val="20"/>
                <w:szCs w:val="20"/>
                <w:color w:val="auto"/>
              </w:rPr>
            </w:pPr>
            <w:r>
              <w:rPr>
                <w:rFonts w:ascii="Arial" w:cs="Arial" w:eastAsia="Arial" w:hAnsi="Arial"/>
                <w:sz w:val="18"/>
                <w:szCs w:val="18"/>
                <w:color w:val="auto"/>
              </w:rPr>
              <w:t>Operations and Technology</w:t>
            </w:r>
          </w:p>
        </w:tc>
        <w:tc>
          <w:tcPr>
            <w:tcW w:w="1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500" w:type="dxa"/>
            <w:vAlign w:val="bottom"/>
            <w:shd w:val="clear" w:color="auto" w:fill="E8EDF4"/>
          </w:tcPr>
          <w:p>
            <w:pPr>
              <w:ind w:left="40"/>
              <w:spacing w:after="0"/>
              <w:rPr>
                <w:sz w:val="20"/>
                <w:szCs w:val="20"/>
                <w:color w:val="auto"/>
              </w:rPr>
            </w:pPr>
            <w:r>
              <w:rPr>
                <w:rFonts w:ascii="Arial" w:cs="Arial" w:eastAsia="Arial" w:hAnsi="Arial"/>
                <w:sz w:val="18"/>
                <w:szCs w:val="18"/>
                <w:color w:val="auto"/>
              </w:rPr>
              <w:t>Steve Pietkiewicz</w:t>
            </w:r>
          </w:p>
        </w:tc>
        <w:tc>
          <w:tcPr>
            <w:tcW w:w="1400" w:type="dxa"/>
            <w:vAlign w:val="bottom"/>
            <w:shd w:val="clear" w:color="auto" w:fill="E8EDF4"/>
          </w:tcPr>
          <w:p>
            <w:pPr>
              <w:ind w:left="440"/>
              <w:spacing w:after="0"/>
              <w:rPr>
                <w:sz w:val="20"/>
                <w:szCs w:val="20"/>
                <w:color w:val="auto"/>
              </w:rPr>
            </w:pPr>
            <w:r>
              <w:rPr>
                <w:rFonts w:ascii="Arial" w:cs="Arial" w:eastAsia="Arial" w:hAnsi="Arial"/>
                <w:sz w:val="18"/>
                <w:szCs w:val="18"/>
                <w:color w:val="auto"/>
              </w:rPr>
              <w:t>$400,000</w:t>
            </w:r>
          </w:p>
        </w:tc>
        <w:tc>
          <w:tcPr>
            <w:tcW w:w="1620" w:type="dxa"/>
            <w:vAlign w:val="bottom"/>
            <w:shd w:val="clear" w:color="auto" w:fill="E8EDF4"/>
          </w:tcPr>
          <w:p>
            <w:pPr>
              <w:jc w:val="right"/>
              <w:ind w:right="135"/>
              <w:spacing w:after="0"/>
              <w:rPr>
                <w:sz w:val="20"/>
                <w:szCs w:val="20"/>
                <w:color w:val="auto"/>
              </w:rPr>
            </w:pPr>
            <w:r>
              <w:rPr>
                <w:rFonts w:ascii="Arial" w:cs="Arial" w:eastAsia="Arial" w:hAnsi="Arial"/>
                <w:sz w:val="18"/>
                <w:szCs w:val="18"/>
                <w:color w:val="auto"/>
              </w:rPr>
              <w:t>$375,000</w:t>
            </w:r>
          </w:p>
        </w:tc>
        <w:tc>
          <w:tcPr>
            <w:tcW w:w="1180" w:type="dxa"/>
            <w:vAlign w:val="bottom"/>
            <w:shd w:val="clear" w:color="auto" w:fill="E8EDF4"/>
          </w:tcPr>
          <w:p>
            <w:pPr>
              <w:jc w:val="right"/>
              <w:ind w:right="135"/>
              <w:spacing w:after="0"/>
              <w:rPr>
                <w:sz w:val="20"/>
                <w:szCs w:val="20"/>
                <w:color w:val="auto"/>
              </w:rPr>
            </w:pPr>
            <w:r>
              <w:rPr>
                <w:rFonts w:ascii="Arial" w:cs="Arial" w:eastAsia="Arial" w:hAnsi="Arial"/>
                <w:sz w:val="18"/>
                <w:szCs w:val="18"/>
                <w:color w:val="auto"/>
              </w:rPr>
              <w:t>6.7%</w:t>
            </w:r>
          </w:p>
        </w:tc>
        <w:tc>
          <w:tcPr>
            <w:tcW w:w="1600" w:type="dxa"/>
            <w:vAlign w:val="bottom"/>
            <w:shd w:val="clear" w:color="auto" w:fill="E8EDF4"/>
          </w:tcPr>
          <w:p>
            <w:pPr>
              <w:jc w:val="right"/>
              <w:ind w:right="139"/>
              <w:spacing w:after="0"/>
              <w:rPr>
                <w:sz w:val="20"/>
                <w:szCs w:val="20"/>
                <w:color w:val="auto"/>
              </w:rPr>
            </w:pPr>
            <w:r>
              <w:rPr>
                <w:rFonts w:ascii="Arial" w:cs="Arial" w:eastAsia="Arial" w:hAnsi="Arial"/>
                <w:sz w:val="18"/>
                <w:szCs w:val="18"/>
                <w:color w:val="auto"/>
              </w:rPr>
              <w:t>90%</w:t>
            </w:r>
          </w:p>
        </w:tc>
        <w:tc>
          <w:tcPr>
            <w:tcW w:w="1560" w:type="dxa"/>
            <w:vAlign w:val="bottom"/>
            <w:shd w:val="clear" w:color="auto" w:fill="E8EDF4"/>
          </w:tcPr>
          <w:p>
            <w:pPr>
              <w:jc w:val="right"/>
              <w:ind w:right="119"/>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E8EDF4"/>
          </w:tcPr>
          <w:p>
            <w:pPr>
              <w:jc w:val="right"/>
              <w:ind w:right="1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0"/>
        </w:trPr>
        <w:tc>
          <w:tcPr>
            <w:tcW w:w="2500" w:type="dxa"/>
            <w:vAlign w:val="bottom"/>
            <w:shd w:val="clear" w:color="auto" w:fill="E8EDF4"/>
          </w:tcPr>
          <w:p>
            <w:pPr>
              <w:ind w:left="160"/>
              <w:spacing w:after="0" w:line="201" w:lineRule="exact"/>
              <w:rPr>
                <w:sz w:val="20"/>
                <w:szCs w:val="20"/>
                <w:color w:val="auto"/>
              </w:rPr>
            </w:pPr>
            <w:r>
              <w:rPr>
                <w:rFonts w:ascii="Arial" w:cs="Arial" w:eastAsia="Arial" w:hAnsi="Arial"/>
                <w:sz w:val="18"/>
                <w:szCs w:val="18"/>
                <w:color w:val="auto"/>
                <w:w w:val="99"/>
              </w:rPr>
              <w:t>Senior Vice President, Power</w:t>
            </w:r>
          </w:p>
        </w:tc>
        <w:tc>
          <w:tcPr>
            <w:tcW w:w="1400" w:type="dxa"/>
            <w:vAlign w:val="bottom"/>
            <w:shd w:val="clear" w:color="auto" w:fill="E8EDF4"/>
          </w:tcPr>
          <w:p>
            <w:pPr>
              <w:spacing w:after="0"/>
              <w:rPr>
                <w:sz w:val="17"/>
                <w:szCs w:val="17"/>
                <w:color w:val="auto"/>
              </w:rPr>
            </w:pPr>
          </w:p>
        </w:tc>
        <w:tc>
          <w:tcPr>
            <w:tcW w:w="1620" w:type="dxa"/>
            <w:vAlign w:val="bottom"/>
            <w:shd w:val="clear" w:color="auto" w:fill="E8EDF4"/>
          </w:tcPr>
          <w:p>
            <w:pPr>
              <w:spacing w:after="0"/>
              <w:rPr>
                <w:sz w:val="17"/>
                <w:szCs w:val="17"/>
                <w:color w:val="auto"/>
              </w:rPr>
            </w:pPr>
          </w:p>
        </w:tc>
        <w:tc>
          <w:tcPr>
            <w:tcW w:w="1180" w:type="dxa"/>
            <w:vAlign w:val="bottom"/>
            <w:shd w:val="clear" w:color="auto" w:fill="E8EDF4"/>
          </w:tcPr>
          <w:p>
            <w:pPr>
              <w:spacing w:after="0"/>
              <w:rPr>
                <w:sz w:val="17"/>
                <w:szCs w:val="17"/>
                <w:color w:val="auto"/>
              </w:rPr>
            </w:pPr>
          </w:p>
        </w:tc>
        <w:tc>
          <w:tcPr>
            <w:tcW w:w="1600" w:type="dxa"/>
            <w:vAlign w:val="bottom"/>
            <w:shd w:val="clear" w:color="auto" w:fill="E8EDF4"/>
          </w:tcPr>
          <w:p>
            <w:pPr>
              <w:spacing w:after="0"/>
              <w:rPr>
                <w:sz w:val="17"/>
                <w:szCs w:val="17"/>
                <w:color w:val="auto"/>
              </w:rPr>
            </w:pPr>
          </w:p>
        </w:tc>
        <w:tc>
          <w:tcPr>
            <w:tcW w:w="1560" w:type="dxa"/>
            <w:vAlign w:val="bottom"/>
            <w:shd w:val="clear" w:color="auto" w:fill="E8EDF4"/>
          </w:tcPr>
          <w:p>
            <w:pPr>
              <w:spacing w:after="0"/>
              <w:rPr>
                <w:sz w:val="17"/>
                <w:szCs w:val="17"/>
                <w:color w:val="auto"/>
              </w:rPr>
            </w:pPr>
          </w:p>
        </w:tc>
        <w:tc>
          <w:tcPr>
            <w:tcW w:w="1020" w:type="dxa"/>
            <w:vAlign w:val="bottom"/>
            <w:shd w:val="clear" w:color="auto" w:fill="E8EDF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E8EDF4"/>
          </w:tcPr>
          <w:p>
            <w:pPr>
              <w:ind w:left="160"/>
              <w:spacing w:after="0"/>
              <w:rPr>
                <w:sz w:val="20"/>
                <w:szCs w:val="20"/>
                <w:color w:val="auto"/>
              </w:rPr>
            </w:pPr>
            <w:r>
              <w:rPr>
                <w:rFonts w:ascii="Arial" w:cs="Arial" w:eastAsia="Arial" w:hAnsi="Arial"/>
                <w:sz w:val="18"/>
                <w:szCs w:val="18"/>
                <w:color w:val="auto"/>
              </w:rPr>
              <w:t>Products</w:t>
            </w:r>
          </w:p>
        </w:tc>
        <w:tc>
          <w:tcPr>
            <w:tcW w:w="1400" w:type="dxa"/>
            <w:vAlign w:val="bottom"/>
            <w:shd w:val="clear" w:color="auto" w:fill="E8EDF4"/>
          </w:tcPr>
          <w:p>
            <w:pPr>
              <w:spacing w:after="0"/>
              <w:rPr>
                <w:sz w:val="21"/>
                <w:szCs w:val="21"/>
                <w:color w:val="auto"/>
              </w:rPr>
            </w:pPr>
          </w:p>
        </w:tc>
        <w:tc>
          <w:tcPr>
            <w:tcW w:w="1620" w:type="dxa"/>
            <w:vAlign w:val="bottom"/>
            <w:shd w:val="clear" w:color="auto" w:fill="E8EDF4"/>
          </w:tcPr>
          <w:p>
            <w:pPr>
              <w:spacing w:after="0"/>
              <w:rPr>
                <w:sz w:val="21"/>
                <w:szCs w:val="21"/>
                <w:color w:val="auto"/>
              </w:rPr>
            </w:pPr>
          </w:p>
        </w:tc>
        <w:tc>
          <w:tcPr>
            <w:tcW w:w="1180" w:type="dxa"/>
            <w:vAlign w:val="bottom"/>
            <w:shd w:val="clear" w:color="auto" w:fill="E8EDF4"/>
          </w:tcPr>
          <w:p>
            <w:pPr>
              <w:spacing w:after="0"/>
              <w:rPr>
                <w:sz w:val="21"/>
                <w:szCs w:val="21"/>
                <w:color w:val="auto"/>
              </w:rPr>
            </w:pPr>
          </w:p>
        </w:tc>
        <w:tc>
          <w:tcPr>
            <w:tcW w:w="1600" w:type="dxa"/>
            <w:vAlign w:val="bottom"/>
            <w:shd w:val="clear" w:color="auto" w:fill="E8EDF4"/>
          </w:tcPr>
          <w:p>
            <w:pPr>
              <w:spacing w:after="0"/>
              <w:rPr>
                <w:sz w:val="21"/>
                <w:szCs w:val="21"/>
                <w:color w:val="auto"/>
              </w:rPr>
            </w:pPr>
          </w:p>
        </w:tc>
        <w:tc>
          <w:tcPr>
            <w:tcW w:w="1560" w:type="dxa"/>
            <w:vAlign w:val="bottom"/>
            <w:shd w:val="clear" w:color="auto" w:fill="E8EDF4"/>
          </w:tcPr>
          <w:p>
            <w:pPr>
              <w:spacing w:after="0"/>
              <w:rPr>
                <w:sz w:val="21"/>
                <w:szCs w:val="21"/>
                <w:color w:val="auto"/>
              </w:rPr>
            </w:pPr>
          </w:p>
        </w:tc>
        <w:tc>
          <w:tcPr>
            <w:tcW w:w="1020" w:type="dxa"/>
            <w:vAlign w:val="bottom"/>
            <w:shd w:val="clear" w:color="auto" w:fill="E8EDF4"/>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right="60" w:firstLine="435"/>
        <w:spacing w:after="0" w:line="237" w:lineRule="auto"/>
        <w:rPr>
          <w:sz w:val="20"/>
          <w:szCs w:val="20"/>
          <w:color w:val="auto"/>
        </w:rPr>
      </w:pPr>
      <w:r>
        <w:rPr>
          <w:rFonts w:ascii="Arial" w:cs="Arial" w:eastAsia="Arial" w:hAnsi="Arial"/>
          <w:sz w:val="18"/>
          <w:szCs w:val="18"/>
          <w:color w:val="auto"/>
        </w:rPr>
        <w:t>In March 2018, effective May 2018, the Compensation Committee increased the base salaries of Messrs. Cotter, Hassett and Pietkiewicz and the individual target bonus for Messrs. Cotter and Hassett after consideration of factors including their performance, tenure, job responsibilities and market data, including benchmark information from our peer group. For fiscal 2017 and the first half of fiscal 2018, Mr. Pietkiewicz’s performance incentive compensation was paid in accordance with the contractual commitments made by the Company in connection with the acquisition of Linear Technology for all Linear Technology employees. For the second half of fiscal 2018, the Compensation Committee set Mr. Pietkiewicz’s individual target bonus at 90%. Please refer to “Compensation for Other Named Executive Officers—Compensation for Steve Pietkiewicz, Senior Vice President, Power Products” below for further information on Mr. Pietkiewicz’s fiscal 2018 compensation.</w:t>
      </w:r>
    </w:p>
    <w:p>
      <w:pPr>
        <w:spacing w:after="0" w:line="142" w:lineRule="exact"/>
        <w:rPr>
          <w:sz w:val="20"/>
          <w:szCs w:val="20"/>
          <w:color w:val="auto"/>
        </w:rPr>
      </w:pPr>
    </w:p>
    <w:p>
      <w:pPr>
        <w:ind w:left="660" w:hanging="393"/>
        <w:spacing w:after="0"/>
        <w:tabs>
          <w:tab w:leader="none" w:pos="660" w:val="left"/>
        </w:tabs>
        <w:numPr>
          <w:ilvl w:val="0"/>
          <w:numId w:val="85"/>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Awards</w:t>
      </w:r>
    </w:p>
    <w:p>
      <w:pPr>
        <w:spacing w:after="0" w:line="100" w:lineRule="exact"/>
        <w:rPr>
          <w:sz w:val="20"/>
          <w:szCs w:val="20"/>
          <w:color w:val="auto"/>
        </w:rPr>
      </w:pPr>
    </w:p>
    <w:p>
      <w:pPr>
        <w:ind w:left="260" w:right="420" w:firstLine="435"/>
        <w:spacing w:after="0" w:line="244" w:lineRule="auto"/>
        <w:rPr>
          <w:sz w:val="20"/>
          <w:szCs w:val="20"/>
          <w:color w:val="auto"/>
        </w:rPr>
      </w:pPr>
      <w:r>
        <w:rPr>
          <w:rFonts w:ascii="Arial" w:cs="Arial" w:eastAsia="Arial" w:hAnsi="Arial"/>
          <w:sz w:val="18"/>
          <w:szCs w:val="18"/>
          <w:color w:val="auto"/>
        </w:rPr>
        <w:t>The size of the equity awards approved by our Compensation Committee for our executives reflect the executive’s individual responsibilities and other factors including their performance, tenure and market data, including benchmark information from our peer group. In fiscal 2018, the Compensation Committee authorized grants of equity awards to our NEOs (other than our Chief Executive Officer), as follows:</w:t>
      </w:r>
    </w:p>
    <w:p>
      <w:pPr>
        <w:spacing w:after="0" w:line="20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38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 of Executive</w:t>
            </w:r>
          </w:p>
        </w:tc>
        <w:tc>
          <w:tcPr>
            <w:tcW w:w="2180" w:type="dxa"/>
            <w:vAlign w:val="bottom"/>
            <w:vMerge w:val="restart"/>
            <w:shd w:val="clear" w:color="auto" w:fill="052B82"/>
          </w:tcPr>
          <w:p>
            <w:pPr>
              <w:jc w:val="right"/>
              <w:ind w:right="355"/>
              <w:spacing w:after="0"/>
              <w:rPr>
                <w:sz w:val="20"/>
                <w:szCs w:val="20"/>
                <w:color w:val="auto"/>
              </w:rPr>
            </w:pPr>
            <w:r>
              <w:rPr>
                <w:rFonts w:ascii="Arial" w:cs="Arial" w:eastAsia="Arial" w:hAnsi="Arial"/>
                <w:sz w:val="14"/>
                <w:szCs w:val="14"/>
                <w:b w:val="1"/>
                <w:bCs w:val="1"/>
                <w:color w:val="FFFFFF"/>
              </w:rPr>
              <w:t>Stock Options</w:t>
            </w:r>
          </w:p>
        </w:tc>
        <w:tc>
          <w:tcPr>
            <w:tcW w:w="1640" w:type="dxa"/>
            <w:vAlign w:val="bottom"/>
            <w:shd w:val="clear" w:color="auto" w:fill="052B82"/>
          </w:tcPr>
          <w:p>
            <w:pPr>
              <w:jc w:val="right"/>
              <w:ind w:right="357"/>
              <w:spacing w:after="0"/>
              <w:rPr>
                <w:sz w:val="20"/>
                <w:szCs w:val="20"/>
                <w:color w:val="auto"/>
              </w:rPr>
            </w:pPr>
            <w:r>
              <w:rPr>
                <w:rFonts w:ascii="Arial" w:cs="Arial" w:eastAsia="Arial" w:hAnsi="Arial"/>
                <w:sz w:val="14"/>
                <w:szCs w:val="14"/>
                <w:b w:val="1"/>
                <w:bCs w:val="1"/>
                <w:color w:val="FFFFFF"/>
              </w:rPr>
              <w:t>Time-based</w:t>
            </w:r>
          </w:p>
        </w:tc>
        <w:tc>
          <w:tcPr>
            <w:tcW w:w="180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Performance-based</w:t>
            </w:r>
          </w:p>
        </w:tc>
        <w:tc>
          <w:tcPr>
            <w:tcW w:w="0" w:type="dxa"/>
            <w:vAlign w:val="bottom"/>
          </w:tcPr>
          <w:p>
            <w:pPr>
              <w:spacing w:after="0"/>
              <w:rPr>
                <w:sz w:val="1"/>
                <w:szCs w:val="1"/>
                <w:color w:val="auto"/>
              </w:rPr>
            </w:pPr>
          </w:p>
        </w:tc>
      </w:tr>
      <w:tr>
        <w:trPr>
          <w:trHeight w:val="202"/>
        </w:trPr>
        <w:tc>
          <w:tcPr>
            <w:tcW w:w="4380" w:type="dxa"/>
            <w:vAlign w:val="bottom"/>
            <w:vMerge w:val="continue"/>
            <w:shd w:val="clear" w:color="auto" w:fill="052B82"/>
          </w:tcPr>
          <w:p>
            <w:pPr>
              <w:spacing w:after="0"/>
              <w:rPr>
                <w:sz w:val="17"/>
                <w:szCs w:val="17"/>
                <w:color w:val="auto"/>
              </w:rPr>
            </w:pPr>
          </w:p>
        </w:tc>
        <w:tc>
          <w:tcPr>
            <w:tcW w:w="2180" w:type="dxa"/>
            <w:vAlign w:val="bottom"/>
            <w:vMerge w:val="continue"/>
            <w:shd w:val="clear" w:color="auto" w:fill="052B82"/>
          </w:tcPr>
          <w:p>
            <w:pPr>
              <w:spacing w:after="0"/>
              <w:rPr>
                <w:sz w:val="17"/>
                <w:szCs w:val="17"/>
                <w:color w:val="auto"/>
              </w:rPr>
            </w:pPr>
          </w:p>
        </w:tc>
        <w:tc>
          <w:tcPr>
            <w:tcW w:w="1640" w:type="dxa"/>
            <w:vAlign w:val="bottom"/>
            <w:shd w:val="clear" w:color="auto" w:fill="052B82"/>
          </w:tcPr>
          <w:p>
            <w:pPr>
              <w:jc w:val="right"/>
              <w:ind w:right="557"/>
              <w:spacing w:after="0"/>
              <w:rPr>
                <w:sz w:val="20"/>
                <w:szCs w:val="20"/>
                <w:color w:val="auto"/>
              </w:rPr>
            </w:pPr>
            <w:r>
              <w:rPr>
                <w:rFonts w:ascii="Arial" w:cs="Arial" w:eastAsia="Arial" w:hAnsi="Arial"/>
                <w:sz w:val="14"/>
                <w:szCs w:val="14"/>
                <w:b w:val="1"/>
                <w:bCs w:val="1"/>
                <w:color w:val="FFFFFF"/>
              </w:rPr>
              <w:t>RSUs</w:t>
            </w:r>
          </w:p>
        </w:tc>
        <w:tc>
          <w:tcPr>
            <w:tcW w:w="1800" w:type="dxa"/>
            <w:vAlign w:val="bottom"/>
            <w:shd w:val="clear" w:color="auto" w:fill="052B82"/>
          </w:tcPr>
          <w:p>
            <w:pPr>
              <w:jc w:val="right"/>
              <w:ind w:right="457"/>
              <w:spacing w:after="0"/>
              <w:rPr>
                <w:sz w:val="20"/>
                <w:szCs w:val="20"/>
                <w:color w:val="auto"/>
              </w:rPr>
            </w:pPr>
            <w:r>
              <w:rPr>
                <w:rFonts w:ascii="Arial" w:cs="Arial" w:eastAsia="Arial" w:hAnsi="Arial"/>
                <w:sz w:val="14"/>
                <w:szCs w:val="14"/>
                <w:b w:val="1"/>
                <w:bCs w:val="1"/>
                <w:color w:val="FFFFFF"/>
              </w:rPr>
              <w:t>RSUs</w:t>
            </w:r>
          </w:p>
        </w:tc>
        <w:tc>
          <w:tcPr>
            <w:tcW w:w="0" w:type="dxa"/>
            <w:vAlign w:val="bottom"/>
          </w:tcPr>
          <w:p>
            <w:pPr>
              <w:spacing w:after="0"/>
              <w:rPr>
                <w:sz w:val="1"/>
                <w:szCs w:val="1"/>
                <w:color w:val="auto"/>
              </w:rPr>
            </w:pPr>
          </w:p>
        </w:tc>
      </w:tr>
      <w:tr>
        <w:trPr>
          <w:trHeight w:val="227"/>
        </w:trPr>
        <w:tc>
          <w:tcPr>
            <w:tcW w:w="4380" w:type="dxa"/>
            <w:vAlign w:val="bottom"/>
          </w:tcPr>
          <w:p>
            <w:pPr>
              <w:ind w:left="40"/>
              <w:spacing w:after="0"/>
              <w:rPr>
                <w:sz w:val="20"/>
                <w:szCs w:val="20"/>
                <w:color w:val="auto"/>
              </w:rPr>
            </w:pPr>
            <w:r>
              <w:rPr>
                <w:rFonts w:ascii="Arial" w:cs="Arial" w:eastAsia="Arial" w:hAnsi="Arial"/>
                <w:sz w:val="18"/>
                <w:szCs w:val="18"/>
                <w:color w:val="auto"/>
              </w:rPr>
              <w:t>Prashanth Mahendra-Rajah</w:t>
            </w:r>
          </w:p>
        </w:tc>
        <w:tc>
          <w:tcPr>
            <w:tcW w:w="2180" w:type="dxa"/>
            <w:vAlign w:val="bottom"/>
          </w:tcPr>
          <w:p>
            <w:pPr>
              <w:jc w:val="right"/>
              <w:ind w:right="355"/>
              <w:spacing w:after="0"/>
              <w:rPr>
                <w:sz w:val="20"/>
                <w:szCs w:val="20"/>
                <w:color w:val="auto"/>
              </w:rPr>
            </w:pPr>
            <w:r>
              <w:rPr>
                <w:rFonts w:ascii="Arial" w:cs="Arial" w:eastAsia="Arial" w:hAnsi="Arial"/>
                <w:sz w:val="18"/>
                <w:szCs w:val="18"/>
                <w:color w:val="auto"/>
              </w:rPr>
              <w:t>34,779</w:t>
            </w:r>
          </w:p>
        </w:tc>
        <w:tc>
          <w:tcPr>
            <w:tcW w:w="1640" w:type="dxa"/>
            <w:vAlign w:val="bottom"/>
          </w:tcPr>
          <w:p>
            <w:pPr>
              <w:jc w:val="right"/>
              <w:ind w:right="337"/>
              <w:spacing w:after="0"/>
              <w:rPr>
                <w:sz w:val="20"/>
                <w:szCs w:val="20"/>
                <w:color w:val="auto"/>
              </w:rPr>
            </w:pPr>
            <w:r>
              <w:rPr>
                <w:rFonts w:ascii="Arial" w:cs="Arial" w:eastAsia="Arial" w:hAnsi="Arial"/>
                <w:sz w:val="18"/>
                <w:szCs w:val="18"/>
                <w:color w:val="auto"/>
              </w:rPr>
              <w:t>8,287</w:t>
            </w:r>
          </w:p>
        </w:tc>
        <w:tc>
          <w:tcPr>
            <w:tcW w:w="1800" w:type="dxa"/>
            <w:vAlign w:val="bottom"/>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334"/>
        </w:trPr>
        <w:tc>
          <w:tcPr>
            <w:tcW w:w="4380" w:type="dxa"/>
            <w:vAlign w:val="bottom"/>
            <w:shd w:val="clear" w:color="auto" w:fill="E8EDF4"/>
          </w:tcPr>
          <w:p>
            <w:pPr>
              <w:ind w:left="40"/>
              <w:spacing w:after="0"/>
              <w:rPr>
                <w:sz w:val="20"/>
                <w:szCs w:val="20"/>
                <w:color w:val="auto"/>
              </w:rPr>
            </w:pPr>
            <w:r>
              <w:rPr>
                <w:rFonts w:ascii="Arial" w:cs="Arial" w:eastAsia="Arial" w:hAnsi="Arial"/>
                <w:sz w:val="18"/>
                <w:szCs w:val="18"/>
                <w:color w:val="auto"/>
              </w:rPr>
              <w:t>Martin Cotter</w:t>
            </w:r>
          </w:p>
        </w:tc>
        <w:tc>
          <w:tcPr>
            <w:tcW w:w="2180" w:type="dxa"/>
            <w:vAlign w:val="bottom"/>
            <w:shd w:val="clear" w:color="auto" w:fill="E8EDF4"/>
          </w:tcPr>
          <w:p>
            <w:pPr>
              <w:jc w:val="right"/>
              <w:ind w:right="355"/>
              <w:spacing w:after="0"/>
              <w:rPr>
                <w:sz w:val="20"/>
                <w:szCs w:val="20"/>
                <w:color w:val="auto"/>
              </w:rPr>
            </w:pPr>
            <w:r>
              <w:rPr>
                <w:rFonts w:ascii="Arial" w:cs="Arial" w:eastAsia="Arial" w:hAnsi="Arial"/>
                <w:sz w:val="18"/>
                <w:szCs w:val="18"/>
                <w:color w:val="auto"/>
              </w:rPr>
              <w:t>20,552</w:t>
            </w:r>
          </w:p>
        </w:tc>
        <w:tc>
          <w:tcPr>
            <w:tcW w:w="1640" w:type="dxa"/>
            <w:vAlign w:val="bottom"/>
            <w:shd w:val="clear" w:color="auto" w:fill="E8EDF4"/>
          </w:tcPr>
          <w:p>
            <w:pPr>
              <w:jc w:val="right"/>
              <w:ind w:right="337"/>
              <w:spacing w:after="0"/>
              <w:rPr>
                <w:sz w:val="20"/>
                <w:szCs w:val="20"/>
                <w:color w:val="auto"/>
              </w:rPr>
            </w:pPr>
            <w:r>
              <w:rPr>
                <w:rFonts w:ascii="Arial" w:cs="Arial" w:eastAsia="Arial" w:hAnsi="Arial"/>
                <w:sz w:val="18"/>
                <w:szCs w:val="18"/>
                <w:color w:val="auto"/>
              </w:rPr>
              <w:t>8,231</w:t>
            </w:r>
          </w:p>
        </w:tc>
        <w:tc>
          <w:tcPr>
            <w:tcW w:w="1800" w:type="dxa"/>
            <w:vAlign w:val="bottom"/>
            <w:shd w:val="clear" w:color="auto" w:fill="E8EDF4"/>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328"/>
        </w:trPr>
        <w:tc>
          <w:tcPr>
            <w:tcW w:w="4380" w:type="dxa"/>
            <w:vAlign w:val="bottom"/>
          </w:tcPr>
          <w:p>
            <w:pPr>
              <w:ind w:left="40"/>
              <w:spacing w:after="0"/>
              <w:rPr>
                <w:sz w:val="20"/>
                <w:szCs w:val="20"/>
                <w:color w:val="auto"/>
              </w:rPr>
            </w:pPr>
            <w:r>
              <w:rPr>
                <w:rFonts w:ascii="Arial" w:cs="Arial" w:eastAsia="Arial" w:hAnsi="Arial"/>
                <w:sz w:val="18"/>
                <w:szCs w:val="18"/>
                <w:color w:val="auto"/>
              </w:rPr>
              <w:t>John Hassett</w:t>
            </w:r>
          </w:p>
        </w:tc>
        <w:tc>
          <w:tcPr>
            <w:tcW w:w="2180" w:type="dxa"/>
            <w:vAlign w:val="bottom"/>
          </w:tcPr>
          <w:p>
            <w:pPr>
              <w:jc w:val="right"/>
              <w:ind w:right="355"/>
              <w:spacing w:after="0"/>
              <w:rPr>
                <w:sz w:val="20"/>
                <w:szCs w:val="20"/>
                <w:color w:val="auto"/>
              </w:rPr>
            </w:pPr>
            <w:r>
              <w:rPr>
                <w:rFonts w:ascii="Arial" w:cs="Arial" w:eastAsia="Arial" w:hAnsi="Arial"/>
                <w:sz w:val="18"/>
                <w:szCs w:val="18"/>
                <w:color w:val="auto"/>
              </w:rPr>
              <w:t>20,552</w:t>
            </w:r>
          </w:p>
        </w:tc>
        <w:tc>
          <w:tcPr>
            <w:tcW w:w="1640" w:type="dxa"/>
            <w:vAlign w:val="bottom"/>
          </w:tcPr>
          <w:p>
            <w:pPr>
              <w:jc w:val="right"/>
              <w:ind w:right="337"/>
              <w:spacing w:after="0"/>
              <w:rPr>
                <w:sz w:val="20"/>
                <w:szCs w:val="20"/>
                <w:color w:val="auto"/>
              </w:rPr>
            </w:pPr>
            <w:r>
              <w:rPr>
                <w:rFonts w:ascii="Arial" w:cs="Arial" w:eastAsia="Arial" w:hAnsi="Arial"/>
                <w:sz w:val="18"/>
                <w:szCs w:val="18"/>
                <w:color w:val="auto"/>
              </w:rPr>
              <w:t>8,231</w:t>
            </w:r>
          </w:p>
        </w:tc>
        <w:tc>
          <w:tcPr>
            <w:tcW w:w="1800" w:type="dxa"/>
            <w:vAlign w:val="bottom"/>
          </w:tcPr>
          <w:p>
            <w:pPr>
              <w:jc w:val="right"/>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339"/>
        </w:trPr>
        <w:tc>
          <w:tcPr>
            <w:tcW w:w="4380" w:type="dxa"/>
            <w:vAlign w:val="bottom"/>
            <w:shd w:val="clear" w:color="auto" w:fill="E8EDF4"/>
          </w:tcPr>
          <w:p>
            <w:pPr>
              <w:ind w:left="40"/>
              <w:spacing w:after="0"/>
              <w:rPr>
                <w:sz w:val="20"/>
                <w:szCs w:val="20"/>
                <w:color w:val="auto"/>
              </w:rPr>
            </w:pPr>
            <w:r>
              <w:rPr>
                <w:rFonts w:ascii="Arial" w:cs="Arial" w:eastAsia="Arial" w:hAnsi="Arial"/>
                <w:sz w:val="18"/>
                <w:szCs w:val="18"/>
                <w:color w:val="auto"/>
              </w:rPr>
              <w:t>Steve Pietkiewicz</w:t>
            </w:r>
          </w:p>
        </w:tc>
        <w:tc>
          <w:tcPr>
            <w:tcW w:w="2180" w:type="dxa"/>
            <w:vAlign w:val="bottom"/>
            <w:shd w:val="clear" w:color="auto" w:fill="E8EDF4"/>
          </w:tcPr>
          <w:p>
            <w:pPr>
              <w:jc w:val="right"/>
              <w:ind w:right="355"/>
              <w:spacing w:after="0"/>
              <w:rPr>
                <w:sz w:val="20"/>
                <w:szCs w:val="20"/>
                <w:color w:val="auto"/>
              </w:rPr>
            </w:pPr>
            <w:r>
              <w:rPr>
                <w:rFonts w:ascii="Arial" w:cs="Arial" w:eastAsia="Arial" w:hAnsi="Arial"/>
                <w:sz w:val="18"/>
                <w:szCs w:val="18"/>
                <w:color w:val="auto"/>
              </w:rPr>
              <w:t>23,713</w:t>
            </w:r>
          </w:p>
        </w:tc>
        <w:tc>
          <w:tcPr>
            <w:tcW w:w="1640" w:type="dxa"/>
            <w:vAlign w:val="bottom"/>
            <w:shd w:val="clear" w:color="auto" w:fill="E8EDF4"/>
          </w:tcPr>
          <w:p>
            <w:pPr>
              <w:jc w:val="right"/>
              <w:ind w:right="337"/>
              <w:spacing w:after="0"/>
              <w:rPr>
                <w:sz w:val="20"/>
                <w:szCs w:val="20"/>
                <w:color w:val="auto"/>
              </w:rPr>
            </w:pPr>
            <w:r>
              <w:rPr>
                <w:rFonts w:ascii="Arial" w:cs="Arial" w:eastAsia="Arial" w:hAnsi="Arial"/>
                <w:sz w:val="18"/>
                <w:szCs w:val="18"/>
                <w:color w:val="auto"/>
              </w:rPr>
              <w:t>9,678</w:t>
            </w:r>
          </w:p>
        </w:tc>
        <w:tc>
          <w:tcPr>
            <w:tcW w:w="1800" w:type="dxa"/>
            <w:vAlign w:val="bottom"/>
            <w:shd w:val="clear" w:color="auto" w:fill="E8EDF4"/>
          </w:tcPr>
          <w:p>
            <w:pPr>
              <w:jc w:val="right"/>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260" w:firstLine="435"/>
        <w:spacing w:after="0" w:line="252" w:lineRule="auto"/>
        <w:rPr>
          <w:sz w:val="20"/>
          <w:szCs w:val="20"/>
          <w:color w:val="auto"/>
        </w:rPr>
      </w:pPr>
      <w:r>
        <w:rPr>
          <w:rFonts w:ascii="Arial" w:cs="Arial" w:eastAsia="Arial" w:hAnsi="Arial"/>
          <w:sz w:val="17"/>
          <w:szCs w:val="17"/>
          <w:color w:val="auto"/>
        </w:rPr>
        <w:t>In granting awards to Messrs. Mahendra-Rajah, Cotter, Hassett and Pietkiewicz, the Compensation Committee considered the equity compensation levels of comparable executives in our peer group. The time-based RSUs granted by the Compensation Committee to Messrs. Cotter and Hassett both include 3,334 RSUs granted in September 2018 in recognition of their meaningful contributions in fiscal 2018 driving the Company’s top line growth and profit expansion. The time-based RSUs granted by the Compensation Committee to</w:t>
      </w:r>
    </w:p>
    <w:p>
      <w:pPr>
        <w:spacing w:after="0" w:line="2" w:lineRule="exact"/>
        <w:rPr>
          <w:sz w:val="20"/>
          <w:szCs w:val="20"/>
          <w:color w:val="auto"/>
        </w:rPr>
      </w:pPr>
    </w:p>
    <w:p>
      <w:pPr>
        <w:jc w:val="both"/>
        <w:ind w:left="260" w:right="280"/>
        <w:spacing w:after="0" w:line="259" w:lineRule="auto"/>
        <w:rPr>
          <w:sz w:val="20"/>
          <w:szCs w:val="20"/>
          <w:color w:val="auto"/>
        </w:rPr>
      </w:pPr>
      <w:r>
        <w:rPr>
          <w:rFonts w:ascii="Arial" w:cs="Arial" w:eastAsia="Arial" w:hAnsi="Arial"/>
          <w:sz w:val="17"/>
          <w:szCs w:val="17"/>
          <w:color w:val="auto"/>
        </w:rPr>
        <w:t>Mr. Pietkiewicz includes 4,028 RSUs granted in June 2018 in connection with the alignment of the compensation of our executives and legacy ADI and Linear Technology employees and in recognition of his contributions to the business. Please refer to “Compensation for Other Named Executive Officers—Compensation of Steve Pietkiewicz, Senior Vice President, Power Products” below.</w:t>
      </w: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of Steve Pietkiewicz, Senior Vice President, Power Products</w:t>
      </w:r>
    </w:p>
    <w:p>
      <w:pPr>
        <w:spacing w:after="0" w:line="100" w:lineRule="exact"/>
        <w:rPr>
          <w:sz w:val="20"/>
          <w:szCs w:val="20"/>
          <w:color w:val="auto"/>
        </w:rPr>
      </w:pPr>
    </w:p>
    <w:p>
      <w:pPr>
        <w:ind w:left="260" w:right="160" w:firstLine="435"/>
        <w:spacing w:after="0" w:line="241" w:lineRule="auto"/>
        <w:rPr>
          <w:sz w:val="20"/>
          <w:szCs w:val="20"/>
          <w:color w:val="auto"/>
        </w:rPr>
      </w:pPr>
      <w:r>
        <w:rPr>
          <w:rFonts w:ascii="Arial" w:cs="Arial" w:eastAsia="Arial" w:hAnsi="Arial"/>
          <w:sz w:val="18"/>
          <w:szCs w:val="18"/>
          <w:color w:val="auto"/>
        </w:rPr>
        <w:t>The Company acquired Linear Technology on March 10, 2017. In connection with the acquisition, we made commitments covering the compensation and benefits of legacy Linear Technology employees, including Mr. Pietkiewicz, through May 5, 2018, the end of our second quarter of fiscal 2018. Pursuant to these commitments, Mr. Pietkiewicz’s compensation for the first half of fiscal 2018 was comprised of the components outlined below. For the second half of fiscal 2018, the components of Mr. Pietkiewicz’s compensation were the same as the other NEOs as described above.</w:t>
      </w:r>
    </w:p>
    <w:p>
      <w:pPr>
        <w:spacing w:after="0" w:line="82" w:lineRule="exact"/>
        <w:rPr>
          <w:sz w:val="20"/>
          <w:szCs w:val="20"/>
          <w:color w:val="auto"/>
        </w:rPr>
      </w:pPr>
    </w:p>
    <w:p>
      <w:pPr>
        <w:ind w:left="1120" w:hanging="319"/>
        <w:spacing w:after="0"/>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Similar to the legacy Analog Devices executives, this is annual fixed cash compensation. In connection with</w:t>
      </w:r>
    </w:p>
    <w:p>
      <w:pPr>
        <w:spacing w:after="0" w:line="15" w:lineRule="exact"/>
        <w:rPr>
          <w:rFonts w:ascii="Arial" w:cs="Arial" w:eastAsia="Arial" w:hAnsi="Arial"/>
          <w:sz w:val="18"/>
          <w:szCs w:val="18"/>
          <w:color w:val="auto"/>
        </w:rPr>
      </w:pPr>
    </w:p>
    <w:p>
      <w:pPr>
        <w:ind w:left="1120" w:right="120"/>
        <w:spacing w:after="0" w:line="237" w:lineRule="auto"/>
        <w:rPr>
          <w:rFonts w:ascii="Arial" w:cs="Arial" w:eastAsia="Arial" w:hAnsi="Arial"/>
          <w:sz w:val="18"/>
          <w:szCs w:val="18"/>
          <w:color w:val="auto"/>
        </w:rPr>
      </w:pPr>
      <w:r>
        <w:rPr>
          <w:rFonts w:ascii="Arial" w:cs="Arial" w:eastAsia="Arial" w:hAnsi="Arial"/>
          <w:sz w:val="18"/>
          <w:szCs w:val="18"/>
          <w:color w:val="auto"/>
        </w:rPr>
        <w:t>Mr. Pietkiewicz’s promotion to Senior Vice President, Power Products during fiscal 2017, the Compensation Committee set his annual base salary at $375,000. In March 2018, the Compensation Committee increased Mr. Pietkiewicz’s base salary to $400,000, effective May 2018, after consideration of factors including his performance history, tenure, job responsibilities and market data, including benchmark information from our peer group.</w:t>
      </w:r>
    </w:p>
    <w:p>
      <w:pPr>
        <w:spacing w:after="0" w:line="81" w:lineRule="exact"/>
        <w:rPr>
          <w:rFonts w:ascii="Arial" w:cs="Arial" w:eastAsia="Arial" w:hAnsi="Arial"/>
          <w:sz w:val="18"/>
          <w:szCs w:val="18"/>
          <w:color w:val="auto"/>
        </w:rPr>
      </w:pPr>
    </w:p>
    <w:p>
      <w:pPr>
        <w:ind w:left="1120" w:right="80" w:hanging="319"/>
        <w:spacing w:after="0" w:line="239"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Profit Sharing</w:t>
      </w:r>
      <w:r>
        <w:rPr>
          <w:rFonts w:ascii="Arial" w:cs="Arial" w:eastAsia="Arial" w:hAnsi="Arial"/>
          <w:sz w:val="18"/>
          <w:szCs w:val="18"/>
          <w:color w:val="auto"/>
        </w:rPr>
        <w:t>. The Company funded a profit sharing program for all eligible legacy Linear Technology employees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of Linear Technology through May 5, 2018. The profit sharing payments made to Mr. Pietkiewicz for the first half of fiscal 2018 were calculated in the same manner as for the rest of the legacy Linear Technology eligible employees, and the percentage of base salary the payments represented were the same for all such employees. For the first half of fiscal 2018, Mr. Pietkiewicz received profit sharing distributions equal to $63,826, of which $9,351 was contributed to Mr. Pietkiewicz’s 401(k).</w:t>
      </w:r>
    </w:p>
    <w:p>
      <w:pPr>
        <w:spacing w:after="0" w:line="84" w:lineRule="exact"/>
        <w:rPr>
          <w:rFonts w:ascii="Arial" w:cs="Arial" w:eastAsia="Arial" w:hAnsi="Arial"/>
          <w:sz w:val="18"/>
          <w:szCs w:val="18"/>
          <w:color w:val="auto"/>
        </w:rPr>
      </w:pPr>
    </w:p>
    <w:p>
      <w:pPr>
        <w:jc w:val="both"/>
        <w:ind w:left="1120" w:right="80" w:hanging="319"/>
        <w:spacing w:after="0" w:line="250"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Opportunity. </w:t>
      </w:r>
      <w:r>
        <w:rPr>
          <w:rFonts w:ascii="Arial" w:cs="Arial" w:eastAsia="Arial" w:hAnsi="Arial"/>
          <w:sz w:val="18"/>
          <w:szCs w:val="18"/>
          <w:color w:val="auto"/>
        </w:rPr>
        <w:t>In addition to the profit sharing opportunity, for the first half of fiscal 2018, Mr. Pietkiewicz was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a target cash bonus opportunity under the Linear Technology Corporation Executive Bonus Plan. For the first half of fiscal 2018, Mr. Pietkiewicz received payments equal to $411,612 under this bonus plan.</w:t>
      </w:r>
    </w:p>
    <w:p>
      <w:pPr>
        <w:spacing w:after="0" w:line="74" w:lineRule="exact"/>
        <w:rPr>
          <w:rFonts w:ascii="Arial" w:cs="Arial" w:eastAsia="Arial" w:hAnsi="Arial"/>
          <w:sz w:val="18"/>
          <w:szCs w:val="18"/>
          <w:color w:val="auto"/>
        </w:rPr>
      </w:pPr>
    </w:p>
    <w:p>
      <w:pPr>
        <w:ind w:left="1120" w:right="220" w:hanging="319"/>
        <w:spacing w:after="0" w:line="250"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Alignment. </w:t>
      </w:r>
      <w:r>
        <w:rPr>
          <w:rFonts w:ascii="Arial" w:cs="Arial" w:eastAsia="Arial" w:hAnsi="Arial"/>
          <w:sz w:val="18"/>
          <w:szCs w:val="18"/>
          <w:color w:val="auto"/>
        </w:rPr>
        <w:t>As part of the alignment of the compensation programs of our legacy ADI and Linear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in recognition of his contributions to the business, Mr. Pietkiewicz, along with certain other participants of the Linear Technology Corporation</w:t>
      </w:r>
    </w:p>
    <w:p>
      <w:pPr>
        <w:spacing w:after="0" w:line="1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51</w:t>
      </w:r>
    </w:p>
    <w:p>
      <w:pPr>
        <w:sectPr>
          <w:pgSz w:w="11900" w:h="16838" w:orient="portrait"/>
          <w:cols w:equalWidth="0" w:num="1">
            <w:col w:w="11160"/>
          </w:cols>
          <w:pgMar w:left="240" w:top="454"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40" w:right="180"/>
        <w:spacing w:after="0" w:line="269" w:lineRule="auto"/>
        <w:rPr>
          <w:sz w:val="20"/>
          <w:szCs w:val="20"/>
          <w:color w:val="auto"/>
        </w:rPr>
      </w:pPr>
      <w:r>
        <w:rPr>
          <w:rFonts w:ascii="Arial" w:cs="Arial" w:eastAsia="Arial" w:hAnsi="Arial"/>
          <w:sz w:val="18"/>
          <w:szCs w:val="18"/>
          <w:color w:val="auto"/>
        </w:rPr>
        <w:t>Executive Bonus Plan, received one-time cash and equity awards. In fiscal 2018, the Compensation Committee approved the following equity and cash awards for Mr. Pietkiewicz:</w:t>
      </w:r>
    </w:p>
    <w:p>
      <w:pPr>
        <w:spacing w:after="0" w:line="57" w:lineRule="exact"/>
        <w:rPr>
          <w:sz w:val="20"/>
          <w:szCs w:val="20"/>
          <w:color w:val="auto"/>
        </w:rPr>
      </w:pPr>
    </w:p>
    <w:p>
      <w:pPr>
        <w:ind w:left="1660" w:right="40" w:hanging="418"/>
        <w:spacing w:after="0" w:line="250" w:lineRule="auto"/>
        <w:tabs>
          <w:tab w:leader="none" w:pos="166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Equity-Based Awards</w:t>
      </w:r>
      <w:r>
        <w:rPr>
          <w:rFonts w:ascii="Arial" w:cs="Arial" w:eastAsia="Arial" w:hAnsi="Arial"/>
          <w:sz w:val="18"/>
          <w:szCs w:val="18"/>
          <w:color w:val="auto"/>
        </w:rPr>
        <w:t>. In June 2018, Mr. Pietkiewicz was granted 4,028 time-based RSUs that vest in equal installments</w:t>
      </w:r>
      <w:r>
        <w:rPr>
          <w:rFonts w:ascii="Arial" w:cs="Arial" w:eastAsia="Arial" w:hAnsi="Arial"/>
          <w:sz w:val="18"/>
          <w:szCs w:val="18"/>
          <w:i w:val="1"/>
          <w:iCs w:val="1"/>
          <w:color w:val="auto"/>
        </w:rPr>
        <w:t xml:space="preserve"> </w:t>
      </w:r>
      <w:r>
        <w:rPr>
          <w:rFonts w:ascii="Arial" w:cs="Arial" w:eastAsia="Arial" w:hAnsi="Arial"/>
          <w:sz w:val="18"/>
          <w:szCs w:val="18"/>
          <w:color w:val="auto"/>
        </w:rPr>
        <w:t>over four years. In June 2019, subject to Mr. Pietkiewicz’s continued employment with the Company, he will receive an RSU award with a grant date value of $389,900 that will vest in equal installments over four years.</w:t>
      </w:r>
    </w:p>
    <w:p>
      <w:pPr>
        <w:spacing w:after="0" w:line="74" w:lineRule="exact"/>
        <w:rPr>
          <w:rFonts w:ascii="Arial" w:cs="Arial" w:eastAsia="Arial" w:hAnsi="Arial"/>
          <w:sz w:val="18"/>
          <w:szCs w:val="18"/>
          <w:color w:val="auto"/>
        </w:rPr>
      </w:pPr>
    </w:p>
    <w:p>
      <w:pPr>
        <w:ind w:left="1660" w:right="200" w:hanging="418"/>
        <w:spacing w:after="0" w:line="269" w:lineRule="auto"/>
        <w:tabs>
          <w:tab w:leader="none" w:pos="166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Cash Awards. </w:t>
      </w:r>
      <w:r>
        <w:rPr>
          <w:rFonts w:ascii="Arial" w:cs="Arial" w:eastAsia="Arial" w:hAnsi="Arial"/>
          <w:sz w:val="18"/>
          <w:szCs w:val="18"/>
          <w:color w:val="auto"/>
        </w:rPr>
        <w:t>In each of June 2018 and December 2018 (the Company’s fiscal 2019), Mr. Pietkiewicz received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award in the amount of $194,950.</w:t>
      </w:r>
    </w:p>
    <w:p>
      <w:pPr>
        <w:spacing w:after="0" w:line="56" w:lineRule="exact"/>
        <w:rPr>
          <w:rFonts w:ascii="Arial" w:cs="Arial" w:eastAsia="Arial" w:hAnsi="Arial"/>
          <w:sz w:val="18"/>
          <w:szCs w:val="18"/>
          <w:color w:val="auto"/>
        </w:rPr>
      </w:pPr>
    </w:p>
    <w:p>
      <w:pPr>
        <w:ind w:left="1120" w:right="120" w:hanging="319"/>
        <w:spacing w:after="0" w:line="244" w:lineRule="auto"/>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Retirement and Other Employee Benefits</w:t>
      </w:r>
      <w:r>
        <w:rPr>
          <w:rFonts w:ascii="Arial" w:cs="Arial" w:eastAsia="Arial" w:hAnsi="Arial"/>
          <w:sz w:val="18"/>
          <w:szCs w:val="18"/>
          <w:color w:val="auto"/>
        </w:rPr>
        <w:t>. We maintain broad-based benefits for legacy Linear Technology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health and dental insurance, life and disability insurance, and retirement plans. For fiscal 2018, Mr. Pietkiewicz was eligible to participate in all of our employee benefit plans on the same basis as our other legacy Linear Technology employees, subject to applicable plan limits.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Severance, Retention and Change in Control Benefits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100" w:lineRule="exact"/>
        <w:rPr>
          <w:sz w:val="20"/>
          <w:szCs w:val="20"/>
          <w:color w:val="auto"/>
        </w:rPr>
      </w:pPr>
    </w:p>
    <w:p>
      <w:pPr>
        <w:jc w:val="both"/>
        <w:ind w:left="260" w:right="200" w:firstLine="435"/>
        <w:spacing w:after="0" w:line="250" w:lineRule="auto"/>
        <w:rPr>
          <w:sz w:val="20"/>
          <w:szCs w:val="20"/>
          <w:color w:val="auto"/>
        </w:rPr>
      </w:pPr>
      <w:r>
        <w:rPr>
          <w:rFonts w:ascii="Arial" w:cs="Arial" w:eastAsia="Arial" w:hAnsi="Arial"/>
          <w:sz w:val="18"/>
          <w:szCs w:val="18"/>
          <w:color w:val="auto"/>
        </w:rPr>
        <w:t>We have entered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w:t>
      </w:r>
    </w:p>
    <w:p>
      <w:pPr>
        <w:spacing w:after="0" w:line="168" w:lineRule="exact"/>
        <w:rPr>
          <w:sz w:val="20"/>
          <w:szCs w:val="20"/>
          <w:color w:val="auto"/>
        </w:rPr>
      </w:pPr>
    </w:p>
    <w:p>
      <w:pPr>
        <w:ind w:left="260" w:right="20" w:firstLine="435"/>
        <w:spacing w:after="0" w:line="235" w:lineRule="auto"/>
        <w:rPr>
          <w:sz w:val="20"/>
          <w:szCs w:val="20"/>
          <w:color w:val="auto"/>
        </w:rPr>
      </w:pPr>
      <w:r>
        <w:rPr>
          <w:rFonts w:ascii="Arial" w:cs="Arial" w:eastAsia="Arial" w:hAnsi="Arial"/>
          <w:sz w:val="18"/>
          <w:szCs w:val="18"/>
          <w:color w:val="auto"/>
        </w:rPr>
        <w:t>We designed the change in control retention agreements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2018, the Compensation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2018. Change in control retention agreements entered into between the Company and eligible employees since 2009 do not contain excess parachute payment tax gross-up provisions.</w:t>
      </w:r>
    </w:p>
    <w:p>
      <w:pPr>
        <w:spacing w:after="0" w:line="185" w:lineRule="exact"/>
        <w:rPr>
          <w:sz w:val="20"/>
          <w:szCs w:val="20"/>
          <w:color w:val="auto"/>
        </w:rPr>
      </w:pPr>
    </w:p>
    <w:p>
      <w:pPr>
        <w:ind w:left="260" w:right="100" w:firstLine="435"/>
        <w:spacing w:after="0" w:line="244" w:lineRule="auto"/>
        <w:rPr>
          <w:sz w:val="20"/>
          <w:szCs w:val="20"/>
          <w:color w:val="auto"/>
        </w:rPr>
      </w:pPr>
      <w:r>
        <w:rPr>
          <w:rFonts w:ascii="Arial" w:cs="Arial" w:eastAsia="Arial" w:hAnsi="Arial"/>
          <w:sz w:val="18"/>
          <w:szCs w:val="18"/>
          <w:color w:val="auto"/>
        </w:rPr>
        <w:t>Mr. Pietkiewicz is also currently a party to a Linear Technology Change in Control Agreement that provides for severance benefits to Mr. Pietkiewicz in specified circumstances following termination of his employment on or before March 10, 2019. These benefits are described further below in “—Change in Control Benefits—Mr. Pietkiewicz’s Linear Technology Corporation Change in Control Severance Agreement.”</w:t>
      </w:r>
    </w:p>
    <w:p>
      <w:pPr>
        <w:spacing w:after="0" w:line="173" w:lineRule="exact"/>
        <w:rPr>
          <w:sz w:val="20"/>
          <w:szCs w:val="20"/>
          <w:color w:val="auto"/>
        </w:rPr>
      </w:pPr>
    </w:p>
    <w:p>
      <w:pPr>
        <w:ind w:left="260" w:firstLine="435"/>
        <w:spacing w:after="0" w:line="238" w:lineRule="auto"/>
        <w:rPr>
          <w:sz w:val="20"/>
          <w:szCs w:val="20"/>
          <w:color w:val="auto"/>
        </w:rPr>
      </w:pPr>
      <w:r>
        <w:rPr>
          <w:rFonts w:ascii="Arial" w:cs="Arial" w:eastAsia="Arial" w:hAnsi="Arial"/>
          <w:sz w:val="18"/>
          <w:szCs w:val="18"/>
          <w:color w:val="auto"/>
        </w:rPr>
        <w:t>Under our 2006 Stock Incentive Plan, in the event of a change in control, all of our employees, including our NEOs, if they remain employed by ADI, would have one-half of the shares of common stock subject to their then outstanding unvested options accelerate and become immediately exercisable and one-half of their unvested RSUs would vest. The remaining one-half of their unvested options and RSUs would continue to vest in accordance with the original vesting schedules, and any remaining unvested options and RSUs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“—Potential Payments Upon Termination or Change in Control” below.</w:t>
      </w:r>
    </w:p>
    <w:p>
      <w:pPr>
        <w:spacing w:after="0" w:line="140" w:lineRule="exact"/>
        <w:rPr>
          <w:sz w:val="20"/>
          <w:szCs w:val="20"/>
          <w:color w:val="auto"/>
        </w:rPr>
      </w:pPr>
    </w:p>
    <w:p>
      <w:pPr>
        <w:ind w:left="660" w:hanging="393"/>
        <w:spacing w:after="0"/>
        <w:tabs>
          <w:tab w:leader="none" w:pos="660" w:val="left"/>
        </w:tabs>
        <w:numPr>
          <w:ilvl w:val="0"/>
          <w:numId w:val="8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00" w:lineRule="exact"/>
        <w:rPr>
          <w:sz w:val="20"/>
          <w:szCs w:val="20"/>
          <w:color w:val="auto"/>
        </w:rPr>
      </w:pPr>
    </w:p>
    <w:p>
      <w:pPr>
        <w:jc w:val="both"/>
        <w:ind w:left="260" w:right="60" w:firstLine="435"/>
        <w:spacing w:after="0" w:line="269" w:lineRule="auto"/>
        <w:rPr>
          <w:sz w:val="20"/>
          <w:szCs w:val="20"/>
          <w:color w:val="auto"/>
        </w:rPr>
      </w:pPr>
      <w:r>
        <w:rPr>
          <w:rFonts w:ascii="Arial" w:cs="Arial" w:eastAsia="Arial" w:hAnsi="Arial"/>
          <w:sz w:val="18"/>
          <w:szCs w:val="18"/>
          <w:color w:val="auto"/>
        </w:rPr>
        <w:t>When the employment of an executive officer terminates in a situation that does not involve a change in control, the officer is entitled to receive the same benefits as any other terminated employee in that geographical location.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Equity Award Grant Date Policy</w:t>
      </w:r>
    </w:p>
    <w:p>
      <w:pPr>
        <w:spacing w:after="0" w:line="102" w:lineRule="exact"/>
        <w:rPr>
          <w:sz w:val="20"/>
          <w:szCs w:val="20"/>
          <w:color w:val="auto"/>
        </w:rPr>
      </w:pPr>
    </w:p>
    <w:p>
      <w:pPr>
        <w:jc w:val="both"/>
        <w:ind w:left="260" w:right="40" w:firstLine="435"/>
        <w:spacing w:after="0" w:line="250" w:lineRule="auto"/>
        <w:rPr>
          <w:sz w:val="20"/>
          <w:szCs w:val="20"/>
          <w:color w:val="auto"/>
        </w:rPr>
      </w:pPr>
      <w:r>
        <w:rPr>
          <w:rFonts w:ascii="Arial" w:cs="Arial" w:eastAsia="Arial" w:hAnsi="Arial"/>
          <w:sz w:val="18"/>
          <w:szCs w:val="18"/>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74" w:lineRule="exact"/>
        <w:rPr>
          <w:sz w:val="20"/>
          <w:szCs w:val="20"/>
          <w:color w:val="auto"/>
        </w:rPr>
      </w:pPr>
    </w:p>
    <w:p>
      <w:pPr>
        <w:jc w:val="both"/>
        <w:ind w:left="1120" w:right="340" w:hanging="319"/>
        <w:spacing w:after="0" w:line="250"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New Hire Grants</w:t>
      </w:r>
      <w:r>
        <w:rPr>
          <w:rFonts w:ascii="Arial" w:cs="Arial" w:eastAsia="Arial" w:hAnsi="Arial"/>
          <w:sz w:val="18"/>
          <w:szCs w:val="18"/>
          <w:color w:val="auto"/>
        </w:rPr>
        <w:t>: The grant date of all awards to newly hired executive officers and employees is the 15</w:t>
      </w:r>
      <w:r>
        <w:rPr>
          <w:rFonts w:ascii="Arial" w:cs="Arial" w:eastAsia="Arial" w:hAnsi="Arial"/>
          <w:sz w:val="15"/>
          <w:szCs w:val="15"/>
          <w:color w:val="auto"/>
        </w:rPr>
        <w:t>th</w:t>
      </w:r>
      <w:r>
        <w:rPr>
          <w:rFonts w:ascii="Arial" w:cs="Arial" w:eastAsia="Arial" w:hAnsi="Arial"/>
          <w:sz w:val="18"/>
          <w:szCs w:val="18"/>
          <w:color w:val="auto"/>
        </w:rPr>
        <w:t xml:space="preserve"> day of the month after the date on which the individual commences employment with us (or the next succeeding business day that Nasdaq is open).</w:t>
      </w:r>
    </w:p>
    <w:p>
      <w:pPr>
        <w:spacing w:after="0" w:line="74" w:lineRule="exact"/>
        <w:rPr>
          <w:rFonts w:ascii="Arial" w:cs="Arial" w:eastAsia="Arial" w:hAnsi="Arial"/>
          <w:sz w:val="18"/>
          <w:szCs w:val="18"/>
          <w:color w:val="auto"/>
        </w:rPr>
      </w:pPr>
    </w:p>
    <w:p>
      <w:pPr>
        <w:ind w:left="1120" w:hanging="319"/>
        <w:spacing w:after="0" w:line="241"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Annual Grants</w:t>
      </w:r>
      <w:r>
        <w:rPr>
          <w:rFonts w:ascii="Arial" w:cs="Arial" w:eastAsia="Arial" w:hAnsi="Arial"/>
          <w:sz w:val="18"/>
          <w:szCs w:val="18"/>
          <w:color w:val="auto"/>
        </w:rPr>
        <w:t>: The grant date of all annual awards is the earlier to occur of (i) the scheduled date of the annual meeting of shareholders, or (ii) the first business day of April that Nasdaq is open. In connection with the harmonization of the compensation programs of Analog Devices and Linear Technology, the Board of Directors approved moving the grant date for the fiscal 2018 annual awards from March 14, 2018 to March 29, 2018, to align the grant date with the one-time shift in timing of the Company’s worldwide annual employee compensation review process.</w:t>
      </w:r>
    </w:p>
    <w:p>
      <w:pPr>
        <w:spacing w:after="0" w:line="82" w:lineRule="exact"/>
        <w:rPr>
          <w:rFonts w:ascii="Arial" w:cs="Arial" w:eastAsia="Arial" w:hAnsi="Arial"/>
          <w:sz w:val="18"/>
          <w:szCs w:val="18"/>
          <w:color w:val="auto"/>
        </w:rPr>
      </w:pPr>
    </w:p>
    <w:p>
      <w:pPr>
        <w:ind w:left="1120" w:right="160" w:hanging="319"/>
        <w:spacing w:after="0" w:line="250"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Other Grants</w:t>
      </w:r>
      <w:r>
        <w:rPr>
          <w:rFonts w:ascii="Arial" w:cs="Arial" w:eastAsia="Arial" w:hAnsi="Arial"/>
          <w:sz w:val="18"/>
          <w:szCs w:val="18"/>
          <w:color w:val="auto"/>
        </w:rPr>
        <w:t>: All other awards granted to existing executive officers and employees throughout the year (off-cycle awards) have a grant date of the 15</w:t>
      </w:r>
      <w:r>
        <w:rPr>
          <w:rFonts w:ascii="Arial" w:cs="Arial" w:eastAsia="Arial" w:hAnsi="Arial"/>
          <w:sz w:val="15"/>
          <w:szCs w:val="15"/>
          <w:color w:val="auto"/>
        </w:rPr>
        <w:t>th</w:t>
      </w:r>
      <w:r>
        <w:rPr>
          <w:rFonts w:ascii="Arial" w:cs="Arial" w:eastAsia="Arial" w:hAnsi="Arial"/>
          <w:sz w:val="18"/>
          <w:szCs w:val="18"/>
          <w:color w:val="auto"/>
        </w:rPr>
        <w:t xml:space="preserve"> day of the month (or the next succeeding business day that Nasdaq is open) provided the award is approved on or prior to such grant date.</w:t>
      </w:r>
    </w:p>
    <w:p>
      <w:pPr>
        <w:spacing w:after="0" w:line="74" w:lineRule="exact"/>
        <w:rPr>
          <w:rFonts w:ascii="Arial" w:cs="Arial" w:eastAsia="Arial" w:hAnsi="Arial"/>
          <w:sz w:val="18"/>
          <w:szCs w:val="18"/>
          <w:color w:val="auto"/>
        </w:rPr>
      </w:pPr>
    </w:p>
    <w:p>
      <w:pPr>
        <w:jc w:val="both"/>
        <w:ind w:left="1120" w:right="200" w:hanging="319"/>
        <w:spacing w:after="0" w:line="250"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Foreign Registrations</w:t>
      </w:r>
      <w:r>
        <w:rPr>
          <w:rFonts w:ascii="Arial" w:cs="Arial" w:eastAsia="Arial" w:hAnsi="Arial"/>
          <w:sz w:val="18"/>
          <w:szCs w:val="18"/>
          <w:color w:val="auto"/>
        </w:rPr>
        <w:t>: Any awards requiring registration or approval in a foreign jurisdiction will have a grant date of the 15th day of the month (or the next succeeding business day that Nasdaq is open) following the effective date of that registration or approval.</w:t>
      </w:r>
    </w:p>
    <w:p>
      <w:pPr>
        <w:spacing w:after="0" w:line="74" w:lineRule="exact"/>
        <w:rPr>
          <w:rFonts w:ascii="Arial" w:cs="Arial" w:eastAsia="Arial" w:hAnsi="Arial"/>
          <w:sz w:val="18"/>
          <w:szCs w:val="18"/>
          <w:color w:val="auto"/>
        </w:rPr>
      </w:pPr>
    </w:p>
    <w:p>
      <w:pPr>
        <w:ind w:left="1120" w:right="240" w:hanging="319"/>
        <w:spacing w:after="0" w:line="244"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Our Compensation Committee does not approve off-cycle awards to our executive officers during the quarterly and annual 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173" w:lineRule="exact"/>
        <w:rPr>
          <w:sz w:val="20"/>
          <w:szCs w:val="20"/>
          <w:color w:val="auto"/>
        </w:rPr>
      </w:pPr>
    </w:p>
    <w:p>
      <w:pPr>
        <w:ind w:left="260" w:right="540" w:firstLine="435"/>
        <w:spacing w:after="0" w:line="269" w:lineRule="auto"/>
        <w:rPr>
          <w:sz w:val="20"/>
          <w:szCs w:val="20"/>
          <w:color w:val="auto"/>
        </w:rPr>
      </w:pPr>
      <w:r>
        <w:rPr>
          <w:rFonts w:ascii="Arial" w:cs="Arial" w:eastAsia="Arial" w:hAnsi="Arial"/>
          <w:sz w:val="18"/>
          <w:szCs w:val="18"/>
          <w:color w:val="auto"/>
        </w:rPr>
        <w:t>We describe the equity award grant date policy for our non-employee directors above under “Corporate Governance—Director Compensation.”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Tax and Accounting Considerations</w:t>
      </w:r>
    </w:p>
    <w:p>
      <w:pPr>
        <w:spacing w:after="0" w:line="102" w:lineRule="exact"/>
        <w:rPr>
          <w:sz w:val="20"/>
          <w:szCs w:val="20"/>
          <w:color w:val="auto"/>
        </w:rPr>
      </w:pPr>
    </w:p>
    <w:p>
      <w:pPr>
        <w:ind w:left="260" w:firstLine="435"/>
        <w:spacing w:after="0" w:line="236" w:lineRule="auto"/>
        <w:rPr>
          <w:sz w:val="20"/>
          <w:szCs w:val="20"/>
          <w:color w:val="auto"/>
        </w:rPr>
      </w:pPr>
      <w:r>
        <w:rPr>
          <w:rFonts w:ascii="Arial" w:cs="Arial" w:eastAsia="Arial" w:hAnsi="Arial"/>
          <w:sz w:val="18"/>
          <w:szCs w:val="18"/>
          <w:color w:val="auto"/>
        </w:rPr>
        <w:t>Section 162(m) of the Internal Revenue Code, generally disallows a tax deduction to public companies for compensation in excess of $1 million paid to certain of the Company’s executives. Pursuant to the Tax Act, for fiscal years beginning after December 31, 2017, the group of executives whose compensation is subject to the deduction limitation is broader than under prior law. For fiscal years beginning on or before December 31, 2017, certain compensation, including qualified performance-based compensation, was not subject to the deduction limit if certain requirements were met. Pursuant to the Tax Act, subject to certain transition rules, for fiscal years beginning after December 31, 2017, the performance-based compensation exception to the deduction limitations under Section 162(m) is no longer available. For fiscal 2018 (which began before the Tax Act changes to Section 162(m) became effective), the Compensation Committee structured the annual bonus compensation program for its executives in a manner intended to be exempt from the deduction limitation under Section 162(m) as performance-based compensation. For fiscal 2019 and future tax years, subject to the transition rules, all compensation in excess of $1 million paid to the specified executives will not be deductible.</w:t>
      </w:r>
    </w:p>
    <w:p>
      <w:pPr>
        <w:spacing w:after="0" w:line="181" w:lineRule="exact"/>
        <w:rPr>
          <w:sz w:val="20"/>
          <w:szCs w:val="20"/>
          <w:color w:val="auto"/>
        </w:rPr>
      </w:pPr>
    </w:p>
    <w:p>
      <w:pPr>
        <w:ind w:left="260" w:right="200" w:firstLine="435"/>
        <w:spacing w:after="0" w:line="250" w:lineRule="auto"/>
        <w:rPr>
          <w:sz w:val="20"/>
          <w:szCs w:val="20"/>
          <w:color w:val="auto"/>
        </w:rPr>
      </w:pPr>
      <w:r>
        <w:rPr>
          <w:rFonts w:ascii="Arial" w:cs="Arial" w:eastAsia="Arial" w:hAnsi="Arial"/>
          <w:sz w:val="18"/>
          <w:szCs w:val="18"/>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1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53</w:t>
      </w:r>
    </w:p>
    <w:p>
      <w:pPr>
        <w:sectPr>
          <w:pgSz w:w="11900" w:h="16838" w:orient="portrait"/>
          <w:cols w:equalWidth="0" w:num="1">
            <w:col w:w="11160"/>
          </w:cols>
          <w:pgMar w:left="240" w:top="453"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300" w:firstLine="435"/>
        <w:spacing w:after="0" w:line="241" w:lineRule="auto"/>
        <w:rPr>
          <w:sz w:val="20"/>
          <w:szCs w:val="20"/>
          <w:color w:val="auto"/>
        </w:rPr>
      </w:pPr>
      <w:r>
        <w:rPr>
          <w:rFonts w:ascii="Arial" w:cs="Arial" w:eastAsia="Arial" w:hAnsi="Arial"/>
          <w:sz w:val="18"/>
          <w:szCs w:val="18"/>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2006 Stock Incentive Plan and the 2005 Plan and the 2010 Plan (the latter two of which we assumed in the Linear Technology acquisition), as well as all predecessor plans, in accordance with U.S. generally accepted accounting principles.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 Considerations in Our Compensation Program</w:t>
      </w:r>
    </w:p>
    <w:p>
      <w:pPr>
        <w:spacing w:after="0" w:line="102" w:lineRule="exact"/>
        <w:rPr>
          <w:sz w:val="20"/>
          <w:szCs w:val="20"/>
          <w:color w:val="auto"/>
        </w:rPr>
      </w:pPr>
    </w:p>
    <w:p>
      <w:pPr>
        <w:ind w:left="260" w:right="260" w:firstLine="435"/>
        <w:spacing w:after="0" w:line="239" w:lineRule="auto"/>
        <w:rPr>
          <w:sz w:val="20"/>
          <w:szCs w:val="20"/>
          <w:color w:val="auto"/>
        </w:rPr>
      </w:pPr>
      <w:r>
        <w:rPr>
          <w:rFonts w:ascii="Arial" w:cs="Arial" w:eastAsia="Arial" w:hAnsi="Arial"/>
          <w:sz w:val="18"/>
          <w:szCs w:val="18"/>
          <w:color w:val="auto"/>
        </w:rPr>
        <w:t>In fiscal 2018, our Compensation Committee reviewed our incentive compensation programs, discussed the concept of risk as it relates to our compensation program, considered various mitigating factors and reviewed these items with its independent consultant, Pearl Meyer. In addition, our Compensation Committee asked Pearl Meyer to conduct an independent risk assessment of our executive compensation program. Based on these reviews and discussions, the Compensation Committee does not believe that any risks arising from our employee compensation policies and practices are reasonably likely to have a material adverse effect on our company. Our Compensation Committee believes that any such risks are mitigated by the following factors, among others:</w:t>
      </w:r>
    </w:p>
    <w:p>
      <w:pPr>
        <w:spacing w:after="0" w:line="85" w:lineRule="exact"/>
        <w:rPr>
          <w:sz w:val="20"/>
          <w:szCs w:val="20"/>
          <w:color w:val="auto"/>
        </w:rPr>
      </w:pPr>
    </w:p>
    <w:p>
      <w:pPr>
        <w:ind w:left="1120" w:hanging="319"/>
        <w:spacing w:after="0" w:line="241"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structure our pay to consist of both fixed and variable compensation with short- and long-term horizons. We feel that the variable elements of compensation, which represented 90% and 81% of the total target compensation for our CEO and other NEOs (excluding Mr. Pietkiewicz), respectively, for fiscal 2018, are a sufficient percentage of overall compensation to motivate executives to produce superior short- and long-term corporate results and to achieve Company goals, while the fixed element is also sufficiently high that the executives are not encouraged to take unnecessary or excessive risks in doing so.</w:t>
      </w:r>
    </w:p>
    <w:p>
      <w:pPr>
        <w:spacing w:after="0" w:line="82" w:lineRule="exact"/>
        <w:rPr>
          <w:rFonts w:ascii="Arial" w:cs="Arial" w:eastAsia="Arial" w:hAnsi="Arial"/>
          <w:sz w:val="18"/>
          <w:szCs w:val="18"/>
          <w:color w:val="auto"/>
        </w:rPr>
      </w:pPr>
    </w:p>
    <w:p>
      <w:pPr>
        <w:ind w:left="1120" w:hanging="319"/>
        <w:spacing w:after="0" w:line="236"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believe that our focus on both OPBT margin and year-over-year revenue growth through our executive performance incentive plan, and stock price performance through our equity compensation program, provides a check on excessive risk taking. That is, even if our executives could inappropriately increase OPBT margin or revenue by excessively reducing expenses or adding new revenue sources that are inconsistent with our business model, this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Our OPBT margin and year-over-year revenue targets are applicable to our executives and employees alike, which we believe encourages consistent behavior across the organization, and reflect goals that are challenging, but not so high that they require performance outside of what the Compensation Committee believes is reasonable for us or could motivate our executives and employees to take actions in which we assume unreasonable levels of risk.</w:t>
      </w:r>
    </w:p>
    <w:p>
      <w:pPr>
        <w:spacing w:after="0" w:line="87" w:lineRule="exact"/>
        <w:rPr>
          <w:rFonts w:ascii="Arial" w:cs="Arial" w:eastAsia="Arial" w:hAnsi="Arial"/>
          <w:sz w:val="18"/>
          <w:szCs w:val="18"/>
          <w:color w:val="auto"/>
        </w:rPr>
      </w:pPr>
    </w:p>
    <w:p>
      <w:pPr>
        <w:ind w:left="1120" w:right="40" w:hanging="319"/>
        <w:spacing w:after="0" w:line="263" w:lineRule="auto"/>
        <w:tabs>
          <w:tab w:leader="none" w:pos="11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cap our bonus payout factors. Even if we dramatically exceed our OPBT margin or year-over-year revenue growth targets, bonus payments are limited. In fiscal 2018, the bonus payment factor cap was 300% of target. Conversely, we also have a floor on the OPBT margin target so that profitability below a certain level will result in no bonus payments, regardless of revenue growth levels. We believe this avoids incentivizing management to drive revenue levels without regard to profitability.</w:t>
      </w:r>
    </w:p>
    <w:p>
      <w:pPr>
        <w:spacing w:after="0" w:line="64" w:lineRule="exact"/>
        <w:rPr>
          <w:rFonts w:ascii="Arial" w:cs="Arial" w:eastAsia="Arial" w:hAnsi="Arial"/>
          <w:sz w:val="17"/>
          <w:szCs w:val="17"/>
          <w:color w:val="auto"/>
        </w:rPr>
      </w:pPr>
    </w:p>
    <w:p>
      <w:pPr>
        <w:ind w:left="1120" w:right="20" w:hanging="319"/>
        <w:spacing w:after="0" w:line="269"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stock ownership guidelines provide an incentive for management to consider ADI’s long-term interests because a portion of their personal investment portfolio consists of ADI stock.</w:t>
      </w:r>
    </w:p>
    <w:p>
      <w:pPr>
        <w:spacing w:after="0" w:line="111" w:lineRule="exact"/>
        <w:rPr>
          <w:sz w:val="20"/>
          <w:szCs w:val="20"/>
          <w:color w:val="auto"/>
        </w:rPr>
      </w:pPr>
    </w:p>
    <w:p>
      <w:pPr>
        <w:ind w:left="660" w:hanging="393"/>
        <w:spacing w:after="0"/>
        <w:tabs>
          <w:tab w:leader="none" w:pos="660" w:val="left"/>
        </w:tabs>
        <w:numPr>
          <w:ilvl w:val="0"/>
          <w:numId w:val="91"/>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SUMMARY COMPENSATION TABLE</w:t>
      </w:r>
    </w:p>
    <w:p>
      <w:pPr>
        <w:spacing w:after="0" w:line="102" w:lineRule="exact"/>
        <w:rPr>
          <w:sz w:val="20"/>
          <w:szCs w:val="20"/>
          <w:color w:val="auto"/>
        </w:rPr>
      </w:pPr>
    </w:p>
    <w:p>
      <w:pPr>
        <w:ind w:left="260" w:right="400" w:firstLine="435"/>
        <w:spacing w:after="0" w:line="269" w:lineRule="auto"/>
        <w:rPr>
          <w:sz w:val="20"/>
          <w:szCs w:val="20"/>
          <w:color w:val="auto"/>
        </w:rPr>
      </w:pPr>
      <w:r>
        <w:rPr>
          <w:rFonts w:ascii="Arial" w:cs="Arial" w:eastAsia="Arial" w:hAnsi="Arial"/>
          <w:sz w:val="18"/>
          <w:szCs w:val="18"/>
          <w:color w:val="auto"/>
        </w:rPr>
        <w:t>The following table contains certain information about the compensation that our named executive officers earned in fiscal 2018, fiscal 2017 and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6515100</wp:posOffset>
            </wp:positionH>
            <wp:positionV relativeFrom="paragraph">
              <wp:posOffset>127000</wp:posOffset>
            </wp:positionV>
            <wp:extent cx="8255" cy="415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127000</wp:posOffset>
            </wp:positionV>
            <wp:extent cx="8255" cy="415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127000</wp:posOffset>
            </wp:positionV>
            <wp:extent cx="8255" cy="415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127000</wp:posOffset>
            </wp:positionV>
            <wp:extent cx="8255" cy="415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127000</wp:posOffset>
            </wp:positionV>
            <wp:extent cx="8255" cy="415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127000</wp:posOffset>
            </wp:positionV>
            <wp:extent cx="8255" cy="415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127000</wp:posOffset>
            </wp:positionV>
            <wp:extent cx="8255" cy="415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41529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127000</wp:posOffset>
            </wp:positionV>
            <wp:extent cx="8255" cy="415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415290"/>
                    </a:xfrm>
                    <a:prstGeom prst="rect">
                      <a:avLst/>
                    </a:prstGeom>
                    <a:noFill/>
                  </pic:spPr>
                </pic:pic>
              </a:graphicData>
            </a:graphic>
          </wp:anchor>
        </w:drawing>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960" w:type="dxa"/>
            <w:vAlign w:val="bottom"/>
            <w:shd w:val="clear" w:color="auto" w:fill="052B82"/>
          </w:tcPr>
          <w:p>
            <w:pPr>
              <w:spacing w:after="0"/>
              <w:rPr>
                <w:sz w:val="14"/>
                <w:szCs w:val="14"/>
                <w:color w:val="auto"/>
              </w:rPr>
            </w:pPr>
          </w:p>
        </w:tc>
        <w:tc>
          <w:tcPr>
            <w:tcW w:w="560" w:type="dxa"/>
            <w:vAlign w:val="bottom"/>
            <w:shd w:val="clear" w:color="auto" w:fill="052B82"/>
          </w:tcPr>
          <w:p>
            <w:pPr>
              <w:spacing w:after="0"/>
              <w:rPr>
                <w:sz w:val="14"/>
                <w:szCs w:val="14"/>
                <w:color w:val="auto"/>
              </w:rPr>
            </w:pPr>
          </w:p>
        </w:tc>
        <w:tc>
          <w:tcPr>
            <w:tcW w:w="720" w:type="dxa"/>
            <w:vAlign w:val="bottom"/>
            <w:shd w:val="clear" w:color="auto" w:fill="052B82"/>
          </w:tcPr>
          <w:p>
            <w:pPr>
              <w:spacing w:after="0"/>
              <w:rPr>
                <w:sz w:val="14"/>
                <w:szCs w:val="14"/>
                <w:color w:val="auto"/>
              </w:rPr>
            </w:pPr>
          </w:p>
        </w:tc>
        <w:tc>
          <w:tcPr>
            <w:tcW w:w="720" w:type="dxa"/>
            <w:vAlign w:val="bottom"/>
            <w:shd w:val="clear" w:color="auto" w:fill="052B82"/>
          </w:tcPr>
          <w:p>
            <w:pPr>
              <w:spacing w:after="0"/>
              <w:rPr>
                <w:sz w:val="14"/>
                <w:szCs w:val="14"/>
                <w:color w:val="auto"/>
              </w:rPr>
            </w:pPr>
          </w:p>
        </w:tc>
        <w:tc>
          <w:tcPr>
            <w:tcW w:w="84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Stock</w:t>
            </w:r>
          </w:p>
        </w:tc>
        <w:tc>
          <w:tcPr>
            <w:tcW w:w="82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Option</w:t>
            </w:r>
          </w:p>
        </w:tc>
        <w:tc>
          <w:tcPr>
            <w:tcW w:w="11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Non-Equity</w:t>
            </w:r>
          </w:p>
        </w:tc>
        <w:tc>
          <w:tcPr>
            <w:tcW w:w="118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All Other</w:t>
            </w:r>
          </w:p>
        </w:tc>
        <w:tc>
          <w:tcPr>
            <w:tcW w:w="92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 and</w:t>
            </w:r>
          </w:p>
        </w:tc>
        <w:tc>
          <w:tcPr>
            <w:tcW w:w="560" w:type="dxa"/>
            <w:vAlign w:val="bottom"/>
            <w:vMerge w:val="restart"/>
            <w:shd w:val="clear" w:color="auto" w:fill="052B82"/>
          </w:tcPr>
          <w:p>
            <w:pPr>
              <w:jc w:val="right"/>
              <w:ind w:right="29"/>
              <w:spacing w:after="0"/>
              <w:rPr>
                <w:sz w:val="20"/>
                <w:szCs w:val="20"/>
                <w:color w:val="auto"/>
              </w:rPr>
            </w:pPr>
            <w:r>
              <w:rPr>
                <w:rFonts w:ascii="Arial" w:cs="Arial" w:eastAsia="Arial" w:hAnsi="Arial"/>
                <w:sz w:val="14"/>
                <w:szCs w:val="14"/>
                <w:b w:val="1"/>
                <w:bCs w:val="1"/>
                <w:color w:val="FFFFFF"/>
              </w:rPr>
              <w:t>Fiscal</w:t>
            </w:r>
          </w:p>
        </w:tc>
        <w:tc>
          <w:tcPr>
            <w:tcW w:w="720" w:type="dxa"/>
            <w:vAlign w:val="bottom"/>
            <w:vMerge w:val="restart"/>
            <w:shd w:val="clear" w:color="auto" w:fill="052B82"/>
          </w:tcPr>
          <w:p>
            <w:pPr>
              <w:jc w:val="right"/>
              <w:ind w:right="89"/>
              <w:spacing w:after="0"/>
              <w:rPr>
                <w:sz w:val="20"/>
                <w:szCs w:val="20"/>
                <w:color w:val="auto"/>
              </w:rPr>
            </w:pPr>
            <w:r>
              <w:rPr>
                <w:rFonts w:ascii="Arial" w:cs="Arial" w:eastAsia="Arial" w:hAnsi="Arial"/>
                <w:sz w:val="14"/>
                <w:szCs w:val="14"/>
                <w:b w:val="1"/>
                <w:bCs w:val="1"/>
                <w:color w:val="FFFFFF"/>
              </w:rPr>
              <w:t>Salary</w:t>
            </w:r>
          </w:p>
        </w:tc>
        <w:tc>
          <w:tcPr>
            <w:tcW w:w="720" w:type="dxa"/>
            <w:vAlign w:val="bottom"/>
            <w:vMerge w:val="restart"/>
            <w:shd w:val="clear" w:color="auto" w:fill="052B82"/>
          </w:tcPr>
          <w:p>
            <w:pPr>
              <w:ind w:left="120"/>
              <w:spacing w:after="0"/>
              <w:rPr>
                <w:sz w:val="20"/>
                <w:szCs w:val="20"/>
                <w:color w:val="auto"/>
              </w:rPr>
            </w:pPr>
            <w:r>
              <w:rPr>
                <w:rFonts w:ascii="Arial" w:cs="Arial" w:eastAsia="Arial" w:hAnsi="Arial"/>
                <w:sz w:val="14"/>
                <w:szCs w:val="14"/>
                <w:b w:val="1"/>
                <w:bCs w:val="1"/>
                <w:color w:val="FFFFFF"/>
              </w:rPr>
              <w:t>Bonus</w:t>
            </w:r>
          </w:p>
        </w:tc>
        <w:tc>
          <w:tcPr>
            <w:tcW w:w="840" w:type="dxa"/>
            <w:vAlign w:val="bottom"/>
            <w:vMerge w:val="continue"/>
            <w:shd w:val="clear" w:color="auto" w:fill="052B82"/>
          </w:tcPr>
          <w:p>
            <w:pPr>
              <w:spacing w:after="0"/>
              <w:rPr>
                <w:sz w:val="13"/>
                <w:szCs w:val="13"/>
                <w:color w:val="auto"/>
              </w:rPr>
            </w:pPr>
          </w:p>
        </w:tc>
        <w:tc>
          <w:tcPr>
            <w:tcW w:w="820" w:type="dxa"/>
            <w:vAlign w:val="bottom"/>
            <w:vMerge w:val="continue"/>
            <w:shd w:val="clear" w:color="auto" w:fill="052B82"/>
          </w:tcPr>
          <w:p>
            <w:pPr>
              <w:spacing w:after="0"/>
              <w:rPr>
                <w:sz w:val="13"/>
                <w:szCs w:val="13"/>
                <w:color w:val="auto"/>
              </w:rPr>
            </w:pPr>
          </w:p>
        </w:tc>
        <w:tc>
          <w:tcPr>
            <w:tcW w:w="11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80" w:type="dxa"/>
            <w:vAlign w:val="bottom"/>
            <w:vMerge w:val="continue"/>
            <w:shd w:val="clear" w:color="auto" w:fill="052B82"/>
          </w:tcPr>
          <w:p>
            <w:pPr>
              <w:spacing w:after="0"/>
              <w:rPr>
                <w:sz w:val="13"/>
                <w:szCs w:val="13"/>
                <w:color w:val="auto"/>
              </w:rPr>
            </w:pPr>
          </w:p>
        </w:tc>
        <w:tc>
          <w:tcPr>
            <w:tcW w:w="920" w:type="dxa"/>
            <w:vAlign w:val="bottom"/>
            <w:vMerge w:val="restart"/>
            <w:shd w:val="clear" w:color="auto" w:fill="052B82"/>
          </w:tcPr>
          <w:p>
            <w:pPr>
              <w:jc w:val="right"/>
              <w:ind w:right="24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0"/>
        </w:trPr>
        <w:tc>
          <w:tcPr>
            <w:tcW w:w="3960" w:type="dxa"/>
            <w:vAlign w:val="bottom"/>
            <w:vMerge w:val="continue"/>
            <w:shd w:val="clear" w:color="auto" w:fill="052B82"/>
          </w:tcPr>
          <w:p>
            <w:pPr>
              <w:spacing w:after="0"/>
              <w:rPr>
                <w:sz w:val="13"/>
                <w:szCs w:val="13"/>
                <w:color w:val="auto"/>
              </w:rPr>
            </w:pPr>
          </w:p>
        </w:tc>
        <w:tc>
          <w:tcPr>
            <w:tcW w:w="560" w:type="dxa"/>
            <w:vAlign w:val="bottom"/>
            <w:vMerge w:val="continue"/>
            <w:shd w:val="clear" w:color="auto" w:fill="052B82"/>
          </w:tcPr>
          <w:p>
            <w:pPr>
              <w:spacing w:after="0"/>
              <w:rPr>
                <w:sz w:val="13"/>
                <w:szCs w:val="13"/>
                <w:color w:val="auto"/>
              </w:rPr>
            </w:pPr>
          </w:p>
        </w:tc>
        <w:tc>
          <w:tcPr>
            <w:tcW w:w="720" w:type="dxa"/>
            <w:vAlign w:val="bottom"/>
            <w:vMerge w:val="continue"/>
            <w:shd w:val="clear" w:color="auto" w:fill="052B82"/>
          </w:tcPr>
          <w:p>
            <w:pPr>
              <w:spacing w:after="0"/>
              <w:rPr>
                <w:sz w:val="13"/>
                <w:szCs w:val="13"/>
                <w:color w:val="auto"/>
              </w:rPr>
            </w:pPr>
          </w:p>
        </w:tc>
        <w:tc>
          <w:tcPr>
            <w:tcW w:w="720" w:type="dxa"/>
            <w:vAlign w:val="bottom"/>
            <w:vMerge w:val="continue"/>
            <w:shd w:val="clear" w:color="auto" w:fill="052B82"/>
          </w:tcPr>
          <w:p>
            <w:pPr>
              <w:spacing w:after="0"/>
              <w:rPr>
                <w:sz w:val="13"/>
                <w:szCs w:val="13"/>
                <w:color w:val="auto"/>
              </w:rPr>
            </w:pP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11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Compensation</w:t>
            </w:r>
          </w:p>
        </w:tc>
        <w:tc>
          <w:tcPr>
            <w:tcW w:w="92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Principal Position</w:t>
            </w:r>
          </w:p>
        </w:tc>
        <w:tc>
          <w:tcPr>
            <w:tcW w:w="560" w:type="dxa"/>
            <w:vAlign w:val="bottom"/>
            <w:shd w:val="clear" w:color="auto" w:fill="052B82"/>
          </w:tcPr>
          <w:p>
            <w:pPr>
              <w:jc w:val="right"/>
              <w:ind w:right="89"/>
              <w:spacing w:after="0"/>
              <w:rPr>
                <w:sz w:val="20"/>
                <w:szCs w:val="20"/>
                <w:color w:val="auto"/>
              </w:rPr>
            </w:pPr>
            <w:r>
              <w:rPr>
                <w:rFonts w:ascii="Arial" w:cs="Arial" w:eastAsia="Arial" w:hAnsi="Arial"/>
                <w:sz w:val="14"/>
                <w:szCs w:val="14"/>
                <w:b w:val="1"/>
                <w:bCs w:val="1"/>
                <w:color w:val="FFFFFF"/>
              </w:rPr>
              <w:t>Year</w:t>
            </w:r>
          </w:p>
        </w:tc>
        <w:tc>
          <w:tcPr>
            <w:tcW w:w="720" w:type="dxa"/>
            <w:vAlign w:val="bottom"/>
            <w:shd w:val="clear" w:color="auto" w:fill="052B82"/>
          </w:tcPr>
          <w:p>
            <w:pPr>
              <w:jc w:val="right"/>
              <w:ind w:right="229"/>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052B82"/>
          </w:tcPr>
          <w:p>
            <w:pPr>
              <w:ind w:left="160"/>
              <w:spacing w:after="0"/>
              <w:rPr>
                <w:sz w:val="20"/>
                <w:szCs w:val="20"/>
                <w:color w:val="auto"/>
              </w:rPr>
            </w:pPr>
            <w:r>
              <w:rPr>
                <w:rFonts w:ascii="Arial" w:cs="Arial" w:eastAsia="Arial" w:hAnsi="Arial"/>
                <w:sz w:val="14"/>
                <w:szCs w:val="14"/>
                <w:b w:val="1"/>
                <w:bCs w:val="1"/>
                <w:color w:val="FFFFFF"/>
              </w:rPr>
              <w:t>($)(1)</w:t>
            </w:r>
          </w:p>
        </w:tc>
        <w:tc>
          <w:tcPr>
            <w:tcW w:w="84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($)(2a)</w:t>
            </w:r>
          </w:p>
        </w:tc>
        <w:tc>
          <w:tcPr>
            <w:tcW w:w="8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($)(2b)</w:t>
            </w:r>
          </w:p>
        </w:tc>
        <w:tc>
          <w:tcPr>
            <w:tcW w:w="11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($)(3)</w:t>
            </w:r>
          </w:p>
        </w:tc>
        <w:tc>
          <w:tcPr>
            <w:tcW w:w="11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($)(4)</w:t>
            </w:r>
          </w:p>
        </w:tc>
        <w:tc>
          <w:tcPr>
            <w:tcW w:w="920" w:type="dxa"/>
            <w:vAlign w:val="bottom"/>
            <w:shd w:val="clear" w:color="auto" w:fill="052B82"/>
          </w:tcPr>
          <w:p>
            <w:pPr>
              <w:jc w:val="right"/>
              <w:ind w:right="32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4"/>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Vincent Roche</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2018</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984,615</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4,949,953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2,305,013</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2,682,173</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85,937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11,007,691</w:t>
            </w:r>
          </w:p>
        </w:tc>
        <w:tc>
          <w:tcPr>
            <w:tcW w:w="0" w:type="dxa"/>
            <w:vAlign w:val="bottom"/>
          </w:tcPr>
          <w:p>
            <w:pPr>
              <w:spacing w:after="0"/>
              <w:rPr>
                <w:sz w:val="1"/>
                <w:szCs w:val="1"/>
                <w:color w:val="auto"/>
              </w:rPr>
            </w:pPr>
          </w:p>
        </w:tc>
      </w:tr>
      <w:tr>
        <w:trPr>
          <w:trHeight w:val="160"/>
        </w:trPr>
        <w:tc>
          <w:tcPr>
            <w:tcW w:w="3960" w:type="dxa"/>
            <w:vAlign w:val="bottom"/>
          </w:tcPr>
          <w:p>
            <w:pPr>
              <w:ind w:left="120"/>
              <w:spacing w:after="0"/>
              <w:rPr>
                <w:sz w:val="20"/>
                <w:szCs w:val="20"/>
                <w:color w:val="auto"/>
              </w:rPr>
            </w:pPr>
            <w:r>
              <w:rPr>
                <w:rFonts w:ascii="Arial" w:cs="Arial" w:eastAsia="Arial" w:hAnsi="Arial"/>
                <w:sz w:val="14"/>
                <w:szCs w:val="14"/>
                <w:color w:val="auto"/>
              </w:rPr>
              <w:t>President and Chief</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2017</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878,000</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4,316,355</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1,978,473</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3,268,693</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70,240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10,511,761</w:t>
            </w:r>
          </w:p>
        </w:tc>
        <w:tc>
          <w:tcPr>
            <w:tcW w:w="0" w:type="dxa"/>
            <w:vAlign w:val="bottom"/>
          </w:tcPr>
          <w:p>
            <w:pPr>
              <w:spacing w:after="0"/>
              <w:rPr>
                <w:sz w:val="1"/>
                <w:szCs w:val="1"/>
                <w:color w:val="auto"/>
              </w:rPr>
            </w:pPr>
          </w:p>
        </w:tc>
      </w:tr>
      <w:tr>
        <w:trPr>
          <w:trHeight w:val="173"/>
        </w:trPr>
        <w:tc>
          <w:tcPr>
            <w:tcW w:w="3960" w:type="dxa"/>
            <w:vAlign w:val="bottom"/>
          </w:tcPr>
          <w:p>
            <w:pPr>
              <w:ind w:left="120"/>
              <w:spacing w:after="0"/>
              <w:rPr>
                <w:sz w:val="20"/>
                <w:szCs w:val="20"/>
                <w:color w:val="auto"/>
              </w:rPr>
            </w:pPr>
            <w:r>
              <w:rPr>
                <w:rFonts w:ascii="Arial" w:cs="Arial" w:eastAsia="Arial" w:hAnsi="Arial"/>
                <w:sz w:val="14"/>
                <w:szCs w:val="14"/>
                <w:color w:val="auto"/>
              </w:rPr>
              <w:t>Executive Officer</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2016</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827,692</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3,572,511</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1,633,514</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1,050,092</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66,215</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7,150,024</w:t>
            </w:r>
          </w:p>
        </w:tc>
        <w:tc>
          <w:tcPr>
            <w:tcW w:w="0" w:type="dxa"/>
            <w:vAlign w:val="bottom"/>
          </w:tcPr>
          <w:p>
            <w:pPr>
              <w:spacing w:after="0"/>
              <w:rPr>
                <w:sz w:val="1"/>
                <w:szCs w:val="1"/>
                <w:color w:val="auto"/>
              </w:rPr>
            </w:pPr>
          </w:p>
        </w:tc>
      </w:tr>
      <w:tr>
        <w:trPr>
          <w:trHeight w:val="267"/>
        </w:trPr>
        <w:tc>
          <w:tcPr>
            <w:tcW w:w="3960" w:type="dxa"/>
            <w:vAlign w:val="bottom"/>
            <w:shd w:val="clear" w:color="auto" w:fill="E8EDF4"/>
          </w:tcPr>
          <w:p>
            <w:pPr>
              <w:ind w:left="20"/>
              <w:spacing w:after="0"/>
              <w:rPr>
                <w:sz w:val="20"/>
                <w:szCs w:val="20"/>
                <w:color w:val="auto"/>
              </w:rPr>
            </w:pPr>
            <w:r>
              <w:rPr>
                <w:rFonts w:ascii="Arial" w:cs="Arial" w:eastAsia="Arial" w:hAnsi="Arial"/>
                <w:sz w:val="14"/>
                <w:szCs w:val="14"/>
                <w:b w:val="1"/>
                <w:bCs w:val="1"/>
                <w:color w:val="auto"/>
              </w:rPr>
              <w:t>Prashanth Mahendra-Rajah</w:t>
            </w:r>
          </w:p>
        </w:tc>
        <w:tc>
          <w:tcPr>
            <w:tcW w:w="5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571,154</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1,555,801</w:t>
            </w:r>
          </w:p>
        </w:tc>
        <w:tc>
          <w:tcPr>
            <w:tcW w:w="8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724,429</w:t>
            </w:r>
          </w:p>
        </w:tc>
        <w:tc>
          <w:tcPr>
            <w:tcW w:w="11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1,040,769</w:t>
            </w:r>
          </w:p>
        </w:tc>
        <w:tc>
          <w:tcPr>
            <w:tcW w:w="11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92,608</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3,984,761</w:t>
            </w:r>
          </w:p>
        </w:tc>
        <w:tc>
          <w:tcPr>
            <w:tcW w:w="0" w:type="dxa"/>
            <w:vAlign w:val="bottom"/>
          </w:tcPr>
          <w:p>
            <w:pPr>
              <w:spacing w:after="0"/>
              <w:rPr>
                <w:sz w:val="1"/>
                <w:szCs w:val="1"/>
                <w:color w:val="auto"/>
              </w:rPr>
            </w:pPr>
          </w:p>
        </w:tc>
      </w:tr>
      <w:tr>
        <w:trPr>
          <w:trHeight w:val="160"/>
        </w:trPr>
        <w:tc>
          <w:tcPr>
            <w:tcW w:w="39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Senior Vice President,</w:t>
            </w:r>
          </w:p>
        </w:tc>
        <w:tc>
          <w:tcPr>
            <w:tcW w:w="5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35,962</w:t>
            </w:r>
          </w:p>
        </w:tc>
        <w:tc>
          <w:tcPr>
            <w:tcW w:w="720" w:type="dxa"/>
            <w:vAlign w:val="bottom"/>
            <w:shd w:val="clear" w:color="auto" w:fill="E8EDF4"/>
          </w:tcPr>
          <w:p>
            <w:pPr>
              <w:ind w:left="100"/>
              <w:spacing w:after="0"/>
              <w:rPr>
                <w:sz w:val="20"/>
                <w:szCs w:val="20"/>
                <w:color w:val="auto"/>
              </w:rPr>
            </w:pPr>
            <w:r>
              <w:rPr>
                <w:rFonts w:ascii="Arial" w:cs="Arial" w:eastAsia="Arial" w:hAnsi="Arial"/>
                <w:sz w:val="14"/>
                <w:szCs w:val="14"/>
                <w:color w:val="auto"/>
              </w:rPr>
              <w:t>500,000</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3,746,541</w:t>
            </w:r>
          </w:p>
        </w:tc>
        <w:tc>
          <w:tcPr>
            <w:tcW w:w="8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82,712</w:t>
            </w:r>
          </w:p>
        </w:tc>
        <w:tc>
          <w:tcPr>
            <w:tcW w:w="11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65,895</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4,431,110</w:t>
            </w:r>
          </w:p>
        </w:tc>
        <w:tc>
          <w:tcPr>
            <w:tcW w:w="0" w:type="dxa"/>
            <w:vAlign w:val="bottom"/>
          </w:tcPr>
          <w:p>
            <w:pPr>
              <w:spacing w:after="0"/>
              <w:rPr>
                <w:sz w:val="1"/>
                <w:szCs w:val="1"/>
                <w:color w:val="auto"/>
              </w:rPr>
            </w:pPr>
          </w:p>
        </w:tc>
      </w:tr>
      <w:tr>
        <w:trPr>
          <w:trHeight w:val="147"/>
        </w:trPr>
        <w:tc>
          <w:tcPr>
            <w:tcW w:w="3960" w:type="dxa"/>
            <w:vAlign w:val="bottom"/>
            <w:shd w:val="clear" w:color="auto" w:fill="E8EDF4"/>
          </w:tcPr>
          <w:p>
            <w:pPr>
              <w:ind w:left="120"/>
              <w:spacing w:after="0" w:line="147" w:lineRule="exact"/>
              <w:rPr>
                <w:sz w:val="20"/>
                <w:szCs w:val="20"/>
                <w:color w:val="auto"/>
              </w:rPr>
            </w:pPr>
            <w:r>
              <w:rPr>
                <w:rFonts w:ascii="Arial" w:cs="Arial" w:eastAsia="Arial" w:hAnsi="Arial"/>
                <w:sz w:val="14"/>
                <w:szCs w:val="14"/>
                <w:color w:val="auto"/>
              </w:rPr>
              <w:t>Finance and Chief</w:t>
            </w:r>
          </w:p>
        </w:tc>
        <w:tc>
          <w:tcPr>
            <w:tcW w:w="560" w:type="dxa"/>
            <w:vAlign w:val="bottom"/>
            <w:shd w:val="clear" w:color="auto" w:fill="E8EDF4"/>
          </w:tcPr>
          <w:p>
            <w:pPr>
              <w:spacing w:after="0"/>
              <w:rPr>
                <w:sz w:val="12"/>
                <w:szCs w:val="12"/>
                <w:color w:val="auto"/>
              </w:rPr>
            </w:pPr>
          </w:p>
        </w:tc>
        <w:tc>
          <w:tcPr>
            <w:tcW w:w="720" w:type="dxa"/>
            <w:vAlign w:val="bottom"/>
            <w:shd w:val="clear" w:color="auto" w:fill="E8EDF4"/>
          </w:tcPr>
          <w:p>
            <w:pPr>
              <w:spacing w:after="0"/>
              <w:rPr>
                <w:sz w:val="12"/>
                <w:szCs w:val="12"/>
                <w:color w:val="auto"/>
              </w:rPr>
            </w:pPr>
          </w:p>
        </w:tc>
        <w:tc>
          <w:tcPr>
            <w:tcW w:w="720" w:type="dxa"/>
            <w:vAlign w:val="bottom"/>
            <w:shd w:val="clear" w:color="auto" w:fill="E8EDF4"/>
          </w:tcPr>
          <w:p>
            <w:pPr>
              <w:spacing w:after="0"/>
              <w:rPr>
                <w:sz w:val="12"/>
                <w:szCs w:val="12"/>
                <w:color w:val="auto"/>
              </w:rPr>
            </w:pPr>
          </w:p>
        </w:tc>
        <w:tc>
          <w:tcPr>
            <w:tcW w:w="840" w:type="dxa"/>
            <w:vAlign w:val="bottom"/>
            <w:shd w:val="clear" w:color="auto" w:fill="E8EDF4"/>
          </w:tcPr>
          <w:p>
            <w:pPr>
              <w:spacing w:after="0"/>
              <w:rPr>
                <w:sz w:val="12"/>
                <w:szCs w:val="12"/>
                <w:color w:val="auto"/>
              </w:rPr>
            </w:pPr>
          </w:p>
        </w:tc>
        <w:tc>
          <w:tcPr>
            <w:tcW w:w="820" w:type="dxa"/>
            <w:vAlign w:val="bottom"/>
            <w:shd w:val="clear" w:color="auto" w:fill="E8EDF4"/>
          </w:tcPr>
          <w:p>
            <w:pPr>
              <w:spacing w:after="0"/>
              <w:rPr>
                <w:sz w:val="12"/>
                <w:szCs w:val="12"/>
                <w:color w:val="auto"/>
              </w:rPr>
            </w:pPr>
          </w:p>
        </w:tc>
        <w:tc>
          <w:tcPr>
            <w:tcW w:w="1160" w:type="dxa"/>
            <w:vAlign w:val="bottom"/>
            <w:shd w:val="clear" w:color="auto" w:fill="E8EDF4"/>
          </w:tcPr>
          <w:p>
            <w:pPr>
              <w:spacing w:after="0"/>
              <w:rPr>
                <w:sz w:val="12"/>
                <w:szCs w:val="12"/>
                <w:color w:val="auto"/>
              </w:rPr>
            </w:pPr>
          </w:p>
        </w:tc>
        <w:tc>
          <w:tcPr>
            <w:tcW w:w="1180" w:type="dxa"/>
            <w:vAlign w:val="bottom"/>
            <w:shd w:val="clear" w:color="auto" w:fill="E8EDF4"/>
          </w:tcPr>
          <w:p>
            <w:pPr>
              <w:spacing w:after="0"/>
              <w:rPr>
                <w:sz w:val="12"/>
                <w:szCs w:val="12"/>
                <w:color w:val="auto"/>
              </w:rPr>
            </w:pPr>
          </w:p>
        </w:tc>
        <w:tc>
          <w:tcPr>
            <w:tcW w:w="920" w:type="dxa"/>
            <w:vAlign w:val="bottom"/>
            <w:shd w:val="clear" w:color="auto" w:fill="E8EDF4"/>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Financial Officer</w:t>
            </w:r>
          </w:p>
        </w:tc>
        <w:tc>
          <w:tcPr>
            <w:tcW w:w="560" w:type="dxa"/>
            <w:vAlign w:val="bottom"/>
            <w:shd w:val="clear" w:color="auto" w:fill="E8EDF4"/>
          </w:tcPr>
          <w:p>
            <w:pPr>
              <w:spacing w:after="0"/>
              <w:rPr>
                <w:sz w:val="16"/>
                <w:szCs w:val="16"/>
                <w:color w:val="auto"/>
              </w:rPr>
            </w:pPr>
          </w:p>
        </w:tc>
        <w:tc>
          <w:tcPr>
            <w:tcW w:w="720" w:type="dxa"/>
            <w:vAlign w:val="bottom"/>
            <w:shd w:val="clear" w:color="auto" w:fill="E8EDF4"/>
          </w:tcPr>
          <w:p>
            <w:pPr>
              <w:spacing w:after="0"/>
              <w:rPr>
                <w:sz w:val="16"/>
                <w:szCs w:val="16"/>
                <w:color w:val="auto"/>
              </w:rPr>
            </w:pPr>
          </w:p>
        </w:tc>
        <w:tc>
          <w:tcPr>
            <w:tcW w:w="720" w:type="dxa"/>
            <w:vAlign w:val="bottom"/>
            <w:shd w:val="clear" w:color="auto" w:fill="E8EDF4"/>
          </w:tcPr>
          <w:p>
            <w:pPr>
              <w:spacing w:after="0"/>
              <w:rPr>
                <w:sz w:val="16"/>
                <w:szCs w:val="16"/>
                <w:color w:val="auto"/>
              </w:rPr>
            </w:pPr>
          </w:p>
        </w:tc>
        <w:tc>
          <w:tcPr>
            <w:tcW w:w="840" w:type="dxa"/>
            <w:vAlign w:val="bottom"/>
            <w:shd w:val="clear" w:color="auto" w:fill="E8EDF4"/>
          </w:tcPr>
          <w:p>
            <w:pPr>
              <w:spacing w:after="0"/>
              <w:rPr>
                <w:sz w:val="16"/>
                <w:szCs w:val="16"/>
                <w:color w:val="auto"/>
              </w:rPr>
            </w:pPr>
          </w:p>
        </w:tc>
        <w:tc>
          <w:tcPr>
            <w:tcW w:w="820" w:type="dxa"/>
            <w:vAlign w:val="bottom"/>
            <w:shd w:val="clear" w:color="auto" w:fill="E8EDF4"/>
          </w:tcPr>
          <w:p>
            <w:pPr>
              <w:spacing w:after="0"/>
              <w:rPr>
                <w:sz w:val="16"/>
                <w:szCs w:val="16"/>
                <w:color w:val="auto"/>
              </w:rPr>
            </w:pPr>
          </w:p>
        </w:tc>
        <w:tc>
          <w:tcPr>
            <w:tcW w:w="1160" w:type="dxa"/>
            <w:vAlign w:val="bottom"/>
            <w:shd w:val="clear" w:color="auto" w:fill="E8EDF4"/>
          </w:tcPr>
          <w:p>
            <w:pPr>
              <w:spacing w:after="0"/>
              <w:rPr>
                <w:sz w:val="16"/>
                <w:szCs w:val="16"/>
                <w:color w:val="auto"/>
              </w:rPr>
            </w:pPr>
          </w:p>
        </w:tc>
        <w:tc>
          <w:tcPr>
            <w:tcW w:w="1180" w:type="dxa"/>
            <w:vAlign w:val="bottom"/>
            <w:shd w:val="clear" w:color="auto" w:fill="E8EDF4"/>
          </w:tcPr>
          <w:p>
            <w:pPr>
              <w:spacing w:after="0"/>
              <w:rPr>
                <w:sz w:val="16"/>
                <w:szCs w:val="16"/>
                <w:color w:val="auto"/>
              </w:rPr>
            </w:pPr>
          </w:p>
        </w:tc>
        <w:tc>
          <w:tcPr>
            <w:tcW w:w="920" w:type="dxa"/>
            <w:vAlign w:val="bottom"/>
            <w:shd w:val="clear" w:color="auto" w:fill="E8EDF4"/>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Martin Cotter</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2018</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445,673</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1,208,486</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428,088</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687,348</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108,627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2,878,222</w:t>
            </w:r>
          </w:p>
        </w:tc>
        <w:tc>
          <w:tcPr>
            <w:tcW w:w="0" w:type="dxa"/>
            <w:vAlign w:val="bottom"/>
          </w:tcPr>
          <w:p>
            <w:pPr>
              <w:spacing w:after="0"/>
              <w:rPr>
                <w:sz w:val="1"/>
                <w:szCs w:val="1"/>
                <w:color w:val="auto"/>
              </w:rPr>
            </w:pPr>
          </w:p>
        </w:tc>
      </w:tr>
      <w:tr>
        <w:trPr>
          <w:trHeight w:val="160"/>
        </w:trPr>
        <w:tc>
          <w:tcPr>
            <w:tcW w:w="3960" w:type="dxa"/>
            <w:vAlign w:val="bottom"/>
          </w:tcPr>
          <w:p>
            <w:pPr>
              <w:ind w:left="120"/>
              <w:spacing w:after="0"/>
              <w:rPr>
                <w:sz w:val="20"/>
                <w:szCs w:val="20"/>
                <w:color w:val="auto"/>
              </w:rPr>
            </w:pPr>
            <w:r>
              <w:rPr>
                <w:rFonts w:ascii="Arial" w:cs="Arial" w:eastAsia="Arial" w:hAnsi="Arial"/>
                <w:sz w:val="14"/>
                <w:szCs w:val="14"/>
                <w:color w:val="auto"/>
              </w:rPr>
              <w:t>Senior Vice President, Worldwide</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960" w:type="dxa"/>
            <w:vAlign w:val="bottom"/>
          </w:tcPr>
          <w:p>
            <w:pPr>
              <w:ind w:left="120"/>
              <w:spacing w:after="0"/>
              <w:rPr>
                <w:sz w:val="20"/>
                <w:szCs w:val="20"/>
                <w:color w:val="auto"/>
              </w:rPr>
            </w:pPr>
            <w:r>
              <w:rPr>
                <w:rFonts w:ascii="Arial" w:cs="Arial" w:eastAsia="Arial" w:hAnsi="Arial"/>
                <w:sz w:val="14"/>
                <w:szCs w:val="14"/>
                <w:color w:val="auto"/>
              </w:rPr>
              <w:t>Sales &amp; Digital Marketing</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960" w:type="dxa"/>
            <w:vAlign w:val="bottom"/>
            <w:shd w:val="clear" w:color="auto" w:fill="E8EDF4"/>
          </w:tcPr>
          <w:p>
            <w:pPr>
              <w:ind w:left="20"/>
              <w:spacing w:after="0"/>
              <w:rPr>
                <w:sz w:val="20"/>
                <w:szCs w:val="20"/>
                <w:color w:val="auto"/>
              </w:rPr>
            </w:pPr>
            <w:r>
              <w:rPr>
                <w:rFonts w:ascii="Arial" w:cs="Arial" w:eastAsia="Arial" w:hAnsi="Arial"/>
                <w:sz w:val="14"/>
                <w:szCs w:val="14"/>
                <w:b w:val="1"/>
                <w:bCs w:val="1"/>
                <w:color w:val="auto"/>
              </w:rPr>
              <w:t>John Hassett</w:t>
            </w:r>
          </w:p>
        </w:tc>
        <w:tc>
          <w:tcPr>
            <w:tcW w:w="5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2018</w:t>
            </w:r>
          </w:p>
        </w:tc>
        <w:tc>
          <w:tcPr>
            <w:tcW w:w="7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469,423</w:t>
            </w:r>
          </w:p>
        </w:tc>
        <w:tc>
          <w:tcPr>
            <w:tcW w:w="72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1,208,486</w:t>
            </w:r>
          </w:p>
        </w:tc>
        <w:tc>
          <w:tcPr>
            <w:tcW w:w="8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428,088</w:t>
            </w:r>
          </w:p>
        </w:tc>
        <w:tc>
          <w:tcPr>
            <w:tcW w:w="11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762,186</w:t>
            </w:r>
          </w:p>
        </w:tc>
        <w:tc>
          <w:tcPr>
            <w:tcW w:w="11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49,668</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2,917,851</w:t>
            </w:r>
          </w:p>
        </w:tc>
        <w:tc>
          <w:tcPr>
            <w:tcW w:w="0" w:type="dxa"/>
            <w:vAlign w:val="bottom"/>
          </w:tcPr>
          <w:p>
            <w:pPr>
              <w:spacing w:after="0"/>
              <w:rPr>
                <w:sz w:val="1"/>
                <w:szCs w:val="1"/>
                <w:color w:val="auto"/>
              </w:rPr>
            </w:pPr>
          </w:p>
        </w:tc>
      </w:tr>
      <w:tr>
        <w:trPr>
          <w:trHeight w:val="147"/>
        </w:trPr>
        <w:tc>
          <w:tcPr>
            <w:tcW w:w="3960" w:type="dxa"/>
            <w:vAlign w:val="bottom"/>
            <w:shd w:val="clear" w:color="auto" w:fill="E8EDF4"/>
          </w:tcPr>
          <w:p>
            <w:pPr>
              <w:ind w:left="120"/>
              <w:spacing w:after="0" w:line="147" w:lineRule="exact"/>
              <w:rPr>
                <w:sz w:val="20"/>
                <w:szCs w:val="20"/>
                <w:color w:val="auto"/>
              </w:rPr>
            </w:pPr>
            <w:r>
              <w:rPr>
                <w:rFonts w:ascii="Arial" w:cs="Arial" w:eastAsia="Arial" w:hAnsi="Arial"/>
                <w:sz w:val="14"/>
                <w:szCs w:val="14"/>
                <w:color w:val="auto"/>
              </w:rPr>
              <w:t>Senior Vice President, Global</w:t>
            </w:r>
          </w:p>
        </w:tc>
        <w:tc>
          <w:tcPr>
            <w:tcW w:w="560" w:type="dxa"/>
            <w:vAlign w:val="bottom"/>
            <w:shd w:val="clear" w:color="auto" w:fill="E8EDF4"/>
          </w:tcPr>
          <w:p>
            <w:pPr>
              <w:jc w:val="right"/>
              <w:ind w:right="29"/>
              <w:spacing w:after="0" w:line="147" w:lineRule="exact"/>
              <w:rPr>
                <w:sz w:val="20"/>
                <w:szCs w:val="20"/>
                <w:color w:val="auto"/>
              </w:rPr>
            </w:pPr>
            <w:r>
              <w:rPr>
                <w:rFonts w:ascii="Arial" w:cs="Arial" w:eastAsia="Arial" w:hAnsi="Arial"/>
                <w:sz w:val="14"/>
                <w:szCs w:val="14"/>
                <w:color w:val="auto"/>
              </w:rPr>
              <w:t>2017</w:t>
            </w:r>
          </w:p>
        </w:tc>
        <w:tc>
          <w:tcPr>
            <w:tcW w:w="720" w:type="dxa"/>
            <w:vAlign w:val="bottom"/>
            <w:shd w:val="clear" w:color="auto" w:fill="E8EDF4"/>
          </w:tcPr>
          <w:p>
            <w:pPr>
              <w:jc w:val="right"/>
              <w:ind w:right="29"/>
              <w:spacing w:after="0" w:line="147" w:lineRule="exact"/>
              <w:rPr>
                <w:sz w:val="20"/>
                <w:szCs w:val="20"/>
                <w:color w:val="auto"/>
              </w:rPr>
            </w:pPr>
            <w:r>
              <w:rPr>
                <w:rFonts w:ascii="Arial" w:cs="Arial" w:eastAsia="Arial" w:hAnsi="Arial"/>
                <w:sz w:val="14"/>
                <w:szCs w:val="14"/>
                <w:color w:val="auto"/>
              </w:rPr>
              <w:t>423,077</w:t>
            </w:r>
          </w:p>
        </w:tc>
        <w:tc>
          <w:tcPr>
            <w:tcW w:w="720" w:type="dxa"/>
            <w:vAlign w:val="bottom"/>
            <w:shd w:val="clear" w:color="auto" w:fill="E8EDF4"/>
          </w:tcPr>
          <w:p>
            <w:pPr>
              <w:ind w:left="400"/>
              <w:spacing w:after="0" w:line="147" w:lineRule="exact"/>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29"/>
              <w:spacing w:after="0" w:line="147" w:lineRule="exact"/>
              <w:rPr>
                <w:sz w:val="20"/>
                <w:szCs w:val="20"/>
                <w:color w:val="auto"/>
              </w:rPr>
            </w:pPr>
            <w:r>
              <w:rPr>
                <w:rFonts w:ascii="Arial" w:cs="Arial" w:eastAsia="Arial" w:hAnsi="Arial"/>
                <w:sz w:val="14"/>
                <w:szCs w:val="14"/>
                <w:color w:val="auto"/>
              </w:rPr>
              <w:t>2,132,825</w:t>
            </w:r>
          </w:p>
        </w:tc>
        <w:tc>
          <w:tcPr>
            <w:tcW w:w="820" w:type="dxa"/>
            <w:vAlign w:val="bottom"/>
            <w:shd w:val="clear" w:color="auto" w:fill="E8EDF4"/>
          </w:tcPr>
          <w:p>
            <w:pPr>
              <w:jc w:val="right"/>
              <w:ind w:right="9"/>
              <w:spacing w:after="0" w:line="147" w:lineRule="exact"/>
              <w:rPr>
                <w:sz w:val="20"/>
                <w:szCs w:val="20"/>
                <w:color w:val="auto"/>
              </w:rPr>
            </w:pPr>
            <w:r>
              <w:rPr>
                <w:rFonts w:ascii="Arial" w:cs="Arial" w:eastAsia="Arial" w:hAnsi="Arial"/>
                <w:sz w:val="14"/>
                <w:szCs w:val="14"/>
                <w:color w:val="auto"/>
              </w:rPr>
              <w:t>338,200</w:t>
            </w:r>
          </w:p>
        </w:tc>
        <w:tc>
          <w:tcPr>
            <w:tcW w:w="1160" w:type="dxa"/>
            <w:vAlign w:val="bottom"/>
            <w:shd w:val="clear" w:color="auto" w:fill="E8EDF4"/>
          </w:tcPr>
          <w:p>
            <w:pPr>
              <w:jc w:val="right"/>
              <w:ind w:right="9"/>
              <w:spacing w:after="0" w:line="147" w:lineRule="exact"/>
              <w:rPr>
                <w:sz w:val="20"/>
                <w:szCs w:val="20"/>
                <w:color w:val="auto"/>
              </w:rPr>
            </w:pPr>
            <w:r>
              <w:rPr>
                <w:rFonts w:ascii="Arial" w:cs="Arial" w:eastAsia="Arial" w:hAnsi="Arial"/>
                <w:sz w:val="14"/>
                <w:szCs w:val="14"/>
                <w:color w:val="auto"/>
              </w:rPr>
              <w:t>839,803</w:t>
            </w:r>
          </w:p>
        </w:tc>
        <w:tc>
          <w:tcPr>
            <w:tcW w:w="1180" w:type="dxa"/>
            <w:vAlign w:val="bottom"/>
            <w:shd w:val="clear" w:color="auto" w:fill="E8EDF4"/>
          </w:tcPr>
          <w:p>
            <w:pPr>
              <w:jc w:val="right"/>
              <w:ind w:right="29"/>
              <w:spacing w:after="0" w:line="147" w:lineRule="exact"/>
              <w:rPr>
                <w:sz w:val="20"/>
                <w:szCs w:val="20"/>
                <w:color w:val="auto"/>
              </w:rPr>
            </w:pPr>
            <w:r>
              <w:rPr>
                <w:rFonts w:ascii="Arial" w:cs="Arial" w:eastAsia="Arial" w:hAnsi="Arial"/>
                <w:sz w:val="14"/>
                <w:szCs w:val="14"/>
                <w:color w:val="auto"/>
              </w:rPr>
              <w:t>39,948</w:t>
            </w:r>
          </w:p>
        </w:tc>
        <w:tc>
          <w:tcPr>
            <w:tcW w:w="920" w:type="dxa"/>
            <w:vAlign w:val="bottom"/>
            <w:shd w:val="clear" w:color="auto" w:fill="E8EDF4"/>
          </w:tcPr>
          <w:p>
            <w:pPr>
              <w:jc w:val="right"/>
              <w:ind w:right="29"/>
              <w:spacing w:after="0" w:line="147" w:lineRule="exact"/>
              <w:rPr>
                <w:sz w:val="20"/>
                <w:szCs w:val="20"/>
                <w:color w:val="auto"/>
              </w:rPr>
            </w:pPr>
            <w:r>
              <w:rPr>
                <w:rFonts w:ascii="Arial" w:cs="Arial" w:eastAsia="Arial" w:hAnsi="Arial"/>
                <w:sz w:val="14"/>
                <w:szCs w:val="14"/>
                <w:color w:val="auto"/>
              </w:rPr>
              <w:t>3,773,853</w:t>
            </w:r>
          </w:p>
        </w:tc>
        <w:tc>
          <w:tcPr>
            <w:tcW w:w="0" w:type="dxa"/>
            <w:vAlign w:val="bottom"/>
          </w:tcPr>
          <w:p>
            <w:pPr>
              <w:spacing w:after="0"/>
              <w:rPr>
                <w:sz w:val="1"/>
                <w:szCs w:val="1"/>
                <w:color w:val="auto"/>
              </w:rPr>
            </w:pPr>
          </w:p>
        </w:tc>
      </w:tr>
      <w:tr>
        <w:trPr>
          <w:trHeight w:val="187"/>
        </w:trPr>
        <w:tc>
          <w:tcPr>
            <w:tcW w:w="3960" w:type="dxa"/>
            <w:vAlign w:val="bottom"/>
            <w:shd w:val="clear" w:color="auto" w:fill="E8EDF4"/>
          </w:tcPr>
          <w:p>
            <w:pPr>
              <w:ind w:left="120"/>
              <w:spacing w:after="0"/>
              <w:rPr>
                <w:sz w:val="20"/>
                <w:szCs w:val="20"/>
                <w:color w:val="auto"/>
              </w:rPr>
            </w:pPr>
            <w:r>
              <w:rPr>
                <w:rFonts w:ascii="Arial" w:cs="Arial" w:eastAsia="Arial" w:hAnsi="Arial"/>
                <w:sz w:val="14"/>
                <w:szCs w:val="14"/>
                <w:color w:val="auto"/>
              </w:rPr>
              <w:t>Operations and Technology</w:t>
            </w:r>
          </w:p>
        </w:tc>
        <w:tc>
          <w:tcPr>
            <w:tcW w:w="560" w:type="dxa"/>
            <w:vAlign w:val="bottom"/>
            <w:shd w:val="clear" w:color="auto" w:fill="E8EDF4"/>
          </w:tcPr>
          <w:p>
            <w:pPr>
              <w:spacing w:after="0"/>
              <w:rPr>
                <w:sz w:val="16"/>
                <w:szCs w:val="16"/>
                <w:color w:val="auto"/>
              </w:rPr>
            </w:pPr>
          </w:p>
        </w:tc>
        <w:tc>
          <w:tcPr>
            <w:tcW w:w="720" w:type="dxa"/>
            <w:vAlign w:val="bottom"/>
            <w:shd w:val="clear" w:color="auto" w:fill="E8EDF4"/>
          </w:tcPr>
          <w:p>
            <w:pPr>
              <w:spacing w:after="0"/>
              <w:rPr>
                <w:sz w:val="16"/>
                <w:szCs w:val="16"/>
                <w:color w:val="auto"/>
              </w:rPr>
            </w:pPr>
          </w:p>
        </w:tc>
        <w:tc>
          <w:tcPr>
            <w:tcW w:w="720" w:type="dxa"/>
            <w:vAlign w:val="bottom"/>
            <w:shd w:val="clear" w:color="auto" w:fill="E8EDF4"/>
          </w:tcPr>
          <w:p>
            <w:pPr>
              <w:spacing w:after="0"/>
              <w:rPr>
                <w:sz w:val="16"/>
                <w:szCs w:val="16"/>
                <w:color w:val="auto"/>
              </w:rPr>
            </w:pPr>
          </w:p>
        </w:tc>
        <w:tc>
          <w:tcPr>
            <w:tcW w:w="840" w:type="dxa"/>
            <w:vAlign w:val="bottom"/>
            <w:shd w:val="clear" w:color="auto" w:fill="E8EDF4"/>
          </w:tcPr>
          <w:p>
            <w:pPr>
              <w:spacing w:after="0"/>
              <w:rPr>
                <w:sz w:val="16"/>
                <w:szCs w:val="16"/>
                <w:color w:val="auto"/>
              </w:rPr>
            </w:pPr>
          </w:p>
        </w:tc>
        <w:tc>
          <w:tcPr>
            <w:tcW w:w="820" w:type="dxa"/>
            <w:vAlign w:val="bottom"/>
            <w:shd w:val="clear" w:color="auto" w:fill="E8EDF4"/>
          </w:tcPr>
          <w:p>
            <w:pPr>
              <w:spacing w:after="0"/>
              <w:rPr>
                <w:sz w:val="16"/>
                <w:szCs w:val="16"/>
                <w:color w:val="auto"/>
              </w:rPr>
            </w:pPr>
          </w:p>
        </w:tc>
        <w:tc>
          <w:tcPr>
            <w:tcW w:w="1160" w:type="dxa"/>
            <w:vAlign w:val="bottom"/>
            <w:shd w:val="clear" w:color="auto" w:fill="E8EDF4"/>
          </w:tcPr>
          <w:p>
            <w:pPr>
              <w:spacing w:after="0"/>
              <w:rPr>
                <w:sz w:val="16"/>
                <w:szCs w:val="16"/>
                <w:color w:val="auto"/>
              </w:rPr>
            </w:pPr>
          </w:p>
        </w:tc>
        <w:tc>
          <w:tcPr>
            <w:tcW w:w="1180" w:type="dxa"/>
            <w:vAlign w:val="bottom"/>
            <w:shd w:val="clear" w:color="auto" w:fill="E8EDF4"/>
          </w:tcPr>
          <w:p>
            <w:pPr>
              <w:spacing w:after="0"/>
              <w:rPr>
                <w:sz w:val="16"/>
                <w:szCs w:val="16"/>
                <w:color w:val="auto"/>
              </w:rPr>
            </w:pPr>
          </w:p>
        </w:tc>
        <w:tc>
          <w:tcPr>
            <w:tcW w:w="920" w:type="dxa"/>
            <w:vAlign w:val="bottom"/>
            <w:shd w:val="clear" w:color="auto" w:fill="E8EDF4"/>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Steve Pietkiewicz</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2018</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408,786</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1,451,045</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493,930</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771,403</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242,397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3,367,561</w:t>
            </w:r>
          </w:p>
        </w:tc>
        <w:tc>
          <w:tcPr>
            <w:tcW w:w="0" w:type="dxa"/>
            <w:vAlign w:val="bottom"/>
          </w:tcPr>
          <w:p>
            <w:pPr>
              <w:spacing w:after="0"/>
              <w:rPr>
                <w:sz w:val="1"/>
                <w:szCs w:val="1"/>
                <w:color w:val="auto"/>
              </w:rPr>
            </w:pPr>
          </w:p>
        </w:tc>
      </w:tr>
      <w:tr>
        <w:trPr>
          <w:trHeight w:val="160"/>
        </w:trPr>
        <w:tc>
          <w:tcPr>
            <w:tcW w:w="3960" w:type="dxa"/>
            <w:vAlign w:val="bottom"/>
          </w:tcPr>
          <w:p>
            <w:pPr>
              <w:ind w:left="120"/>
              <w:spacing w:after="0"/>
              <w:rPr>
                <w:sz w:val="20"/>
                <w:szCs w:val="20"/>
                <w:color w:val="auto"/>
              </w:rPr>
            </w:pPr>
            <w:r>
              <w:rPr>
                <w:rFonts w:ascii="Arial" w:cs="Arial" w:eastAsia="Arial" w:hAnsi="Arial"/>
                <w:sz w:val="14"/>
                <w:szCs w:val="14"/>
                <w:color w:val="auto"/>
              </w:rPr>
              <w:t>Senior Vice President, Power</w:t>
            </w:r>
          </w:p>
        </w:tc>
        <w:tc>
          <w:tcPr>
            <w:tcW w:w="560" w:type="dxa"/>
            <w:vAlign w:val="bottom"/>
          </w:tcPr>
          <w:p>
            <w:pPr>
              <w:jc w:val="right"/>
              <w:ind w:right="29"/>
              <w:spacing w:after="0"/>
              <w:rPr>
                <w:sz w:val="20"/>
                <w:szCs w:val="20"/>
                <w:color w:val="auto"/>
              </w:rPr>
            </w:pPr>
            <w:r>
              <w:rPr>
                <w:rFonts w:ascii="Arial" w:cs="Arial" w:eastAsia="Arial" w:hAnsi="Arial"/>
                <w:sz w:val="14"/>
                <w:szCs w:val="14"/>
                <w:color w:val="auto"/>
              </w:rPr>
              <w:t>2017</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215,926</w:t>
            </w: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3,288,608</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476,470</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553,183</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41,010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4,575,197</w:t>
            </w:r>
          </w:p>
        </w:tc>
        <w:tc>
          <w:tcPr>
            <w:tcW w:w="0" w:type="dxa"/>
            <w:vAlign w:val="bottom"/>
          </w:tcPr>
          <w:p>
            <w:pPr>
              <w:spacing w:after="0"/>
              <w:rPr>
                <w:sz w:val="1"/>
                <w:szCs w:val="1"/>
                <w:color w:val="auto"/>
              </w:rPr>
            </w:pPr>
          </w:p>
        </w:tc>
      </w:tr>
      <w:tr>
        <w:trPr>
          <w:trHeight w:val="193"/>
        </w:trPr>
        <w:tc>
          <w:tcPr>
            <w:tcW w:w="3960" w:type="dxa"/>
            <w:vAlign w:val="bottom"/>
          </w:tcPr>
          <w:p>
            <w:pPr>
              <w:ind w:left="120"/>
              <w:spacing w:after="0"/>
              <w:rPr>
                <w:sz w:val="20"/>
                <w:szCs w:val="20"/>
                <w:color w:val="auto"/>
              </w:rPr>
            </w:pPr>
            <w:r>
              <w:rPr>
                <w:rFonts w:ascii="Arial" w:cs="Arial" w:eastAsia="Arial" w:hAnsi="Arial"/>
                <w:sz w:val="14"/>
                <w:szCs w:val="14"/>
                <w:color w:val="auto"/>
              </w:rPr>
              <w:t>Products</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6515100</wp:posOffset>
            </wp:positionH>
            <wp:positionV relativeFrom="paragraph">
              <wp:posOffset>-765810</wp:posOffset>
            </wp:positionV>
            <wp:extent cx="8255" cy="3816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-765810</wp:posOffset>
            </wp:positionV>
            <wp:extent cx="8255" cy="3816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-765810</wp:posOffset>
            </wp:positionV>
            <wp:extent cx="8255" cy="3816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-765810</wp:posOffset>
            </wp:positionV>
            <wp:extent cx="8255" cy="3816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-765810</wp:posOffset>
            </wp:positionV>
            <wp:extent cx="8255" cy="3816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-765810</wp:posOffset>
            </wp:positionV>
            <wp:extent cx="8255" cy="3816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-765810</wp:posOffset>
            </wp:positionV>
            <wp:extent cx="8255" cy="3816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-765810</wp:posOffset>
            </wp:positionV>
            <wp:extent cx="8255" cy="3816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381635"/>
                    </a:xfrm>
                    <a:prstGeom prst="rect">
                      <a:avLst/>
                    </a:prstGeom>
                    <a:noFill/>
                  </pic:spPr>
                </pic:pic>
              </a:graphicData>
            </a:graphic>
          </wp:anchor>
        </w:drawing>
        <w:drawing>
          <wp:anchor simplePos="0" relativeHeight="251657728" behindDoc="1" locked="0" layoutInCell="0" allowOverlap="1">
            <wp:simplePos x="0" y="0"/>
            <wp:positionH relativeFrom="column">
              <wp:posOffset>6515100</wp:posOffset>
            </wp:positionH>
            <wp:positionV relativeFrom="paragraph">
              <wp:posOffset>-1630680</wp:posOffset>
            </wp:positionV>
            <wp:extent cx="8255" cy="4832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-1630680</wp:posOffset>
            </wp:positionV>
            <wp:extent cx="8255" cy="4832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-1630680</wp:posOffset>
            </wp:positionV>
            <wp:extent cx="8255" cy="4832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-1630680</wp:posOffset>
            </wp:positionV>
            <wp:extent cx="8255" cy="4832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-1630680</wp:posOffset>
            </wp:positionV>
            <wp:extent cx="8255" cy="4832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3514090</wp:posOffset>
            </wp:positionH>
            <wp:positionV relativeFrom="paragraph">
              <wp:posOffset>-1630680</wp:posOffset>
            </wp:positionV>
            <wp:extent cx="8255" cy="4832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-1630680</wp:posOffset>
            </wp:positionV>
            <wp:extent cx="8255" cy="4832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-1630680</wp:posOffset>
            </wp:positionV>
            <wp:extent cx="8255" cy="4832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4832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81280</wp:posOffset>
            </wp:positionV>
            <wp:extent cx="686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38" w:lineRule="exact"/>
        <w:rPr>
          <w:sz w:val="20"/>
          <w:szCs w:val="20"/>
          <w:color w:val="auto"/>
        </w:rPr>
      </w:pPr>
    </w:p>
    <w:p>
      <w:pPr>
        <w:ind w:left="700" w:right="720" w:hanging="433"/>
        <w:spacing w:after="0" w:line="269" w:lineRule="auto"/>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reported for Mr. Mahendra-Rajah for fiscal 2017 represents a hiring bonus paid pursuant to his offer letter dated August 4, 2017.</w:t>
      </w:r>
    </w:p>
    <w:p>
      <w:pPr>
        <w:spacing w:after="0" w:line="56" w:lineRule="exact"/>
        <w:rPr>
          <w:rFonts w:ascii="Arial" w:cs="Arial" w:eastAsia="Arial" w:hAnsi="Arial"/>
          <w:sz w:val="18"/>
          <w:szCs w:val="18"/>
          <w:color w:val="auto"/>
        </w:rPr>
      </w:pPr>
    </w:p>
    <w:p>
      <w:pPr>
        <w:ind w:left="1140" w:right="180" w:hanging="873"/>
        <w:spacing w:after="0" w:line="250" w:lineRule="auto"/>
        <w:tabs>
          <w:tab w:leader="none" w:pos="7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Amounts represent the aggregate grant date fair value of time-based and performance-based RSUs granted in fiscal 2018, 2017 and 2016 and the Linear Integration performance-based restricted stock units, or the Linear Integration PRSUs, granted to our executives (excluding our CEO) in fiscal 2017.</w:t>
      </w:r>
    </w:p>
    <w:p>
      <w:pPr>
        <w:spacing w:after="0" w:line="74" w:lineRule="exact"/>
        <w:rPr>
          <w:sz w:val="20"/>
          <w:szCs w:val="20"/>
          <w:color w:val="auto"/>
        </w:rPr>
      </w:pPr>
    </w:p>
    <w:p>
      <w:pPr>
        <w:ind w:left="1120" w:hanging="376"/>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stock options granted in fiscal 2018, 2017 and 2016.</w:t>
      </w:r>
    </w:p>
    <w:p>
      <w:pPr>
        <w:spacing w:after="0" w:line="100" w:lineRule="exact"/>
        <w:rPr>
          <w:sz w:val="20"/>
          <w:szCs w:val="20"/>
          <w:color w:val="auto"/>
        </w:rPr>
      </w:pPr>
    </w:p>
    <w:p>
      <w:pPr>
        <w:jc w:val="both"/>
        <w:ind w:left="260" w:right="300" w:firstLine="435"/>
        <w:spacing w:after="0" w:line="250" w:lineRule="auto"/>
        <w:rPr>
          <w:sz w:val="20"/>
          <w:szCs w:val="20"/>
          <w:color w:val="auto"/>
        </w:rPr>
      </w:pPr>
      <w:r>
        <w:rPr>
          <w:rFonts w:ascii="Arial" w:cs="Arial" w:eastAsia="Arial" w:hAnsi="Arial"/>
          <w:sz w:val="18"/>
          <w:szCs w:val="18"/>
          <w:color w:val="auto"/>
        </w:rPr>
        <w:t>These amounts do not represent the actual amounts paid to or realized by the NEO for these awards during the respective fiscal years. We recognize the value as of the grant date for stock options and time-based and performance-based RSUs over the number of days of service required for the grant to become vested.</w:t>
      </w:r>
    </w:p>
    <w:p>
      <w:pPr>
        <w:spacing w:after="0" w:line="101" w:lineRule="exact"/>
        <w:rPr>
          <w:sz w:val="20"/>
          <w:szCs w:val="20"/>
          <w:color w:val="auto"/>
        </w:rPr>
      </w:pPr>
    </w:p>
    <w:p>
      <w:pPr>
        <w:ind w:left="9280"/>
        <w:spacing w:after="0"/>
        <w:tabs>
          <w:tab w:leader="none" w:pos="109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55</w:t>
      </w:r>
    </w:p>
    <w:p>
      <w:pPr>
        <w:sectPr>
          <w:pgSz w:w="11900" w:h="16838" w:orient="portrait"/>
          <w:cols w:equalWidth="0" w:num="1">
            <w:col w:w="11160"/>
          </w:cols>
          <w:pgMar w:left="240" w:top="453"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right="100" w:firstLine="435"/>
        <w:spacing w:after="0" w:line="244" w:lineRule="auto"/>
        <w:rPr>
          <w:sz w:val="20"/>
          <w:szCs w:val="20"/>
          <w:color w:val="auto"/>
        </w:rPr>
      </w:pPr>
      <w:r>
        <w:rPr>
          <w:rFonts w:ascii="Arial" w:cs="Arial" w:eastAsia="Arial" w:hAnsi="Arial"/>
          <w:sz w:val="18"/>
          <w:szCs w:val="18"/>
          <w:color w:val="auto"/>
        </w:rPr>
        <w:t>The following table includes the assumptions, rounded to the nearest hundredth, that we used to calculate the grant date fair value reported for fiscal years 2018, 2017 and 2016 on a grant-by-grant basis, the grant date fair value of performance-based RSUs, assuming the achievement of the maximum level of performance conditions and the grant date fair value of the Linear Integration PRSUs granted in fiscal 2017.</w:t>
      </w:r>
    </w:p>
    <w:p>
      <w:pPr>
        <w:spacing w:after="0" w:line="22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500" w:type="dxa"/>
            <w:vAlign w:val="bottom"/>
            <w:shd w:val="clear" w:color="auto" w:fill="052B82"/>
          </w:tcPr>
          <w:p>
            <w:pPr>
              <w:spacing w:after="0"/>
              <w:rPr>
                <w:sz w:val="14"/>
                <w:szCs w:val="14"/>
                <w:color w:val="auto"/>
              </w:rPr>
            </w:pPr>
          </w:p>
        </w:tc>
        <w:tc>
          <w:tcPr>
            <w:tcW w:w="200" w:type="dxa"/>
            <w:vAlign w:val="bottom"/>
            <w:shd w:val="clear" w:color="auto" w:fill="052B82"/>
          </w:tcPr>
          <w:p>
            <w:pPr>
              <w:spacing w:after="0"/>
              <w:rPr>
                <w:sz w:val="14"/>
                <w:szCs w:val="14"/>
                <w:color w:val="auto"/>
              </w:rPr>
            </w:pPr>
          </w:p>
        </w:tc>
        <w:tc>
          <w:tcPr>
            <w:tcW w:w="720" w:type="dxa"/>
            <w:vAlign w:val="bottom"/>
            <w:shd w:val="clear" w:color="auto" w:fill="052B82"/>
          </w:tcPr>
          <w:p>
            <w:pPr>
              <w:spacing w:after="0"/>
              <w:rPr>
                <w:sz w:val="14"/>
                <w:szCs w:val="14"/>
                <w:color w:val="auto"/>
              </w:rPr>
            </w:pPr>
          </w:p>
        </w:tc>
        <w:tc>
          <w:tcPr>
            <w:tcW w:w="24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780" w:type="dxa"/>
            <w:vAlign w:val="bottom"/>
            <w:shd w:val="clear" w:color="auto" w:fill="052B82"/>
          </w:tcPr>
          <w:p>
            <w:pPr>
              <w:spacing w:after="0"/>
              <w:rPr>
                <w:sz w:val="14"/>
                <w:szCs w:val="14"/>
                <w:color w:val="auto"/>
              </w:rPr>
            </w:pPr>
          </w:p>
        </w:tc>
        <w:tc>
          <w:tcPr>
            <w:tcW w:w="800" w:type="dxa"/>
            <w:vAlign w:val="bottom"/>
            <w:shd w:val="clear" w:color="auto" w:fill="052B82"/>
          </w:tcPr>
          <w:p>
            <w:pPr>
              <w:spacing w:after="0"/>
              <w:rPr>
                <w:sz w:val="14"/>
                <w:szCs w:val="14"/>
                <w:color w:val="auto"/>
              </w:rPr>
            </w:pPr>
          </w:p>
        </w:tc>
        <w:tc>
          <w:tcPr>
            <w:tcW w:w="1700" w:type="dxa"/>
            <w:vAlign w:val="bottom"/>
            <w:gridSpan w:val="2"/>
            <w:shd w:val="clear" w:color="auto" w:fill="052B82"/>
          </w:tcPr>
          <w:p>
            <w:pPr>
              <w:jc w:val="right"/>
              <w:ind w:right="329"/>
              <w:spacing w:after="0"/>
              <w:rPr>
                <w:sz w:val="20"/>
                <w:szCs w:val="20"/>
                <w:color w:val="auto"/>
              </w:rPr>
            </w:pPr>
            <w:r>
              <w:rPr>
                <w:rFonts w:ascii="Arial" w:cs="Arial" w:eastAsia="Arial" w:hAnsi="Arial"/>
                <w:sz w:val="14"/>
                <w:szCs w:val="14"/>
                <w:b w:val="1"/>
                <w:bCs w:val="1"/>
                <w:color w:val="FFFFFF"/>
              </w:rPr>
              <w:t>Assumptions</w:t>
            </w:r>
          </w:p>
        </w:tc>
        <w:tc>
          <w:tcPr>
            <w:tcW w:w="820" w:type="dxa"/>
            <w:vAlign w:val="bottom"/>
            <w:shd w:val="clear" w:color="auto" w:fill="052B82"/>
          </w:tcPr>
          <w:p>
            <w:pPr>
              <w:spacing w:after="0"/>
              <w:rPr>
                <w:sz w:val="14"/>
                <w:szCs w:val="14"/>
                <w:color w:val="auto"/>
              </w:rPr>
            </w:pPr>
          </w:p>
        </w:tc>
        <w:tc>
          <w:tcPr>
            <w:tcW w:w="6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Grant</w:t>
            </w:r>
          </w:p>
        </w:tc>
        <w:tc>
          <w:tcPr>
            <w:tcW w:w="1520" w:type="dxa"/>
            <w:vAlign w:val="bottom"/>
            <w:shd w:val="clear" w:color="auto" w:fill="052B8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052B82"/>
          </w:tcPr>
          <w:p>
            <w:pPr>
              <w:spacing w:after="0"/>
              <w:rPr>
                <w:sz w:val="12"/>
                <w:szCs w:val="12"/>
                <w:color w:val="auto"/>
              </w:rPr>
            </w:pPr>
          </w:p>
        </w:tc>
        <w:tc>
          <w:tcPr>
            <w:tcW w:w="200" w:type="dxa"/>
            <w:vAlign w:val="bottom"/>
            <w:shd w:val="clear" w:color="auto" w:fill="052B82"/>
          </w:tcPr>
          <w:p>
            <w:pPr>
              <w:spacing w:after="0"/>
              <w:rPr>
                <w:sz w:val="12"/>
                <w:szCs w:val="12"/>
                <w:color w:val="auto"/>
              </w:rPr>
            </w:pPr>
          </w:p>
        </w:tc>
        <w:tc>
          <w:tcPr>
            <w:tcW w:w="720" w:type="dxa"/>
            <w:vAlign w:val="bottom"/>
            <w:shd w:val="clear" w:color="auto" w:fill="052B82"/>
          </w:tcPr>
          <w:p>
            <w:pPr>
              <w:spacing w:after="0"/>
              <w:rPr>
                <w:sz w:val="12"/>
                <w:szCs w:val="12"/>
                <w:color w:val="auto"/>
              </w:rPr>
            </w:pPr>
          </w:p>
        </w:tc>
        <w:tc>
          <w:tcPr>
            <w:tcW w:w="240" w:type="dxa"/>
            <w:vAlign w:val="bottom"/>
            <w:shd w:val="clear" w:color="auto" w:fill="052B82"/>
          </w:tcPr>
          <w:p>
            <w:pPr>
              <w:spacing w:after="0"/>
              <w:rPr>
                <w:sz w:val="12"/>
                <w:szCs w:val="12"/>
                <w:color w:val="auto"/>
              </w:rPr>
            </w:pPr>
          </w:p>
        </w:tc>
        <w:tc>
          <w:tcPr>
            <w:tcW w:w="940" w:type="dxa"/>
            <w:vAlign w:val="bottom"/>
            <w:vMerge w:val="restart"/>
            <w:shd w:val="clear" w:color="auto" w:fill="052B82"/>
          </w:tcPr>
          <w:p>
            <w:pPr>
              <w:jc w:val="center"/>
              <w:ind w:right="249"/>
              <w:spacing w:after="0"/>
              <w:rPr>
                <w:sz w:val="20"/>
                <w:szCs w:val="20"/>
                <w:color w:val="auto"/>
              </w:rPr>
            </w:pPr>
            <w:r>
              <w:rPr>
                <w:rFonts w:ascii="Arial" w:cs="Arial" w:eastAsia="Arial" w:hAnsi="Arial"/>
                <w:sz w:val="14"/>
                <w:szCs w:val="14"/>
                <w:b w:val="1"/>
                <w:bCs w:val="1"/>
                <w:color w:val="FFFFFF"/>
              </w:rPr>
              <w:t>Options/</w:t>
            </w:r>
          </w:p>
        </w:tc>
        <w:tc>
          <w:tcPr>
            <w:tcW w:w="780" w:type="dxa"/>
            <w:vAlign w:val="bottom"/>
            <w:shd w:val="clear" w:color="auto" w:fill="052B82"/>
          </w:tcPr>
          <w:p>
            <w:pPr>
              <w:spacing w:after="0"/>
              <w:rPr>
                <w:sz w:val="12"/>
                <w:szCs w:val="12"/>
                <w:color w:val="auto"/>
              </w:rPr>
            </w:pPr>
          </w:p>
        </w:tc>
        <w:tc>
          <w:tcPr>
            <w:tcW w:w="800" w:type="dxa"/>
            <w:vAlign w:val="bottom"/>
            <w:shd w:val="clear" w:color="auto" w:fill="052B82"/>
          </w:tcPr>
          <w:p>
            <w:pPr>
              <w:spacing w:after="0"/>
              <w:rPr>
                <w:sz w:val="12"/>
                <w:szCs w:val="12"/>
                <w:color w:val="auto"/>
              </w:rPr>
            </w:pPr>
          </w:p>
        </w:tc>
        <w:tc>
          <w:tcPr>
            <w:tcW w:w="840" w:type="dxa"/>
            <w:vAlign w:val="bottom"/>
            <w:shd w:val="clear" w:color="auto" w:fill="052B82"/>
          </w:tcPr>
          <w:p>
            <w:pPr>
              <w:spacing w:after="0"/>
              <w:rPr>
                <w:sz w:val="12"/>
                <w:szCs w:val="12"/>
                <w:color w:val="auto"/>
              </w:rPr>
            </w:pPr>
          </w:p>
        </w:tc>
        <w:tc>
          <w:tcPr>
            <w:tcW w:w="860" w:type="dxa"/>
            <w:vAlign w:val="bottom"/>
            <w:shd w:val="clear" w:color="auto" w:fill="052B82"/>
          </w:tcPr>
          <w:p>
            <w:pPr>
              <w:spacing w:after="0"/>
              <w:rPr>
                <w:sz w:val="12"/>
                <w:szCs w:val="12"/>
                <w:color w:val="auto"/>
              </w:rPr>
            </w:pPr>
          </w:p>
        </w:tc>
        <w:tc>
          <w:tcPr>
            <w:tcW w:w="820" w:type="dxa"/>
            <w:vAlign w:val="bottom"/>
            <w:shd w:val="clear" w:color="auto" w:fill="052B82"/>
          </w:tcPr>
          <w:p>
            <w:pPr>
              <w:spacing w:after="0"/>
              <w:rPr>
                <w:sz w:val="12"/>
                <w:szCs w:val="12"/>
                <w:color w:val="auto"/>
              </w:rPr>
            </w:pPr>
          </w:p>
        </w:tc>
        <w:tc>
          <w:tcPr>
            <w:tcW w:w="660" w:type="dxa"/>
            <w:vAlign w:val="bottom"/>
            <w:vMerge w:val="continue"/>
            <w:shd w:val="clear" w:color="auto" w:fill="052B82"/>
          </w:tcPr>
          <w:p>
            <w:pPr>
              <w:spacing w:after="0"/>
              <w:rPr>
                <w:sz w:val="12"/>
                <w:szCs w:val="12"/>
                <w:color w:val="auto"/>
              </w:rPr>
            </w:pPr>
          </w:p>
        </w:tc>
        <w:tc>
          <w:tcPr>
            <w:tcW w:w="152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0"/>
        </w:trPr>
        <w:tc>
          <w:tcPr>
            <w:tcW w:w="250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940" w:type="dxa"/>
            <w:vAlign w:val="bottom"/>
            <w:vMerge w:val="continue"/>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84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52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1180" w:type="dxa"/>
            <w:vAlign w:val="bottom"/>
            <w:gridSpan w:val="2"/>
            <w:shd w:val="clear" w:color="auto" w:fill="052B82"/>
          </w:tcPr>
          <w:p>
            <w:pPr>
              <w:jc w:val="center"/>
              <w:ind w:right="9"/>
              <w:spacing w:after="0"/>
              <w:rPr>
                <w:sz w:val="20"/>
                <w:szCs w:val="20"/>
                <w:color w:val="auto"/>
              </w:rPr>
            </w:pPr>
            <w:r>
              <w:rPr>
                <w:rFonts w:ascii="Arial" w:cs="Arial" w:eastAsia="Arial" w:hAnsi="Arial"/>
                <w:sz w:val="14"/>
                <w:szCs w:val="14"/>
                <w:b w:val="1"/>
                <w:bCs w:val="1"/>
                <w:color w:val="FFFFFF"/>
              </w:rPr>
              <w:t>Restricted</w:t>
            </w:r>
          </w:p>
        </w:tc>
        <w:tc>
          <w:tcPr>
            <w:tcW w:w="7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84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Fair Value at</w:t>
            </w:r>
          </w:p>
        </w:tc>
        <w:tc>
          <w:tcPr>
            <w:tcW w:w="0" w:type="dxa"/>
            <w:vAlign w:val="bottom"/>
          </w:tcPr>
          <w:p>
            <w:pPr>
              <w:spacing w:after="0"/>
              <w:rPr>
                <w:sz w:val="1"/>
                <w:szCs w:val="1"/>
                <w:color w:val="auto"/>
              </w:rPr>
            </w:pPr>
          </w:p>
        </w:tc>
      </w:tr>
      <w:tr>
        <w:trPr>
          <w:trHeight w:val="160"/>
        </w:trPr>
        <w:tc>
          <w:tcPr>
            <w:tcW w:w="250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940" w:type="dxa"/>
            <w:vAlign w:val="bottom"/>
            <w:shd w:val="clear" w:color="auto" w:fill="052B82"/>
          </w:tcPr>
          <w:p>
            <w:pPr>
              <w:jc w:val="center"/>
              <w:ind w:right="249"/>
              <w:spacing w:after="0"/>
              <w:rPr>
                <w:sz w:val="20"/>
                <w:szCs w:val="20"/>
                <w:color w:val="auto"/>
              </w:rPr>
            </w:pPr>
            <w:r>
              <w:rPr>
                <w:rFonts w:ascii="Arial" w:cs="Arial" w:eastAsia="Arial" w:hAnsi="Arial"/>
                <w:sz w:val="14"/>
                <w:szCs w:val="14"/>
                <w:b w:val="1"/>
                <w:bCs w:val="1"/>
                <w:color w:val="FFFFFF"/>
                <w:w w:val="99"/>
              </w:rPr>
              <w:t>Stock</w:t>
            </w:r>
          </w:p>
        </w:tc>
        <w:tc>
          <w:tcPr>
            <w:tcW w:w="780" w:type="dxa"/>
            <w:vAlign w:val="bottom"/>
            <w:vMerge w:val="restart"/>
            <w:shd w:val="clear" w:color="auto" w:fill="052B82"/>
          </w:tcPr>
          <w:p>
            <w:pPr>
              <w:jc w:val="right"/>
              <w:ind w:right="29"/>
              <w:spacing w:after="0"/>
              <w:rPr>
                <w:sz w:val="20"/>
                <w:szCs w:val="20"/>
                <w:color w:val="auto"/>
              </w:rPr>
            </w:pPr>
            <w:r>
              <w:rPr>
                <w:rFonts w:ascii="Arial" w:cs="Arial" w:eastAsia="Arial" w:hAnsi="Arial"/>
                <w:sz w:val="14"/>
                <w:szCs w:val="14"/>
                <w:b w:val="1"/>
                <w:bCs w:val="1"/>
                <w:color w:val="FFFFFF"/>
              </w:rPr>
              <w:t>Exercise</w:t>
            </w:r>
          </w:p>
        </w:tc>
        <w:tc>
          <w:tcPr>
            <w:tcW w:w="800" w:type="dxa"/>
            <w:vAlign w:val="bottom"/>
            <w:shd w:val="clear" w:color="auto" w:fill="052B82"/>
          </w:tcPr>
          <w:p>
            <w:pPr>
              <w:spacing w:after="0"/>
              <w:rPr>
                <w:sz w:val="13"/>
                <w:szCs w:val="13"/>
                <w:color w:val="auto"/>
              </w:rPr>
            </w:pPr>
          </w:p>
        </w:tc>
        <w:tc>
          <w:tcPr>
            <w:tcW w:w="840" w:type="dxa"/>
            <w:vAlign w:val="bottom"/>
            <w:vMerge w:val="restart"/>
            <w:shd w:val="clear" w:color="auto" w:fill="052B82"/>
          </w:tcPr>
          <w:p>
            <w:pPr>
              <w:jc w:val="right"/>
              <w:ind w:right="29"/>
              <w:spacing w:after="0"/>
              <w:rPr>
                <w:sz w:val="20"/>
                <w:szCs w:val="20"/>
                <w:color w:val="auto"/>
              </w:rPr>
            </w:pPr>
            <w:r>
              <w:rPr>
                <w:rFonts w:ascii="Arial" w:cs="Arial" w:eastAsia="Arial" w:hAnsi="Arial"/>
                <w:sz w:val="14"/>
                <w:szCs w:val="14"/>
                <w:b w:val="1"/>
                <w:bCs w:val="1"/>
                <w:color w:val="FFFFFF"/>
              </w:rPr>
              <w:t>Expected</w:t>
            </w:r>
          </w:p>
        </w:tc>
        <w:tc>
          <w:tcPr>
            <w:tcW w:w="8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Risk-Free</w:t>
            </w:r>
          </w:p>
        </w:tc>
        <w:tc>
          <w:tcPr>
            <w:tcW w:w="82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Dividend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160"/>
        </w:trPr>
        <w:tc>
          <w:tcPr>
            <w:tcW w:w="250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720" w:type="dxa"/>
            <w:vAlign w:val="bottom"/>
            <w:vMerge w:val="restart"/>
            <w:shd w:val="clear" w:color="auto" w:fill="052B82"/>
          </w:tcPr>
          <w:p>
            <w:pPr>
              <w:jc w:val="right"/>
              <w:ind w:right="129"/>
              <w:spacing w:after="0"/>
              <w:rPr>
                <w:sz w:val="20"/>
                <w:szCs w:val="20"/>
                <w:color w:val="auto"/>
              </w:rPr>
            </w:pPr>
            <w:r>
              <w:rPr>
                <w:rFonts w:ascii="Arial" w:cs="Arial" w:eastAsia="Arial" w:hAnsi="Arial"/>
                <w:sz w:val="14"/>
                <w:szCs w:val="14"/>
                <w:b w:val="1"/>
                <w:bCs w:val="1"/>
                <w:color w:val="FFFFFF"/>
              </w:rPr>
              <w:t>Grant</w:t>
            </w:r>
          </w:p>
        </w:tc>
        <w:tc>
          <w:tcPr>
            <w:tcW w:w="240" w:type="dxa"/>
            <w:vAlign w:val="bottom"/>
            <w:shd w:val="clear" w:color="auto" w:fill="052B82"/>
          </w:tcPr>
          <w:p>
            <w:pPr>
              <w:spacing w:after="0"/>
              <w:rPr>
                <w:sz w:val="13"/>
                <w:szCs w:val="13"/>
                <w:color w:val="auto"/>
              </w:rPr>
            </w:pPr>
          </w:p>
        </w:tc>
        <w:tc>
          <w:tcPr>
            <w:tcW w:w="940" w:type="dxa"/>
            <w:vAlign w:val="bottom"/>
            <w:shd w:val="clear" w:color="auto" w:fill="052B82"/>
          </w:tcPr>
          <w:p>
            <w:pPr>
              <w:jc w:val="center"/>
              <w:ind w:right="249"/>
              <w:spacing w:after="0"/>
              <w:rPr>
                <w:sz w:val="20"/>
                <w:szCs w:val="20"/>
                <w:color w:val="auto"/>
              </w:rPr>
            </w:pPr>
            <w:r>
              <w:rPr>
                <w:rFonts w:ascii="Arial" w:cs="Arial" w:eastAsia="Arial" w:hAnsi="Arial"/>
                <w:sz w:val="14"/>
                <w:szCs w:val="14"/>
                <w:b w:val="1"/>
                <w:bCs w:val="1"/>
                <w:color w:val="FFFFFF"/>
                <w:w w:val="97"/>
              </w:rPr>
              <w:t>Units</w:t>
            </w:r>
          </w:p>
        </w:tc>
        <w:tc>
          <w:tcPr>
            <w:tcW w:w="780" w:type="dxa"/>
            <w:vAlign w:val="bottom"/>
            <w:vMerge w:val="continue"/>
            <w:shd w:val="clear" w:color="auto" w:fill="052B82"/>
          </w:tcPr>
          <w:p>
            <w:pPr>
              <w:spacing w:after="0"/>
              <w:rPr>
                <w:sz w:val="13"/>
                <w:szCs w:val="13"/>
                <w:color w:val="auto"/>
              </w:rPr>
            </w:pPr>
          </w:p>
        </w:tc>
        <w:tc>
          <w:tcPr>
            <w:tcW w:w="800" w:type="dxa"/>
            <w:vAlign w:val="bottom"/>
            <w:vMerge w:val="restart"/>
            <w:shd w:val="clear" w:color="auto" w:fill="052B82"/>
          </w:tcPr>
          <w:p>
            <w:pPr>
              <w:jc w:val="right"/>
              <w:ind w:right="29"/>
              <w:spacing w:after="0"/>
              <w:rPr>
                <w:sz w:val="20"/>
                <w:szCs w:val="20"/>
                <w:color w:val="auto"/>
              </w:rPr>
            </w:pPr>
            <w:r>
              <w:rPr>
                <w:rFonts w:ascii="Arial" w:cs="Arial" w:eastAsia="Arial" w:hAnsi="Arial"/>
                <w:sz w:val="14"/>
                <w:szCs w:val="14"/>
                <w:b w:val="1"/>
                <w:bCs w:val="1"/>
                <w:color w:val="FFFFFF"/>
              </w:rPr>
              <w:t>Volatility</w:t>
            </w:r>
          </w:p>
        </w:tc>
        <w:tc>
          <w:tcPr>
            <w:tcW w:w="840" w:type="dxa"/>
            <w:vAlign w:val="bottom"/>
            <w:vMerge w:val="continue"/>
            <w:shd w:val="clear" w:color="auto" w:fill="052B82"/>
          </w:tcPr>
          <w:p>
            <w:pPr>
              <w:spacing w:after="0"/>
              <w:rPr>
                <w:sz w:val="13"/>
                <w:szCs w:val="13"/>
                <w:color w:val="auto"/>
              </w:rPr>
            </w:pPr>
          </w:p>
        </w:tc>
        <w:tc>
          <w:tcPr>
            <w:tcW w:w="860" w:type="dxa"/>
            <w:vAlign w:val="bottom"/>
            <w:vMerge w:val="continue"/>
            <w:shd w:val="clear" w:color="auto" w:fill="052B82"/>
          </w:tcPr>
          <w:p>
            <w:pPr>
              <w:spacing w:after="0"/>
              <w:rPr>
                <w:sz w:val="13"/>
                <w:szCs w:val="13"/>
                <w:color w:val="auto"/>
              </w:rPr>
            </w:pPr>
          </w:p>
        </w:tc>
        <w:tc>
          <w:tcPr>
            <w:tcW w:w="820" w:type="dxa"/>
            <w:vAlign w:val="bottom"/>
            <w:vMerge w:val="continue"/>
            <w:shd w:val="clear" w:color="auto" w:fill="052B82"/>
          </w:tcPr>
          <w:p>
            <w:pPr>
              <w:spacing w:after="0"/>
              <w:rPr>
                <w:sz w:val="13"/>
                <w:szCs w:val="13"/>
                <w:color w:val="auto"/>
              </w:rPr>
            </w:pP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Achievement Level</w:t>
            </w:r>
          </w:p>
        </w:tc>
        <w:tc>
          <w:tcPr>
            <w:tcW w:w="0" w:type="dxa"/>
            <w:vAlign w:val="bottom"/>
          </w:tcPr>
          <w:p>
            <w:pPr>
              <w:spacing w:after="0"/>
              <w:rPr>
                <w:sz w:val="1"/>
                <w:szCs w:val="1"/>
                <w:color w:val="auto"/>
              </w:rPr>
            </w:pPr>
          </w:p>
        </w:tc>
      </w:tr>
      <w:tr>
        <w:trPr>
          <w:trHeight w:val="160"/>
        </w:trPr>
        <w:tc>
          <w:tcPr>
            <w:tcW w:w="250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720" w:type="dxa"/>
            <w:vAlign w:val="bottom"/>
            <w:vMerge w:val="continue"/>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940" w:type="dxa"/>
            <w:vAlign w:val="bottom"/>
            <w:shd w:val="clear" w:color="auto" w:fill="052B82"/>
          </w:tcPr>
          <w:p>
            <w:pPr>
              <w:jc w:val="center"/>
              <w:ind w:right="249"/>
              <w:spacing w:after="0"/>
              <w:rPr>
                <w:sz w:val="20"/>
                <w:szCs w:val="20"/>
                <w:color w:val="auto"/>
              </w:rPr>
            </w:pPr>
            <w:r>
              <w:rPr>
                <w:rFonts w:ascii="Arial" w:cs="Arial" w:eastAsia="Arial" w:hAnsi="Arial"/>
                <w:sz w:val="14"/>
                <w:szCs w:val="14"/>
                <w:b w:val="1"/>
                <w:bCs w:val="1"/>
                <w:color w:val="FFFFFF"/>
              </w:rPr>
              <w:t>Granted</w:t>
            </w:r>
          </w:p>
        </w:tc>
        <w:tc>
          <w:tcPr>
            <w:tcW w:w="780" w:type="dxa"/>
            <w:vAlign w:val="bottom"/>
            <w:shd w:val="clear" w:color="auto" w:fill="052B82"/>
          </w:tcPr>
          <w:p>
            <w:pPr>
              <w:ind w:left="220"/>
              <w:spacing w:after="0"/>
              <w:rPr>
                <w:sz w:val="20"/>
                <w:szCs w:val="20"/>
                <w:color w:val="auto"/>
              </w:rPr>
            </w:pPr>
            <w:r>
              <w:rPr>
                <w:rFonts w:ascii="Arial" w:cs="Arial" w:eastAsia="Arial" w:hAnsi="Arial"/>
                <w:sz w:val="14"/>
                <w:szCs w:val="14"/>
                <w:b w:val="1"/>
                <w:bCs w:val="1"/>
                <w:color w:val="FFFFFF"/>
              </w:rPr>
              <w:t>Price</w:t>
            </w:r>
          </w:p>
        </w:tc>
        <w:tc>
          <w:tcPr>
            <w:tcW w:w="800" w:type="dxa"/>
            <w:vAlign w:val="bottom"/>
            <w:vMerge w:val="continue"/>
            <w:shd w:val="clear" w:color="auto" w:fill="052B82"/>
          </w:tcPr>
          <w:p>
            <w:pPr>
              <w:spacing w:after="0"/>
              <w:rPr>
                <w:sz w:val="13"/>
                <w:szCs w:val="13"/>
                <w:color w:val="auto"/>
              </w:rPr>
            </w:pPr>
          </w:p>
        </w:tc>
        <w:tc>
          <w:tcPr>
            <w:tcW w:w="840" w:type="dxa"/>
            <w:vAlign w:val="bottom"/>
            <w:shd w:val="clear" w:color="auto" w:fill="052B82"/>
          </w:tcPr>
          <w:p>
            <w:pPr>
              <w:jc w:val="right"/>
              <w:ind w:right="229"/>
              <w:spacing w:after="0"/>
              <w:rPr>
                <w:sz w:val="20"/>
                <w:szCs w:val="20"/>
                <w:color w:val="auto"/>
              </w:rPr>
            </w:pPr>
            <w:r>
              <w:rPr>
                <w:rFonts w:ascii="Arial" w:cs="Arial" w:eastAsia="Arial" w:hAnsi="Arial"/>
                <w:sz w:val="14"/>
                <w:szCs w:val="14"/>
                <w:b w:val="1"/>
                <w:bCs w:val="1"/>
                <w:color w:val="FFFFFF"/>
              </w:rPr>
              <w:t>Life</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Interest</w:t>
            </w:r>
          </w:p>
        </w:tc>
        <w:tc>
          <w:tcPr>
            <w:tcW w:w="8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Yield</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7"/>
              </w:rPr>
              <w:t>Per</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for Performance</w:t>
            </w:r>
          </w:p>
        </w:tc>
        <w:tc>
          <w:tcPr>
            <w:tcW w:w="0" w:type="dxa"/>
            <w:vAlign w:val="bottom"/>
          </w:tcPr>
          <w:p>
            <w:pPr>
              <w:spacing w:after="0"/>
              <w:rPr>
                <w:sz w:val="1"/>
                <w:szCs w:val="1"/>
                <w:color w:val="auto"/>
              </w:rPr>
            </w:pPr>
          </w:p>
        </w:tc>
      </w:tr>
      <w:tr>
        <w:trPr>
          <w:trHeight w:val="189"/>
        </w:trPr>
        <w:tc>
          <w:tcPr>
            <w:tcW w:w="250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200" w:type="dxa"/>
            <w:vAlign w:val="bottom"/>
            <w:shd w:val="clear" w:color="auto" w:fill="052B82"/>
          </w:tcPr>
          <w:p>
            <w:pPr>
              <w:spacing w:after="0"/>
              <w:rPr>
                <w:sz w:val="16"/>
                <w:szCs w:val="16"/>
                <w:color w:val="auto"/>
              </w:rPr>
            </w:pPr>
          </w:p>
        </w:tc>
        <w:tc>
          <w:tcPr>
            <w:tcW w:w="72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Date</w:t>
            </w:r>
          </w:p>
        </w:tc>
        <w:tc>
          <w:tcPr>
            <w:tcW w:w="1180" w:type="dxa"/>
            <w:vAlign w:val="bottom"/>
            <w:gridSpan w:val="2"/>
            <w:shd w:val="clear" w:color="auto" w:fill="052B82"/>
          </w:tcPr>
          <w:p>
            <w:pPr>
              <w:jc w:val="center"/>
              <w:ind w:right="9"/>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52B82"/>
          </w:tcPr>
          <w:p>
            <w:pPr>
              <w:ind w:left="300"/>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52B82"/>
          </w:tcPr>
          <w:p>
            <w:pPr>
              <w:jc w:val="right"/>
              <w:ind w:right="209"/>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52B82"/>
          </w:tcPr>
          <w:p>
            <w:pPr>
              <w:jc w:val="right"/>
              <w:ind w:right="109"/>
              <w:spacing w:after="0"/>
              <w:rPr>
                <w:sz w:val="20"/>
                <w:szCs w:val="20"/>
                <w:color w:val="auto"/>
              </w:rPr>
            </w:pPr>
            <w:r>
              <w:rPr>
                <w:rFonts w:ascii="Arial" w:cs="Arial" w:eastAsia="Arial" w:hAnsi="Arial"/>
                <w:sz w:val="14"/>
                <w:szCs w:val="14"/>
                <w:b w:val="1"/>
                <w:bCs w:val="1"/>
                <w:color w:val="FFFFFF"/>
              </w:rPr>
              <w:t>(Years)</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Rate (%)</w:t>
            </w:r>
          </w:p>
        </w:tc>
        <w:tc>
          <w:tcPr>
            <w:tcW w:w="8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w:t>
            </w:r>
          </w:p>
        </w:tc>
        <w:tc>
          <w:tcPr>
            <w:tcW w:w="15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 ($)</w:t>
            </w:r>
          </w:p>
        </w:tc>
        <w:tc>
          <w:tcPr>
            <w:tcW w:w="0" w:type="dxa"/>
            <w:vAlign w:val="bottom"/>
          </w:tcPr>
          <w:p>
            <w:pPr>
              <w:spacing w:after="0"/>
              <w:rPr>
                <w:sz w:val="1"/>
                <w:szCs w:val="1"/>
                <w:color w:val="auto"/>
              </w:rPr>
            </w:pPr>
          </w:p>
        </w:tc>
      </w:tr>
      <w:tr>
        <w:trPr>
          <w:trHeight w:val="254"/>
        </w:trPr>
        <w:tc>
          <w:tcPr>
            <w:tcW w:w="2500" w:type="dxa"/>
            <w:vAlign w:val="bottom"/>
          </w:tcPr>
          <w:p>
            <w:pPr>
              <w:ind w:left="20"/>
              <w:spacing w:after="0"/>
              <w:rPr>
                <w:sz w:val="20"/>
                <w:szCs w:val="20"/>
                <w:color w:val="auto"/>
              </w:rPr>
            </w:pPr>
            <w:r>
              <w:rPr>
                <w:rFonts w:ascii="Arial" w:cs="Arial" w:eastAsia="Arial" w:hAnsi="Arial"/>
                <w:sz w:val="14"/>
                <w:szCs w:val="14"/>
                <w:color w:val="auto"/>
              </w:rPr>
              <w:t>Vincent Roche</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3/9/2016</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32,796*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49.98</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3/9/2016</w:t>
            </w:r>
          </w:p>
        </w:tc>
        <w:tc>
          <w:tcPr>
            <w:tcW w:w="1180" w:type="dxa"/>
            <w:vAlign w:val="bottom"/>
            <w:gridSpan w:val="2"/>
          </w:tcPr>
          <w:p>
            <w:pPr>
              <w:jc w:val="right"/>
              <w:ind w:right="89"/>
              <w:spacing w:after="0"/>
              <w:rPr>
                <w:sz w:val="20"/>
                <w:szCs w:val="20"/>
                <w:color w:val="auto"/>
              </w:rPr>
            </w:pPr>
            <w:r>
              <w:rPr>
                <w:rFonts w:ascii="Arial" w:cs="Arial" w:eastAsia="Arial" w:hAnsi="Arial"/>
                <w:sz w:val="14"/>
                <w:szCs w:val="14"/>
                <w:color w:val="auto"/>
              </w:rPr>
              <w:t>32,796**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25.11</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58.95</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3,866,648</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3/9/2016</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127,305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54.93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34.36</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1.41</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12.83</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25,026*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1.65</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78.22</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tcPr>
          <w:p>
            <w:pPr>
              <w:jc w:val="right"/>
              <w:ind w:right="89"/>
              <w:spacing w:after="0"/>
              <w:rPr>
                <w:sz w:val="20"/>
                <w:szCs w:val="20"/>
                <w:color w:val="auto"/>
              </w:rPr>
            </w:pPr>
            <w:r>
              <w:rPr>
                <w:rFonts w:ascii="Arial" w:cs="Arial" w:eastAsia="Arial" w:hAnsi="Arial"/>
                <w:sz w:val="14"/>
                <w:szCs w:val="14"/>
                <w:color w:val="auto"/>
              </w:rPr>
              <w:t>25,026**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25.97</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1.64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3.00</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94.25</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4,717,401</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114,356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83.48</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26.42</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17.30</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26,366*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86.51</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89"/>
              <w:spacing w:after="0"/>
              <w:rPr>
                <w:sz w:val="20"/>
                <w:szCs w:val="20"/>
                <w:color w:val="auto"/>
              </w:rPr>
            </w:pPr>
            <w:r>
              <w:rPr>
                <w:rFonts w:ascii="Arial" w:cs="Arial" w:eastAsia="Arial" w:hAnsi="Arial"/>
                <w:sz w:val="14"/>
                <w:szCs w:val="14"/>
                <w:color w:val="auto"/>
              </w:rPr>
              <w:t>26,366**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101.23</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5,338,060</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110,661</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91.13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20.83</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50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92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10/16/2017</w:t>
            </w:r>
          </w:p>
        </w:tc>
        <w:tc>
          <w:tcPr>
            <w:tcW w:w="118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23,756*</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1.66</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2.05</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85.31</w:t>
            </w:r>
          </w:p>
        </w:tc>
        <w:tc>
          <w:tcPr>
            <w:tcW w:w="1520" w:type="dxa"/>
            <w:vAlign w:val="bottom"/>
            <w:shd w:val="clear" w:color="auto" w:fill="E8EDF4"/>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w w:val="99"/>
              </w:rPr>
              <w:t>10/16/2017</w:t>
            </w:r>
          </w:p>
        </w:tc>
        <w:tc>
          <w:tcPr>
            <w:tcW w:w="1180" w:type="dxa"/>
            <w:vAlign w:val="bottom"/>
            <w:gridSpan w:val="2"/>
            <w:shd w:val="clear" w:color="auto" w:fill="E8EDF4"/>
          </w:tcPr>
          <w:p>
            <w:pPr>
              <w:jc w:val="right"/>
              <w:ind w:right="29"/>
              <w:spacing w:after="0"/>
              <w:rPr>
                <w:sz w:val="20"/>
                <w:szCs w:val="20"/>
                <w:color w:val="auto"/>
              </w:rPr>
            </w:pPr>
            <w:r>
              <w:rPr>
                <w:rFonts w:ascii="Arial" w:cs="Arial" w:eastAsia="Arial" w:hAnsi="Arial"/>
                <w:sz w:val="14"/>
                <w:szCs w:val="14"/>
                <w:color w:val="auto"/>
              </w:rPr>
              <w:t>20,013***</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1.76</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1.97</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85.94</w:t>
            </w:r>
          </w:p>
        </w:tc>
        <w:tc>
          <w:tcPr>
            <w:tcW w:w="15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2,063,901</w:t>
            </w: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8,287*</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2.54</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86.51</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shd w:val="clear" w:color="auto" w:fill="E8EDF4"/>
          </w:tcPr>
          <w:p>
            <w:pPr>
              <w:jc w:val="right"/>
              <w:ind w:right="89"/>
              <w:spacing w:after="0"/>
              <w:rPr>
                <w:sz w:val="20"/>
                <w:szCs w:val="20"/>
                <w:color w:val="auto"/>
              </w:rPr>
            </w:pPr>
            <w:r>
              <w:rPr>
                <w:rFonts w:ascii="Arial" w:cs="Arial" w:eastAsia="Arial" w:hAnsi="Arial"/>
                <w:sz w:val="14"/>
                <w:szCs w:val="14"/>
                <w:color w:val="auto"/>
              </w:rPr>
              <w:t>8,287**</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25.63</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2.08</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101.23</w:t>
            </w:r>
          </w:p>
        </w:tc>
        <w:tc>
          <w:tcPr>
            <w:tcW w:w="15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1,677,786</w:t>
            </w: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shd w:val="clear" w:color="auto" w:fill="E8EDF4"/>
          </w:tcPr>
          <w:p>
            <w:pPr>
              <w:jc w:val="right"/>
              <w:ind w:right="209"/>
              <w:spacing w:after="0"/>
              <w:rPr>
                <w:sz w:val="20"/>
                <w:szCs w:val="20"/>
                <w:color w:val="auto"/>
              </w:rPr>
            </w:pPr>
            <w:r>
              <w:rPr>
                <w:rFonts w:ascii="Arial" w:cs="Arial" w:eastAsia="Arial" w:hAnsi="Arial"/>
                <w:sz w:val="14"/>
                <w:szCs w:val="14"/>
                <w:color w:val="auto"/>
              </w:rPr>
              <w:t>34,779</w:t>
            </w:r>
          </w:p>
        </w:tc>
        <w:tc>
          <w:tcPr>
            <w:tcW w:w="7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91.13</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27.77</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2.64</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20.83</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50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4,897*</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86.51</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89"/>
              <w:spacing w:after="0"/>
              <w:rPr>
                <w:sz w:val="20"/>
                <w:szCs w:val="20"/>
                <w:color w:val="auto"/>
              </w:rPr>
            </w:pPr>
            <w:r>
              <w:rPr>
                <w:rFonts w:ascii="Arial" w:cs="Arial" w:eastAsia="Arial" w:hAnsi="Arial"/>
                <w:sz w:val="14"/>
                <w:szCs w:val="14"/>
                <w:color w:val="auto"/>
              </w:rPr>
              <w:t>4,897**</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101.23</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991,447</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20,552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91.13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20.83</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9/17/2018</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3,334*</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2.87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2.10</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86.72</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50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92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4,278*</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1.65</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2.16</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78.22</w:t>
            </w:r>
          </w:p>
        </w:tc>
        <w:tc>
          <w:tcPr>
            <w:tcW w:w="1520" w:type="dxa"/>
            <w:vAlign w:val="bottom"/>
            <w:shd w:val="clear" w:color="auto" w:fill="E8EDF4"/>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shd w:val="clear" w:color="auto" w:fill="E8EDF4"/>
          </w:tcPr>
          <w:p>
            <w:pPr>
              <w:jc w:val="right"/>
              <w:ind w:right="89"/>
              <w:spacing w:after="0"/>
              <w:rPr>
                <w:sz w:val="20"/>
                <w:szCs w:val="20"/>
                <w:color w:val="auto"/>
              </w:rPr>
            </w:pPr>
            <w:r>
              <w:rPr>
                <w:rFonts w:ascii="Arial" w:cs="Arial" w:eastAsia="Arial" w:hAnsi="Arial"/>
                <w:sz w:val="14"/>
                <w:szCs w:val="14"/>
                <w:color w:val="auto"/>
              </w:rPr>
              <w:t>4,278**</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25.97</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1.64</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3.00</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94.25</w:t>
            </w:r>
          </w:p>
        </w:tc>
        <w:tc>
          <w:tcPr>
            <w:tcW w:w="15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806,403</w:t>
            </w: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3/8/2017</w:t>
            </w:r>
          </w:p>
        </w:tc>
        <w:tc>
          <w:tcPr>
            <w:tcW w:w="1180" w:type="dxa"/>
            <w:vAlign w:val="bottom"/>
            <w:gridSpan w:val="2"/>
            <w:shd w:val="clear" w:color="auto" w:fill="E8EDF4"/>
          </w:tcPr>
          <w:p>
            <w:pPr>
              <w:jc w:val="right"/>
              <w:ind w:right="209"/>
              <w:spacing w:after="0"/>
              <w:rPr>
                <w:sz w:val="20"/>
                <w:szCs w:val="20"/>
                <w:color w:val="auto"/>
              </w:rPr>
            </w:pPr>
            <w:r>
              <w:rPr>
                <w:rFonts w:ascii="Arial" w:cs="Arial" w:eastAsia="Arial" w:hAnsi="Arial"/>
                <w:sz w:val="14"/>
                <w:szCs w:val="14"/>
                <w:color w:val="auto"/>
              </w:rPr>
              <w:t>19,548</w:t>
            </w:r>
          </w:p>
        </w:tc>
        <w:tc>
          <w:tcPr>
            <w:tcW w:w="7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83.48</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26.42</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2.08</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2.16</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17.30</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7/17/2017</w:t>
            </w:r>
          </w:p>
        </w:tc>
        <w:tc>
          <w:tcPr>
            <w:tcW w:w="1180" w:type="dxa"/>
            <w:vAlign w:val="bottom"/>
            <w:gridSpan w:val="2"/>
            <w:shd w:val="clear" w:color="auto" w:fill="E8EDF4"/>
          </w:tcPr>
          <w:p>
            <w:pPr>
              <w:jc w:val="right"/>
              <w:ind w:right="29"/>
              <w:spacing w:after="0"/>
              <w:rPr>
                <w:sz w:val="20"/>
                <w:szCs w:val="20"/>
                <w:color w:val="auto"/>
              </w:rPr>
            </w:pPr>
            <w:r>
              <w:rPr>
                <w:rFonts w:ascii="Arial" w:cs="Arial" w:eastAsia="Arial" w:hAnsi="Arial"/>
                <w:sz w:val="14"/>
                <w:szCs w:val="14"/>
                <w:color w:val="auto"/>
              </w:rPr>
              <w:t>16,232***</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176.00</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1.97</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85.94</w:t>
            </w:r>
          </w:p>
        </w:tc>
        <w:tc>
          <w:tcPr>
            <w:tcW w:w="15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1,673,974</w:t>
            </w: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4,897*</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2.54</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86.51</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24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4,897**</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25.63</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2.37</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2.08</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101.23</w:t>
            </w:r>
          </w:p>
        </w:tc>
        <w:tc>
          <w:tcPr>
            <w:tcW w:w="15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991,447</w:t>
            </w: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24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209"/>
              <w:spacing w:after="0"/>
              <w:rPr>
                <w:sz w:val="20"/>
                <w:szCs w:val="20"/>
                <w:color w:val="auto"/>
              </w:rPr>
            </w:pPr>
            <w:r>
              <w:rPr>
                <w:rFonts w:ascii="Arial" w:cs="Arial" w:eastAsia="Arial" w:hAnsi="Arial"/>
                <w:sz w:val="14"/>
                <w:szCs w:val="14"/>
                <w:color w:val="auto"/>
              </w:rPr>
              <w:t>20,552</w:t>
            </w:r>
          </w:p>
        </w:tc>
        <w:tc>
          <w:tcPr>
            <w:tcW w:w="7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91.13</w:t>
            </w:r>
          </w:p>
        </w:tc>
        <w:tc>
          <w:tcPr>
            <w:tcW w:w="80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27.77</w:t>
            </w:r>
          </w:p>
        </w:tc>
        <w:tc>
          <w:tcPr>
            <w:tcW w:w="84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2.64</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20.83</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shd w:val="clear" w:color="auto" w:fill="E8EDF4"/>
          </w:tcPr>
          <w:p>
            <w:pPr>
              <w:spacing w:after="0"/>
              <w:rPr>
                <w:sz w:val="13"/>
                <w:szCs w:val="13"/>
                <w:color w:val="auto"/>
              </w:rPr>
            </w:pPr>
          </w:p>
        </w:tc>
        <w:tc>
          <w:tcPr>
            <w:tcW w:w="200" w:type="dxa"/>
            <w:vAlign w:val="bottom"/>
            <w:shd w:val="clear" w:color="auto" w:fill="E8EDF4"/>
          </w:tcPr>
          <w:p>
            <w:pPr>
              <w:spacing w:after="0"/>
              <w:rPr>
                <w:sz w:val="13"/>
                <w:szCs w:val="13"/>
                <w:color w:val="auto"/>
              </w:rPr>
            </w:pP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9/17/2018</w:t>
            </w:r>
          </w:p>
        </w:tc>
        <w:tc>
          <w:tcPr>
            <w:tcW w:w="24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89"/>
              <w:spacing w:after="0"/>
              <w:rPr>
                <w:sz w:val="20"/>
                <w:szCs w:val="20"/>
                <w:color w:val="auto"/>
              </w:rPr>
            </w:pPr>
            <w:r>
              <w:rPr>
                <w:rFonts w:ascii="Arial" w:cs="Arial" w:eastAsia="Arial" w:hAnsi="Arial"/>
                <w:sz w:val="14"/>
                <w:szCs w:val="14"/>
                <w:color w:val="auto"/>
              </w:rPr>
              <w:t>3,334*</w:t>
            </w:r>
          </w:p>
        </w:tc>
        <w:tc>
          <w:tcPr>
            <w:tcW w:w="780" w:type="dxa"/>
            <w:vAlign w:val="bottom"/>
            <w:shd w:val="clear" w:color="auto" w:fill="E8EDF4"/>
          </w:tcPr>
          <w:p>
            <w:pPr>
              <w:ind w:left="46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2.87</w:t>
            </w:r>
          </w:p>
        </w:tc>
        <w:tc>
          <w:tcPr>
            <w:tcW w:w="82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2.10</w:t>
            </w:r>
          </w:p>
        </w:tc>
        <w:tc>
          <w:tcPr>
            <w:tcW w:w="6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86.72</w:t>
            </w:r>
          </w:p>
        </w:tc>
        <w:tc>
          <w:tcPr>
            <w:tcW w:w="1520" w:type="dxa"/>
            <w:vAlign w:val="bottom"/>
            <w:shd w:val="clear" w:color="auto" w:fill="E8EDF4"/>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50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6/15/2017</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6,715*</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1.49</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74.48</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6/15/2017</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30,391</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79.75</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26.10</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1.76</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15.68</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7/17/2017</w:t>
            </w:r>
          </w:p>
        </w:tc>
        <w:tc>
          <w:tcPr>
            <w:tcW w:w="1180" w:type="dxa"/>
            <w:vAlign w:val="bottom"/>
            <w:gridSpan w:val="2"/>
          </w:tcPr>
          <w:p>
            <w:pPr>
              <w:jc w:val="right"/>
              <w:ind w:right="29"/>
              <w:spacing w:after="0"/>
              <w:rPr>
                <w:sz w:val="20"/>
                <w:szCs w:val="20"/>
                <w:color w:val="auto"/>
              </w:rPr>
            </w:pPr>
            <w:r>
              <w:rPr>
                <w:rFonts w:ascii="Arial" w:cs="Arial" w:eastAsia="Arial" w:hAnsi="Arial"/>
                <w:sz w:val="14"/>
                <w:szCs w:val="14"/>
                <w:color w:val="auto"/>
              </w:rPr>
              <w:t>15,218***</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1.76</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1.97</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85.94</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1,569,402</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10/16/2017</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17,356*</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1.66</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2.05</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85.31</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5,650*</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2.54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86.51</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89"/>
              <w:spacing w:after="0"/>
              <w:rPr>
                <w:sz w:val="20"/>
                <w:szCs w:val="20"/>
                <w:color w:val="auto"/>
              </w:rPr>
            </w:pPr>
            <w:r>
              <w:rPr>
                <w:rFonts w:ascii="Arial" w:cs="Arial" w:eastAsia="Arial" w:hAnsi="Arial"/>
                <w:sz w:val="14"/>
                <w:szCs w:val="14"/>
                <w:color w:val="auto"/>
              </w:rPr>
              <w:t>5,650**</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25.63</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2.37</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2.08</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101.23</w:t>
            </w:r>
          </w:p>
        </w:tc>
        <w:tc>
          <w:tcPr>
            <w:tcW w:w="1520" w:type="dxa"/>
            <w:vAlign w:val="bottom"/>
          </w:tcPr>
          <w:p>
            <w:pPr>
              <w:jc w:val="right"/>
              <w:ind w:right="29"/>
              <w:spacing w:after="0"/>
              <w:rPr>
                <w:sz w:val="20"/>
                <w:szCs w:val="20"/>
                <w:color w:val="auto"/>
              </w:rPr>
            </w:pPr>
            <w:r>
              <w:rPr>
                <w:rFonts w:ascii="Arial" w:cs="Arial" w:eastAsia="Arial" w:hAnsi="Arial"/>
                <w:sz w:val="14"/>
                <w:szCs w:val="14"/>
                <w:color w:val="auto"/>
              </w:rPr>
              <w:t>1,143,899</w:t>
            </w: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3/29/2018</w:t>
            </w:r>
          </w:p>
        </w:tc>
        <w:tc>
          <w:tcPr>
            <w:tcW w:w="1180" w:type="dxa"/>
            <w:vAlign w:val="bottom"/>
            <w:gridSpan w:val="2"/>
          </w:tcPr>
          <w:p>
            <w:pPr>
              <w:jc w:val="right"/>
              <w:ind w:right="209"/>
              <w:spacing w:after="0"/>
              <w:rPr>
                <w:sz w:val="20"/>
                <w:szCs w:val="20"/>
                <w:color w:val="auto"/>
              </w:rPr>
            </w:pPr>
            <w:r>
              <w:rPr>
                <w:rFonts w:ascii="Arial" w:cs="Arial" w:eastAsia="Arial" w:hAnsi="Arial"/>
                <w:sz w:val="14"/>
                <w:szCs w:val="14"/>
                <w:color w:val="auto"/>
              </w:rPr>
              <w:t>23,713</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91.13</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27.77</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2.64</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20.83</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6/15/2018</w:t>
            </w:r>
          </w:p>
        </w:tc>
        <w:tc>
          <w:tcPr>
            <w:tcW w:w="1180" w:type="dxa"/>
            <w:vAlign w:val="bottom"/>
            <w:gridSpan w:val="2"/>
          </w:tcPr>
          <w:p>
            <w:pPr>
              <w:jc w:val="right"/>
              <w:ind w:right="149"/>
              <w:spacing w:after="0"/>
              <w:rPr>
                <w:sz w:val="20"/>
                <w:szCs w:val="20"/>
                <w:color w:val="auto"/>
              </w:rPr>
            </w:pPr>
            <w:r>
              <w:rPr>
                <w:rFonts w:ascii="Arial" w:cs="Arial" w:eastAsia="Arial" w:hAnsi="Arial"/>
                <w:sz w:val="14"/>
                <w:szCs w:val="14"/>
                <w:color w:val="auto"/>
              </w:rPr>
              <w:t>4,028*</w:t>
            </w:r>
          </w:p>
        </w:tc>
        <w:tc>
          <w:tcPr>
            <w:tcW w:w="780" w:type="dxa"/>
            <w:vAlign w:val="bottom"/>
          </w:tcPr>
          <w:p>
            <w:pPr>
              <w:ind w:left="4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2.75</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1.89</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96.90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-4530090</wp:posOffset>
            </wp:positionV>
            <wp:extent cx="19583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5834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72390</wp:posOffset>
            </wp:positionV>
            <wp:extent cx="686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25" w:lineRule="exact"/>
        <w:rPr>
          <w:sz w:val="20"/>
          <w:szCs w:val="20"/>
          <w:color w:val="auto"/>
        </w:rPr>
      </w:pPr>
    </w:p>
    <w:p>
      <w:pPr>
        <w:ind w:left="700"/>
        <w:spacing w:after="0" w:line="237" w:lineRule="auto"/>
        <w:rPr>
          <w:sz w:val="20"/>
          <w:szCs w:val="20"/>
          <w:color w:val="auto"/>
        </w:rPr>
      </w:pPr>
      <w:r>
        <w:rPr>
          <w:rFonts w:ascii="Arial" w:cs="Arial" w:eastAsia="Arial" w:hAnsi="Arial"/>
          <w:sz w:val="18"/>
          <w:szCs w:val="18"/>
          <w:color w:val="auto"/>
        </w:rPr>
        <w:t>Entries above with single asterisks (*) are time-based RSUs, entries with double asterisks (**) are performance-based RSUs, entries with triple asterisks (***) are Linear Integration PRSUs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Linear Integration PRSUs represents the value of our common stock as of</w:t>
      </w:r>
    </w:p>
    <w:p>
      <w:pPr>
        <w:spacing w:after="0" w:line="138" w:lineRule="exact"/>
        <w:rPr>
          <w:sz w:val="20"/>
          <w:szCs w:val="20"/>
          <w:color w:val="auto"/>
        </w:rPr>
      </w:pPr>
    </w:p>
    <w:p>
      <w:pPr>
        <w:ind w:left="660" w:hanging="393"/>
        <w:spacing w:after="0"/>
        <w:tabs>
          <w:tab w:leader="none" w:pos="660" w:val="left"/>
        </w:tabs>
        <w:numPr>
          <w:ilvl w:val="0"/>
          <w:numId w:val="9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color w:val="auto"/>
        </w:rPr>
        <w:t>October 28, 2017, reduced by the present value of dividends expected to be paid on our common stock prior to vesting based upon the then-probable outcome of the performance conditions. The grant date fair value of stock options is computed using a Black-Scholes valuation methodology. For a more detailed description of the assumptions used for purposes of determining grant date fair value, see Note 3 to the Consolidated Financial Statements and “Management’s Discussion and Analysis of Financial Condition and Results of Operations —Critical Accounting Policies and Estimates —Stock-Based Compensation,” included in our Annual Report on Form 10-K for the year ended November 3, 2018.</w:t>
      </w:r>
    </w:p>
    <w:p>
      <w:pPr>
        <w:spacing w:after="0" w:line="85" w:lineRule="exact"/>
        <w:rPr>
          <w:sz w:val="20"/>
          <w:szCs w:val="20"/>
          <w:color w:val="auto"/>
        </w:rPr>
      </w:pPr>
    </w:p>
    <w:p>
      <w:pPr>
        <w:ind w:left="700" w:right="180" w:hanging="433"/>
        <w:spacing w:after="0" w:line="244" w:lineRule="auto"/>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amounts earned under our executive performance incentive plan in fiscal 2018, 2017 and 2016. For Mr. Pietkiewicz, amounts earned in fiscal 2017 and the first half of fiscal 2018 were under the legacy Linear Technology profit sharing program and Linear Technology Corporation Executive Bonus Plan. See “Compensation Discussion and Analysis” above for a discussion of how these amounts were determined.</w:t>
      </w:r>
    </w:p>
    <w:p>
      <w:pPr>
        <w:spacing w:after="0" w:line="79" w:lineRule="exact"/>
        <w:rPr>
          <w:rFonts w:ascii="Arial" w:cs="Arial" w:eastAsia="Arial" w:hAnsi="Arial"/>
          <w:sz w:val="18"/>
          <w:szCs w:val="18"/>
          <w:color w:val="auto"/>
        </w:rPr>
      </w:pPr>
    </w:p>
    <w:p>
      <w:pPr>
        <w:ind w:left="700" w:hanging="433"/>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amounts shown in the “All Other Compensation” column are comprised of the following:</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540" w:type="dxa"/>
            <w:vAlign w:val="bottom"/>
            <w:shd w:val="clear" w:color="auto" w:fill="052B82"/>
          </w:tcPr>
          <w:p>
            <w:pPr>
              <w:spacing w:after="0"/>
              <w:rPr>
                <w:sz w:val="12"/>
                <w:szCs w:val="12"/>
                <w:color w:val="auto"/>
              </w:rPr>
            </w:pPr>
          </w:p>
        </w:tc>
        <w:tc>
          <w:tcPr>
            <w:tcW w:w="660" w:type="dxa"/>
            <w:vAlign w:val="bottom"/>
            <w:shd w:val="clear" w:color="auto" w:fill="052B82"/>
          </w:tcPr>
          <w:p>
            <w:pPr>
              <w:spacing w:after="0"/>
              <w:rPr>
                <w:sz w:val="12"/>
                <w:szCs w:val="12"/>
                <w:color w:val="auto"/>
              </w:rPr>
            </w:pPr>
          </w:p>
        </w:tc>
        <w:tc>
          <w:tcPr>
            <w:tcW w:w="840" w:type="dxa"/>
            <w:vAlign w:val="bottom"/>
            <w:gridSpan w:val="2"/>
            <w:shd w:val="clear" w:color="auto" w:fill="052B82"/>
          </w:tcPr>
          <w:p>
            <w:pPr>
              <w:ind w:left="140"/>
              <w:spacing w:after="0"/>
              <w:rPr>
                <w:sz w:val="20"/>
                <w:szCs w:val="20"/>
                <w:color w:val="auto"/>
              </w:rPr>
            </w:pPr>
            <w:r>
              <w:rPr>
                <w:rFonts w:ascii="Arial" w:cs="Arial" w:eastAsia="Arial" w:hAnsi="Arial"/>
                <w:sz w:val="12"/>
                <w:szCs w:val="12"/>
                <w:b w:val="1"/>
                <w:bCs w:val="1"/>
                <w:color w:val="FFFFFF"/>
              </w:rPr>
              <w:t>Company</w:t>
            </w:r>
          </w:p>
        </w:tc>
        <w:tc>
          <w:tcPr>
            <w:tcW w:w="840" w:type="dxa"/>
            <w:vAlign w:val="bottom"/>
            <w:gridSpan w:val="2"/>
            <w:vMerge w:val="restart"/>
            <w:shd w:val="clear" w:color="auto" w:fill="052B82"/>
          </w:tcPr>
          <w:p>
            <w:pPr>
              <w:ind w:left="140"/>
              <w:spacing w:after="0"/>
              <w:rPr>
                <w:sz w:val="20"/>
                <w:szCs w:val="20"/>
                <w:color w:val="auto"/>
              </w:rPr>
            </w:pPr>
            <w:r>
              <w:rPr>
                <w:rFonts w:ascii="Arial" w:cs="Arial" w:eastAsia="Arial" w:hAnsi="Arial"/>
                <w:sz w:val="12"/>
                <w:szCs w:val="12"/>
                <w:b w:val="1"/>
                <w:bCs w:val="1"/>
                <w:color w:val="FFFFFF"/>
              </w:rPr>
              <w:t>Employee</w:t>
            </w:r>
          </w:p>
        </w:tc>
        <w:tc>
          <w:tcPr>
            <w:tcW w:w="220" w:type="dxa"/>
            <w:vAlign w:val="bottom"/>
            <w:shd w:val="clear" w:color="auto" w:fill="052B82"/>
          </w:tcPr>
          <w:p>
            <w:pPr>
              <w:spacing w:after="0"/>
              <w:rPr>
                <w:sz w:val="12"/>
                <w:szCs w:val="12"/>
                <w:color w:val="auto"/>
              </w:rPr>
            </w:pPr>
          </w:p>
        </w:tc>
        <w:tc>
          <w:tcPr>
            <w:tcW w:w="620" w:type="dxa"/>
            <w:vAlign w:val="bottom"/>
            <w:shd w:val="clear" w:color="auto" w:fill="052B82"/>
          </w:tcPr>
          <w:p>
            <w:pPr>
              <w:spacing w:after="0"/>
              <w:rPr>
                <w:sz w:val="12"/>
                <w:szCs w:val="12"/>
                <w:color w:val="auto"/>
              </w:rPr>
            </w:pPr>
          </w:p>
        </w:tc>
        <w:tc>
          <w:tcPr>
            <w:tcW w:w="200" w:type="dxa"/>
            <w:vAlign w:val="bottom"/>
            <w:shd w:val="clear" w:color="auto" w:fill="052B82"/>
          </w:tcPr>
          <w:p>
            <w:pPr>
              <w:spacing w:after="0"/>
              <w:rPr>
                <w:sz w:val="12"/>
                <w:szCs w:val="12"/>
                <w:color w:val="auto"/>
              </w:rPr>
            </w:pPr>
          </w:p>
        </w:tc>
        <w:tc>
          <w:tcPr>
            <w:tcW w:w="680" w:type="dxa"/>
            <w:vAlign w:val="bottom"/>
            <w:shd w:val="clear" w:color="auto" w:fill="052B82"/>
          </w:tcPr>
          <w:p>
            <w:pPr>
              <w:spacing w:after="0"/>
              <w:rPr>
                <w:sz w:val="12"/>
                <w:szCs w:val="12"/>
                <w:color w:val="auto"/>
              </w:rPr>
            </w:pPr>
          </w:p>
        </w:tc>
        <w:tc>
          <w:tcPr>
            <w:tcW w:w="280" w:type="dxa"/>
            <w:vAlign w:val="bottom"/>
            <w:shd w:val="clear" w:color="auto" w:fill="052B82"/>
          </w:tcPr>
          <w:p>
            <w:pPr>
              <w:spacing w:after="0"/>
              <w:rPr>
                <w:sz w:val="12"/>
                <w:szCs w:val="12"/>
                <w:color w:val="auto"/>
              </w:rPr>
            </w:pPr>
          </w:p>
        </w:tc>
        <w:tc>
          <w:tcPr>
            <w:tcW w:w="620" w:type="dxa"/>
            <w:vAlign w:val="bottom"/>
            <w:shd w:val="clear" w:color="auto" w:fill="052B82"/>
          </w:tcPr>
          <w:p>
            <w:pPr>
              <w:spacing w:after="0"/>
              <w:rPr>
                <w:sz w:val="12"/>
                <w:szCs w:val="12"/>
                <w:color w:val="auto"/>
              </w:rPr>
            </w:pPr>
          </w:p>
        </w:tc>
        <w:tc>
          <w:tcPr>
            <w:tcW w:w="300" w:type="dxa"/>
            <w:vAlign w:val="bottom"/>
            <w:shd w:val="clear" w:color="auto" w:fill="052B82"/>
          </w:tcPr>
          <w:p>
            <w:pPr>
              <w:spacing w:after="0"/>
              <w:rPr>
                <w:sz w:val="12"/>
                <w:szCs w:val="12"/>
                <w:color w:val="auto"/>
              </w:rPr>
            </w:pPr>
          </w:p>
        </w:tc>
        <w:tc>
          <w:tcPr>
            <w:tcW w:w="680" w:type="dxa"/>
            <w:vAlign w:val="bottom"/>
            <w:shd w:val="clear" w:color="auto" w:fill="052B82"/>
          </w:tcPr>
          <w:p>
            <w:pPr>
              <w:spacing w:after="0"/>
              <w:rPr>
                <w:sz w:val="12"/>
                <w:szCs w:val="12"/>
                <w:color w:val="auto"/>
              </w:rPr>
            </w:pPr>
          </w:p>
        </w:tc>
        <w:tc>
          <w:tcPr>
            <w:tcW w:w="200" w:type="dxa"/>
            <w:vAlign w:val="bottom"/>
            <w:shd w:val="clear" w:color="auto" w:fill="052B82"/>
          </w:tcPr>
          <w:p>
            <w:pPr>
              <w:spacing w:after="0"/>
              <w:rPr>
                <w:sz w:val="12"/>
                <w:szCs w:val="12"/>
                <w:color w:val="auto"/>
              </w:rPr>
            </w:pPr>
          </w:p>
        </w:tc>
        <w:tc>
          <w:tcPr>
            <w:tcW w:w="640" w:type="dxa"/>
            <w:vAlign w:val="bottom"/>
            <w:shd w:val="clear" w:color="auto" w:fill="052B82"/>
          </w:tcPr>
          <w:p>
            <w:pPr>
              <w:spacing w:after="0"/>
              <w:rPr>
                <w:sz w:val="12"/>
                <w:szCs w:val="12"/>
                <w:color w:val="auto"/>
              </w:rPr>
            </w:pPr>
          </w:p>
        </w:tc>
        <w:tc>
          <w:tcPr>
            <w:tcW w:w="260" w:type="dxa"/>
            <w:vAlign w:val="bottom"/>
            <w:shd w:val="clear" w:color="auto" w:fill="052B82"/>
          </w:tcPr>
          <w:p>
            <w:pPr>
              <w:spacing w:after="0"/>
              <w:rPr>
                <w:sz w:val="12"/>
                <w:szCs w:val="12"/>
                <w:color w:val="auto"/>
              </w:rPr>
            </w:pPr>
          </w:p>
        </w:tc>
        <w:tc>
          <w:tcPr>
            <w:tcW w:w="540" w:type="dxa"/>
            <w:vAlign w:val="bottom"/>
            <w:shd w:val="clear" w:color="auto" w:fill="052B82"/>
          </w:tcPr>
          <w:p>
            <w:pPr>
              <w:spacing w:after="0"/>
              <w:rPr>
                <w:sz w:val="12"/>
                <w:szCs w:val="12"/>
                <w:color w:val="auto"/>
              </w:rPr>
            </w:pPr>
          </w:p>
        </w:tc>
        <w:tc>
          <w:tcPr>
            <w:tcW w:w="760" w:type="dxa"/>
            <w:vAlign w:val="bottom"/>
            <w:gridSpan w:val="2"/>
            <w:vMerge w:val="restart"/>
            <w:shd w:val="clear" w:color="auto" w:fill="052B82"/>
          </w:tcPr>
          <w:p>
            <w:pPr>
              <w:jc w:val="center"/>
              <w:ind w:left="11"/>
              <w:spacing w:after="0"/>
              <w:rPr>
                <w:sz w:val="20"/>
                <w:szCs w:val="20"/>
                <w:color w:val="auto"/>
              </w:rPr>
            </w:pPr>
            <w:r>
              <w:rPr>
                <w:rFonts w:ascii="Arial" w:cs="Arial" w:eastAsia="Arial" w:hAnsi="Arial"/>
                <w:sz w:val="12"/>
                <w:szCs w:val="12"/>
                <w:b w:val="1"/>
                <w:bCs w:val="1"/>
                <w:color w:val="FFFFFF"/>
              </w:rPr>
              <w:t>Dividend</w:t>
            </w:r>
          </w:p>
        </w:tc>
        <w:tc>
          <w:tcPr>
            <w:tcW w:w="0" w:type="dxa"/>
            <w:vAlign w:val="bottom"/>
          </w:tcPr>
          <w:p>
            <w:pPr>
              <w:spacing w:after="0"/>
              <w:rPr>
                <w:sz w:val="1"/>
                <w:szCs w:val="1"/>
                <w:color w:val="auto"/>
              </w:rPr>
            </w:pPr>
          </w:p>
        </w:tc>
      </w:tr>
      <w:tr>
        <w:trPr>
          <w:trHeight w:val="134"/>
        </w:trPr>
        <w:tc>
          <w:tcPr>
            <w:tcW w:w="2540" w:type="dxa"/>
            <w:vAlign w:val="bottom"/>
            <w:shd w:val="clear" w:color="auto" w:fill="052B82"/>
          </w:tcPr>
          <w:p>
            <w:pPr>
              <w:spacing w:after="0"/>
              <w:rPr>
                <w:sz w:val="11"/>
                <w:szCs w:val="11"/>
                <w:color w:val="auto"/>
              </w:rPr>
            </w:pPr>
          </w:p>
        </w:tc>
        <w:tc>
          <w:tcPr>
            <w:tcW w:w="660" w:type="dxa"/>
            <w:vAlign w:val="bottom"/>
            <w:shd w:val="clear" w:color="auto" w:fill="052B82"/>
          </w:tcPr>
          <w:p>
            <w:pPr>
              <w:spacing w:after="0"/>
              <w:rPr>
                <w:sz w:val="11"/>
                <w:szCs w:val="11"/>
                <w:color w:val="auto"/>
              </w:rPr>
            </w:pPr>
          </w:p>
        </w:tc>
        <w:tc>
          <w:tcPr>
            <w:tcW w:w="220" w:type="dxa"/>
            <w:vAlign w:val="bottom"/>
            <w:shd w:val="clear" w:color="auto" w:fill="052B82"/>
          </w:tcPr>
          <w:p>
            <w:pPr>
              <w:spacing w:after="0"/>
              <w:rPr>
                <w:sz w:val="11"/>
                <w:szCs w:val="11"/>
                <w:color w:val="auto"/>
              </w:rPr>
            </w:pPr>
          </w:p>
        </w:tc>
        <w:tc>
          <w:tcPr>
            <w:tcW w:w="620" w:type="dxa"/>
            <w:vAlign w:val="bottom"/>
            <w:shd w:val="clear" w:color="auto" w:fill="052B82"/>
          </w:tcPr>
          <w:p>
            <w:pPr>
              <w:jc w:val="center"/>
              <w:ind w:right="150"/>
              <w:spacing w:after="0" w:line="134" w:lineRule="exact"/>
              <w:rPr>
                <w:sz w:val="20"/>
                <w:szCs w:val="20"/>
                <w:color w:val="auto"/>
              </w:rPr>
            </w:pPr>
            <w:r>
              <w:rPr>
                <w:rFonts w:ascii="Arial" w:cs="Arial" w:eastAsia="Arial" w:hAnsi="Arial"/>
                <w:sz w:val="12"/>
                <w:szCs w:val="12"/>
                <w:b w:val="1"/>
                <w:bCs w:val="1"/>
                <w:color w:val="FFFFFF"/>
              </w:rPr>
              <w:t>401(k)</w:t>
            </w:r>
          </w:p>
        </w:tc>
        <w:tc>
          <w:tcPr>
            <w:tcW w:w="840" w:type="dxa"/>
            <w:vAlign w:val="bottom"/>
            <w:gridSpan w:val="2"/>
            <w:vMerge w:val="continue"/>
            <w:shd w:val="clear" w:color="auto" w:fill="052B82"/>
          </w:tcPr>
          <w:p>
            <w:pPr>
              <w:spacing w:after="0"/>
              <w:rPr>
                <w:sz w:val="11"/>
                <w:szCs w:val="11"/>
                <w:color w:val="auto"/>
              </w:rPr>
            </w:pPr>
          </w:p>
        </w:tc>
        <w:tc>
          <w:tcPr>
            <w:tcW w:w="220" w:type="dxa"/>
            <w:vAlign w:val="bottom"/>
            <w:shd w:val="clear" w:color="auto" w:fill="052B82"/>
          </w:tcPr>
          <w:p>
            <w:pPr>
              <w:spacing w:after="0"/>
              <w:rPr>
                <w:sz w:val="11"/>
                <w:szCs w:val="11"/>
                <w:color w:val="auto"/>
              </w:rPr>
            </w:pPr>
          </w:p>
        </w:tc>
        <w:tc>
          <w:tcPr>
            <w:tcW w:w="620" w:type="dxa"/>
            <w:vAlign w:val="bottom"/>
            <w:shd w:val="clear" w:color="auto" w:fill="052B82"/>
          </w:tcPr>
          <w:p>
            <w:pPr>
              <w:spacing w:after="0"/>
              <w:rPr>
                <w:sz w:val="11"/>
                <w:szCs w:val="11"/>
                <w:color w:val="auto"/>
              </w:rPr>
            </w:pPr>
          </w:p>
        </w:tc>
        <w:tc>
          <w:tcPr>
            <w:tcW w:w="200" w:type="dxa"/>
            <w:vAlign w:val="bottom"/>
            <w:shd w:val="clear" w:color="auto" w:fill="052B82"/>
          </w:tcPr>
          <w:p>
            <w:pPr>
              <w:spacing w:after="0"/>
              <w:rPr>
                <w:sz w:val="11"/>
                <w:szCs w:val="11"/>
                <w:color w:val="auto"/>
              </w:rPr>
            </w:pPr>
          </w:p>
        </w:tc>
        <w:tc>
          <w:tcPr>
            <w:tcW w:w="680" w:type="dxa"/>
            <w:vAlign w:val="bottom"/>
            <w:shd w:val="clear" w:color="auto" w:fill="052B82"/>
          </w:tcPr>
          <w:p>
            <w:pPr>
              <w:spacing w:after="0"/>
              <w:rPr>
                <w:sz w:val="11"/>
                <w:szCs w:val="11"/>
                <w:color w:val="auto"/>
              </w:rPr>
            </w:pPr>
          </w:p>
        </w:tc>
        <w:tc>
          <w:tcPr>
            <w:tcW w:w="280" w:type="dxa"/>
            <w:vAlign w:val="bottom"/>
            <w:shd w:val="clear" w:color="auto" w:fill="052B82"/>
          </w:tcPr>
          <w:p>
            <w:pPr>
              <w:spacing w:after="0"/>
              <w:rPr>
                <w:sz w:val="11"/>
                <w:szCs w:val="11"/>
                <w:color w:val="auto"/>
              </w:rPr>
            </w:pPr>
          </w:p>
        </w:tc>
        <w:tc>
          <w:tcPr>
            <w:tcW w:w="620" w:type="dxa"/>
            <w:vAlign w:val="bottom"/>
            <w:shd w:val="clear" w:color="auto" w:fill="052B82"/>
          </w:tcPr>
          <w:p>
            <w:pPr>
              <w:spacing w:after="0"/>
              <w:rPr>
                <w:sz w:val="11"/>
                <w:szCs w:val="11"/>
                <w:color w:val="auto"/>
              </w:rPr>
            </w:pPr>
          </w:p>
        </w:tc>
        <w:tc>
          <w:tcPr>
            <w:tcW w:w="300" w:type="dxa"/>
            <w:vAlign w:val="bottom"/>
            <w:shd w:val="clear" w:color="auto" w:fill="052B82"/>
          </w:tcPr>
          <w:p>
            <w:pPr>
              <w:spacing w:after="0"/>
              <w:rPr>
                <w:sz w:val="11"/>
                <w:szCs w:val="11"/>
                <w:color w:val="auto"/>
              </w:rPr>
            </w:pPr>
          </w:p>
        </w:tc>
        <w:tc>
          <w:tcPr>
            <w:tcW w:w="680" w:type="dxa"/>
            <w:vAlign w:val="bottom"/>
            <w:shd w:val="clear" w:color="auto" w:fill="052B82"/>
          </w:tcPr>
          <w:p>
            <w:pPr>
              <w:spacing w:after="0"/>
              <w:rPr>
                <w:sz w:val="11"/>
                <w:szCs w:val="11"/>
                <w:color w:val="auto"/>
              </w:rPr>
            </w:pPr>
          </w:p>
        </w:tc>
        <w:tc>
          <w:tcPr>
            <w:tcW w:w="200" w:type="dxa"/>
            <w:vAlign w:val="bottom"/>
            <w:shd w:val="clear" w:color="auto" w:fill="052B82"/>
          </w:tcPr>
          <w:p>
            <w:pPr>
              <w:spacing w:after="0"/>
              <w:rPr>
                <w:sz w:val="11"/>
                <w:szCs w:val="11"/>
                <w:color w:val="auto"/>
              </w:rPr>
            </w:pPr>
          </w:p>
        </w:tc>
        <w:tc>
          <w:tcPr>
            <w:tcW w:w="640" w:type="dxa"/>
            <w:vAlign w:val="bottom"/>
            <w:shd w:val="clear" w:color="auto" w:fill="052B82"/>
          </w:tcPr>
          <w:p>
            <w:pPr>
              <w:spacing w:after="0"/>
              <w:rPr>
                <w:sz w:val="11"/>
                <w:szCs w:val="11"/>
                <w:color w:val="auto"/>
              </w:rPr>
            </w:pPr>
          </w:p>
        </w:tc>
        <w:tc>
          <w:tcPr>
            <w:tcW w:w="260" w:type="dxa"/>
            <w:vAlign w:val="bottom"/>
            <w:shd w:val="clear" w:color="auto" w:fill="052B82"/>
          </w:tcPr>
          <w:p>
            <w:pPr>
              <w:spacing w:after="0"/>
              <w:rPr>
                <w:sz w:val="11"/>
                <w:szCs w:val="11"/>
                <w:color w:val="auto"/>
              </w:rPr>
            </w:pPr>
          </w:p>
        </w:tc>
        <w:tc>
          <w:tcPr>
            <w:tcW w:w="540" w:type="dxa"/>
            <w:vAlign w:val="bottom"/>
            <w:shd w:val="clear" w:color="auto" w:fill="052B82"/>
          </w:tcPr>
          <w:p>
            <w:pPr>
              <w:spacing w:after="0"/>
              <w:rPr>
                <w:sz w:val="11"/>
                <w:szCs w:val="11"/>
                <w:color w:val="auto"/>
              </w:rPr>
            </w:pPr>
          </w:p>
        </w:tc>
        <w:tc>
          <w:tcPr>
            <w:tcW w:w="760" w:type="dxa"/>
            <w:vAlign w:val="bottom"/>
            <w:gridSpan w:val="2"/>
            <w:vMerge w:val="continue"/>
            <w:shd w:val="clear" w:color="auto" w:fill="052B82"/>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40" w:type="dxa"/>
            <w:vAlign w:val="bottom"/>
            <w:shd w:val="clear" w:color="auto" w:fill="052B82"/>
          </w:tcPr>
          <w:p>
            <w:pPr>
              <w:spacing w:after="0"/>
              <w:rPr>
                <w:sz w:val="12"/>
                <w:szCs w:val="12"/>
                <w:color w:val="auto"/>
              </w:rPr>
            </w:pPr>
          </w:p>
        </w:tc>
        <w:tc>
          <w:tcPr>
            <w:tcW w:w="660" w:type="dxa"/>
            <w:vAlign w:val="bottom"/>
            <w:vMerge w:val="restart"/>
            <w:shd w:val="clear" w:color="auto" w:fill="052B82"/>
          </w:tcPr>
          <w:p>
            <w:pPr>
              <w:jc w:val="right"/>
              <w:ind w:right="50"/>
              <w:spacing w:after="0"/>
              <w:rPr>
                <w:sz w:val="20"/>
                <w:szCs w:val="20"/>
                <w:color w:val="auto"/>
              </w:rPr>
            </w:pPr>
            <w:r>
              <w:rPr>
                <w:rFonts w:ascii="Arial" w:cs="Arial" w:eastAsia="Arial" w:hAnsi="Arial"/>
                <w:sz w:val="12"/>
                <w:szCs w:val="12"/>
                <w:b w:val="1"/>
                <w:bCs w:val="1"/>
                <w:color w:val="FFFFFF"/>
              </w:rPr>
              <w:t>Fiscal</w:t>
            </w:r>
          </w:p>
        </w:tc>
        <w:tc>
          <w:tcPr>
            <w:tcW w:w="840" w:type="dxa"/>
            <w:vAlign w:val="bottom"/>
            <w:gridSpan w:val="2"/>
            <w:shd w:val="clear" w:color="auto" w:fill="052B82"/>
          </w:tcPr>
          <w:p>
            <w:pPr>
              <w:jc w:val="center"/>
              <w:spacing w:after="0"/>
              <w:rPr>
                <w:sz w:val="20"/>
                <w:szCs w:val="20"/>
                <w:color w:val="auto"/>
              </w:rPr>
            </w:pPr>
            <w:r>
              <w:rPr>
                <w:rFonts w:ascii="Arial" w:cs="Arial" w:eastAsia="Arial" w:hAnsi="Arial"/>
                <w:sz w:val="12"/>
                <w:szCs w:val="12"/>
                <w:b w:val="1"/>
                <w:bCs w:val="1"/>
                <w:color w:val="FFFFFF"/>
              </w:rPr>
              <w:t>and DCP</w:t>
            </w:r>
          </w:p>
        </w:tc>
        <w:tc>
          <w:tcPr>
            <w:tcW w:w="200" w:type="dxa"/>
            <w:vAlign w:val="bottom"/>
            <w:shd w:val="clear" w:color="auto" w:fill="052B82"/>
          </w:tcPr>
          <w:p>
            <w:pPr>
              <w:spacing w:after="0"/>
              <w:rPr>
                <w:sz w:val="12"/>
                <w:szCs w:val="12"/>
                <w:color w:val="auto"/>
              </w:rPr>
            </w:pPr>
          </w:p>
        </w:tc>
        <w:tc>
          <w:tcPr>
            <w:tcW w:w="640" w:type="dxa"/>
            <w:vAlign w:val="bottom"/>
            <w:shd w:val="clear" w:color="auto" w:fill="052B82"/>
          </w:tcPr>
          <w:p>
            <w:pPr>
              <w:jc w:val="right"/>
              <w:ind w:right="131"/>
              <w:spacing w:after="0"/>
              <w:rPr>
                <w:sz w:val="20"/>
                <w:szCs w:val="20"/>
                <w:color w:val="auto"/>
              </w:rPr>
            </w:pPr>
            <w:r>
              <w:rPr>
                <w:rFonts w:ascii="Arial" w:cs="Arial" w:eastAsia="Arial" w:hAnsi="Arial"/>
                <w:sz w:val="12"/>
                <w:szCs w:val="12"/>
                <w:b w:val="1"/>
                <w:bCs w:val="1"/>
                <w:color w:val="FFFFFF"/>
                <w:w w:val="98"/>
              </w:rPr>
              <w:t>Service</w:t>
            </w:r>
          </w:p>
        </w:tc>
        <w:tc>
          <w:tcPr>
            <w:tcW w:w="840" w:type="dxa"/>
            <w:vAlign w:val="bottom"/>
            <w:gridSpan w:val="2"/>
            <w:shd w:val="clear" w:color="auto" w:fill="052B82"/>
          </w:tcPr>
          <w:p>
            <w:pPr>
              <w:ind w:left="120"/>
              <w:spacing w:after="0"/>
              <w:rPr>
                <w:sz w:val="20"/>
                <w:szCs w:val="20"/>
                <w:color w:val="auto"/>
              </w:rPr>
            </w:pPr>
            <w:r>
              <w:rPr>
                <w:rFonts w:ascii="Arial" w:cs="Arial" w:eastAsia="Arial" w:hAnsi="Arial"/>
                <w:sz w:val="12"/>
                <w:szCs w:val="12"/>
                <w:b w:val="1"/>
                <w:bCs w:val="1"/>
                <w:color w:val="FFFFFF"/>
              </w:rPr>
              <w:t>Executive</w:t>
            </w:r>
          </w:p>
        </w:tc>
        <w:tc>
          <w:tcPr>
            <w:tcW w:w="880" w:type="dxa"/>
            <w:vAlign w:val="bottom"/>
            <w:gridSpan w:val="2"/>
            <w:shd w:val="clear" w:color="auto" w:fill="052B82"/>
          </w:tcPr>
          <w:p>
            <w:pPr>
              <w:ind w:left="120"/>
              <w:spacing w:after="0"/>
              <w:rPr>
                <w:sz w:val="20"/>
                <w:szCs w:val="20"/>
                <w:color w:val="auto"/>
              </w:rPr>
            </w:pPr>
            <w:r>
              <w:rPr>
                <w:rFonts w:ascii="Arial" w:cs="Arial" w:eastAsia="Arial" w:hAnsi="Arial"/>
                <w:sz w:val="12"/>
                <w:szCs w:val="12"/>
                <w:b w:val="1"/>
                <w:bCs w:val="1"/>
                <w:color w:val="FFFFFF"/>
              </w:rPr>
              <w:t>Healthcare</w:t>
            </w:r>
          </w:p>
        </w:tc>
        <w:tc>
          <w:tcPr>
            <w:tcW w:w="900" w:type="dxa"/>
            <w:vAlign w:val="bottom"/>
            <w:gridSpan w:val="2"/>
            <w:shd w:val="clear" w:color="auto" w:fill="052B82"/>
          </w:tcPr>
          <w:p>
            <w:pPr>
              <w:ind w:left="140"/>
              <w:spacing w:after="0"/>
              <w:rPr>
                <w:sz w:val="20"/>
                <w:szCs w:val="20"/>
                <w:color w:val="auto"/>
              </w:rPr>
            </w:pPr>
            <w:r>
              <w:rPr>
                <w:rFonts w:ascii="Arial" w:cs="Arial" w:eastAsia="Arial" w:hAnsi="Arial"/>
                <w:sz w:val="12"/>
                <w:szCs w:val="12"/>
                <w:b w:val="1"/>
                <w:bCs w:val="1"/>
                <w:color w:val="FFFFFF"/>
              </w:rPr>
              <w:t>Relocation</w:t>
            </w:r>
          </w:p>
        </w:tc>
        <w:tc>
          <w:tcPr>
            <w:tcW w:w="980" w:type="dxa"/>
            <w:vAlign w:val="bottom"/>
            <w:gridSpan w:val="2"/>
            <w:shd w:val="clear" w:color="auto" w:fill="052B82"/>
          </w:tcPr>
          <w:p>
            <w:pPr>
              <w:ind w:left="180"/>
              <w:spacing w:after="0"/>
              <w:rPr>
                <w:sz w:val="20"/>
                <w:szCs w:val="20"/>
                <w:color w:val="auto"/>
              </w:rPr>
            </w:pPr>
            <w:r>
              <w:rPr>
                <w:rFonts w:ascii="Arial" w:cs="Arial" w:eastAsia="Arial" w:hAnsi="Arial"/>
                <w:sz w:val="12"/>
                <w:szCs w:val="12"/>
                <w:b w:val="1"/>
                <w:bCs w:val="1"/>
                <w:color w:val="FFFFFF"/>
              </w:rPr>
              <w:t>Expatriate</w:t>
            </w:r>
          </w:p>
        </w:tc>
        <w:tc>
          <w:tcPr>
            <w:tcW w:w="200" w:type="dxa"/>
            <w:vAlign w:val="bottom"/>
            <w:shd w:val="clear" w:color="auto" w:fill="052B82"/>
          </w:tcPr>
          <w:p>
            <w:pPr>
              <w:spacing w:after="0"/>
              <w:rPr>
                <w:sz w:val="12"/>
                <w:szCs w:val="12"/>
                <w:color w:val="auto"/>
              </w:rPr>
            </w:pPr>
          </w:p>
        </w:tc>
        <w:tc>
          <w:tcPr>
            <w:tcW w:w="640" w:type="dxa"/>
            <w:vAlign w:val="bottom"/>
            <w:vMerge w:val="restart"/>
            <w:shd w:val="clear" w:color="auto" w:fill="052B82"/>
          </w:tcPr>
          <w:p>
            <w:pPr>
              <w:jc w:val="right"/>
              <w:ind w:right="190"/>
              <w:spacing w:after="0"/>
              <w:rPr>
                <w:sz w:val="20"/>
                <w:szCs w:val="20"/>
                <w:color w:val="auto"/>
              </w:rPr>
            </w:pPr>
            <w:r>
              <w:rPr>
                <w:rFonts w:ascii="Arial" w:cs="Arial" w:eastAsia="Arial" w:hAnsi="Arial"/>
                <w:sz w:val="12"/>
                <w:szCs w:val="12"/>
                <w:b w:val="1"/>
                <w:bCs w:val="1"/>
                <w:color w:val="FFFFFF"/>
              </w:rPr>
              <w:t>Cash</w:t>
            </w:r>
          </w:p>
        </w:tc>
        <w:tc>
          <w:tcPr>
            <w:tcW w:w="260" w:type="dxa"/>
            <w:vAlign w:val="bottom"/>
            <w:shd w:val="clear" w:color="auto" w:fill="052B82"/>
          </w:tcPr>
          <w:p>
            <w:pPr>
              <w:spacing w:after="0"/>
              <w:rPr>
                <w:sz w:val="12"/>
                <w:szCs w:val="12"/>
                <w:color w:val="auto"/>
              </w:rPr>
            </w:pPr>
          </w:p>
        </w:tc>
        <w:tc>
          <w:tcPr>
            <w:tcW w:w="540" w:type="dxa"/>
            <w:vAlign w:val="bottom"/>
            <w:vMerge w:val="restart"/>
            <w:shd w:val="clear" w:color="auto" w:fill="052B82"/>
          </w:tcPr>
          <w:p>
            <w:pPr>
              <w:ind w:left="40"/>
              <w:spacing w:after="0"/>
              <w:rPr>
                <w:sz w:val="20"/>
                <w:szCs w:val="20"/>
                <w:color w:val="auto"/>
              </w:rPr>
            </w:pPr>
            <w:r>
              <w:rPr>
                <w:rFonts w:ascii="Arial" w:cs="Arial" w:eastAsia="Arial" w:hAnsi="Arial"/>
                <w:sz w:val="12"/>
                <w:szCs w:val="12"/>
                <w:b w:val="1"/>
                <w:bCs w:val="1"/>
                <w:color w:val="FFFFFF"/>
              </w:rPr>
              <w:t>Tax</w:t>
            </w:r>
          </w:p>
        </w:tc>
        <w:tc>
          <w:tcPr>
            <w:tcW w:w="760" w:type="dxa"/>
            <w:vAlign w:val="bottom"/>
            <w:gridSpan w:val="2"/>
            <w:shd w:val="clear" w:color="auto" w:fill="052B82"/>
          </w:tcPr>
          <w:p>
            <w:pPr>
              <w:ind w:left="120"/>
              <w:spacing w:after="0"/>
              <w:rPr>
                <w:sz w:val="20"/>
                <w:szCs w:val="20"/>
                <w:color w:val="auto"/>
              </w:rPr>
            </w:pPr>
            <w:r>
              <w:rPr>
                <w:rFonts w:ascii="Arial" w:cs="Arial" w:eastAsia="Arial" w:hAnsi="Arial"/>
                <w:sz w:val="12"/>
                <w:szCs w:val="12"/>
                <w:b w:val="1"/>
                <w:bCs w:val="1"/>
                <w:color w:val="FFFFFF"/>
              </w:rPr>
              <w:t>Payments</w:t>
            </w:r>
          </w:p>
        </w:tc>
        <w:tc>
          <w:tcPr>
            <w:tcW w:w="0" w:type="dxa"/>
            <w:vAlign w:val="bottom"/>
          </w:tcPr>
          <w:p>
            <w:pPr>
              <w:spacing w:after="0"/>
              <w:rPr>
                <w:sz w:val="1"/>
                <w:szCs w:val="1"/>
                <w:color w:val="auto"/>
              </w:rPr>
            </w:pPr>
          </w:p>
        </w:tc>
      </w:tr>
      <w:tr>
        <w:trPr>
          <w:trHeight w:val="134"/>
        </w:trPr>
        <w:tc>
          <w:tcPr>
            <w:tcW w:w="2540" w:type="dxa"/>
            <w:vAlign w:val="bottom"/>
            <w:vMerge w:val="restart"/>
            <w:shd w:val="clear" w:color="auto" w:fill="052B82"/>
          </w:tcPr>
          <w:p>
            <w:pPr>
              <w:ind w:left="20"/>
              <w:spacing w:after="0"/>
              <w:rPr>
                <w:sz w:val="20"/>
                <w:szCs w:val="20"/>
                <w:color w:val="auto"/>
              </w:rPr>
            </w:pPr>
            <w:r>
              <w:rPr>
                <w:rFonts w:ascii="Arial" w:cs="Arial" w:eastAsia="Arial" w:hAnsi="Arial"/>
                <w:sz w:val="12"/>
                <w:szCs w:val="12"/>
                <w:b w:val="1"/>
                <w:bCs w:val="1"/>
                <w:color w:val="FFFFFF"/>
              </w:rPr>
              <w:t>Name</w:t>
            </w:r>
          </w:p>
        </w:tc>
        <w:tc>
          <w:tcPr>
            <w:tcW w:w="660" w:type="dxa"/>
            <w:vAlign w:val="bottom"/>
            <w:vMerge w:val="continue"/>
            <w:shd w:val="clear" w:color="auto" w:fill="052B82"/>
          </w:tcPr>
          <w:p>
            <w:pPr>
              <w:spacing w:after="0"/>
              <w:rPr>
                <w:sz w:val="11"/>
                <w:szCs w:val="11"/>
                <w:color w:val="auto"/>
              </w:rPr>
            </w:pPr>
          </w:p>
        </w:tc>
        <w:tc>
          <w:tcPr>
            <w:tcW w:w="840" w:type="dxa"/>
            <w:vAlign w:val="bottom"/>
            <w:gridSpan w:val="2"/>
            <w:shd w:val="clear" w:color="auto" w:fill="052B82"/>
          </w:tcPr>
          <w:p>
            <w:pPr>
              <w:ind w:left="140"/>
              <w:spacing w:after="0" w:line="134" w:lineRule="exact"/>
              <w:rPr>
                <w:sz w:val="20"/>
                <w:szCs w:val="20"/>
                <w:color w:val="auto"/>
              </w:rPr>
            </w:pPr>
            <w:r>
              <w:rPr>
                <w:rFonts w:ascii="Arial" w:cs="Arial" w:eastAsia="Arial" w:hAnsi="Arial"/>
                <w:sz w:val="12"/>
                <w:szCs w:val="12"/>
                <w:b w:val="1"/>
                <w:bCs w:val="1"/>
                <w:color w:val="FFFFFF"/>
              </w:rPr>
              <w:t>Payments</w:t>
            </w:r>
          </w:p>
        </w:tc>
        <w:tc>
          <w:tcPr>
            <w:tcW w:w="200" w:type="dxa"/>
            <w:vAlign w:val="bottom"/>
            <w:shd w:val="clear" w:color="auto" w:fill="052B82"/>
          </w:tcPr>
          <w:p>
            <w:pPr>
              <w:spacing w:after="0"/>
              <w:rPr>
                <w:sz w:val="11"/>
                <w:szCs w:val="11"/>
                <w:color w:val="auto"/>
              </w:rPr>
            </w:pPr>
          </w:p>
        </w:tc>
        <w:tc>
          <w:tcPr>
            <w:tcW w:w="640" w:type="dxa"/>
            <w:vAlign w:val="bottom"/>
            <w:shd w:val="clear" w:color="auto" w:fill="052B82"/>
          </w:tcPr>
          <w:p>
            <w:pPr>
              <w:jc w:val="right"/>
              <w:ind w:right="151"/>
              <w:spacing w:after="0" w:line="134" w:lineRule="exact"/>
              <w:rPr>
                <w:sz w:val="20"/>
                <w:szCs w:val="20"/>
                <w:color w:val="auto"/>
              </w:rPr>
            </w:pPr>
            <w:r>
              <w:rPr>
                <w:rFonts w:ascii="Arial" w:cs="Arial" w:eastAsia="Arial" w:hAnsi="Arial"/>
                <w:sz w:val="12"/>
                <w:szCs w:val="12"/>
                <w:b w:val="1"/>
                <w:bCs w:val="1"/>
                <w:color w:val="FFFFFF"/>
              </w:rPr>
              <w:t>Award</w:t>
            </w:r>
          </w:p>
        </w:tc>
        <w:tc>
          <w:tcPr>
            <w:tcW w:w="220" w:type="dxa"/>
            <w:vAlign w:val="bottom"/>
            <w:shd w:val="clear" w:color="auto" w:fill="052B82"/>
          </w:tcPr>
          <w:p>
            <w:pPr>
              <w:spacing w:after="0"/>
              <w:rPr>
                <w:sz w:val="11"/>
                <w:szCs w:val="11"/>
                <w:color w:val="auto"/>
              </w:rPr>
            </w:pPr>
          </w:p>
        </w:tc>
        <w:tc>
          <w:tcPr>
            <w:tcW w:w="620" w:type="dxa"/>
            <w:vAlign w:val="bottom"/>
            <w:shd w:val="clear" w:color="auto" w:fill="052B82"/>
          </w:tcPr>
          <w:p>
            <w:pPr>
              <w:ind w:left="20"/>
              <w:spacing w:after="0" w:line="134" w:lineRule="exact"/>
              <w:rPr>
                <w:sz w:val="20"/>
                <w:szCs w:val="20"/>
                <w:color w:val="auto"/>
              </w:rPr>
            </w:pPr>
            <w:r>
              <w:rPr>
                <w:rFonts w:ascii="Arial" w:cs="Arial" w:eastAsia="Arial" w:hAnsi="Arial"/>
                <w:sz w:val="12"/>
                <w:szCs w:val="12"/>
                <w:b w:val="1"/>
                <w:bCs w:val="1"/>
                <w:color w:val="FFFFFF"/>
              </w:rPr>
              <w:t>Health</w:t>
            </w:r>
          </w:p>
        </w:tc>
        <w:tc>
          <w:tcPr>
            <w:tcW w:w="200" w:type="dxa"/>
            <w:vAlign w:val="bottom"/>
            <w:shd w:val="clear" w:color="auto" w:fill="052B82"/>
          </w:tcPr>
          <w:p>
            <w:pPr>
              <w:spacing w:after="0"/>
              <w:rPr>
                <w:sz w:val="11"/>
                <w:szCs w:val="11"/>
                <w:color w:val="auto"/>
              </w:rPr>
            </w:pPr>
          </w:p>
        </w:tc>
        <w:tc>
          <w:tcPr>
            <w:tcW w:w="680" w:type="dxa"/>
            <w:vAlign w:val="bottom"/>
            <w:shd w:val="clear" w:color="auto" w:fill="052B82"/>
          </w:tcPr>
          <w:p>
            <w:pPr>
              <w:jc w:val="right"/>
              <w:ind w:right="130"/>
              <w:spacing w:after="0" w:line="134" w:lineRule="exact"/>
              <w:rPr>
                <w:sz w:val="20"/>
                <w:szCs w:val="20"/>
                <w:color w:val="auto"/>
              </w:rPr>
            </w:pPr>
            <w:r>
              <w:rPr>
                <w:rFonts w:ascii="Arial" w:cs="Arial" w:eastAsia="Arial" w:hAnsi="Arial"/>
                <w:sz w:val="12"/>
                <w:szCs w:val="12"/>
                <w:b w:val="1"/>
                <w:bCs w:val="1"/>
                <w:color w:val="FFFFFF"/>
                <w:w w:val="99"/>
              </w:rPr>
              <w:t>Savings</w:t>
            </w:r>
          </w:p>
        </w:tc>
        <w:tc>
          <w:tcPr>
            <w:tcW w:w="900" w:type="dxa"/>
            <w:vAlign w:val="bottom"/>
            <w:gridSpan w:val="2"/>
            <w:shd w:val="clear" w:color="auto" w:fill="052B82"/>
          </w:tcPr>
          <w:p>
            <w:pPr>
              <w:ind w:left="160"/>
              <w:spacing w:after="0" w:line="134" w:lineRule="exact"/>
              <w:rPr>
                <w:sz w:val="20"/>
                <w:szCs w:val="20"/>
                <w:color w:val="auto"/>
              </w:rPr>
            </w:pPr>
            <w:r>
              <w:rPr>
                <w:rFonts w:ascii="Arial" w:cs="Arial" w:eastAsia="Arial" w:hAnsi="Arial"/>
                <w:sz w:val="12"/>
                <w:szCs w:val="12"/>
                <w:b w:val="1"/>
                <w:bCs w:val="1"/>
                <w:color w:val="FFFFFF"/>
              </w:rPr>
              <w:t>Expenses</w:t>
            </w:r>
          </w:p>
        </w:tc>
        <w:tc>
          <w:tcPr>
            <w:tcW w:w="980" w:type="dxa"/>
            <w:vAlign w:val="bottom"/>
            <w:gridSpan w:val="2"/>
            <w:shd w:val="clear" w:color="auto" w:fill="052B82"/>
          </w:tcPr>
          <w:p>
            <w:pPr>
              <w:ind w:left="120"/>
              <w:spacing w:after="0" w:line="134" w:lineRule="exact"/>
              <w:rPr>
                <w:sz w:val="20"/>
                <w:szCs w:val="20"/>
                <w:color w:val="auto"/>
              </w:rPr>
            </w:pPr>
            <w:r>
              <w:rPr>
                <w:rFonts w:ascii="Arial" w:cs="Arial" w:eastAsia="Arial" w:hAnsi="Arial"/>
                <w:sz w:val="12"/>
                <w:szCs w:val="12"/>
                <w:b w:val="1"/>
                <w:bCs w:val="1"/>
                <w:color w:val="FFFFFF"/>
              </w:rPr>
              <w:t>Assignment</w:t>
            </w:r>
          </w:p>
        </w:tc>
        <w:tc>
          <w:tcPr>
            <w:tcW w:w="200" w:type="dxa"/>
            <w:vAlign w:val="bottom"/>
            <w:shd w:val="clear" w:color="auto" w:fill="052B82"/>
          </w:tcPr>
          <w:p>
            <w:pPr>
              <w:spacing w:after="0"/>
              <w:rPr>
                <w:sz w:val="11"/>
                <w:szCs w:val="11"/>
                <w:color w:val="auto"/>
              </w:rPr>
            </w:pPr>
          </w:p>
        </w:tc>
        <w:tc>
          <w:tcPr>
            <w:tcW w:w="640" w:type="dxa"/>
            <w:vAlign w:val="bottom"/>
            <w:vMerge w:val="continue"/>
            <w:shd w:val="clear" w:color="auto" w:fill="052B82"/>
          </w:tcPr>
          <w:p>
            <w:pPr>
              <w:spacing w:after="0"/>
              <w:rPr>
                <w:sz w:val="11"/>
                <w:szCs w:val="11"/>
                <w:color w:val="auto"/>
              </w:rPr>
            </w:pPr>
          </w:p>
        </w:tc>
        <w:tc>
          <w:tcPr>
            <w:tcW w:w="260" w:type="dxa"/>
            <w:vAlign w:val="bottom"/>
            <w:shd w:val="clear" w:color="auto" w:fill="052B82"/>
          </w:tcPr>
          <w:p>
            <w:pPr>
              <w:spacing w:after="0"/>
              <w:rPr>
                <w:sz w:val="11"/>
                <w:szCs w:val="11"/>
                <w:color w:val="auto"/>
              </w:rPr>
            </w:pPr>
          </w:p>
        </w:tc>
        <w:tc>
          <w:tcPr>
            <w:tcW w:w="540" w:type="dxa"/>
            <w:vAlign w:val="bottom"/>
            <w:vMerge w:val="continue"/>
            <w:shd w:val="clear" w:color="auto" w:fill="052B82"/>
          </w:tcPr>
          <w:p>
            <w:pPr>
              <w:spacing w:after="0"/>
              <w:rPr>
                <w:sz w:val="11"/>
                <w:szCs w:val="11"/>
                <w:color w:val="auto"/>
              </w:rPr>
            </w:pPr>
          </w:p>
        </w:tc>
        <w:tc>
          <w:tcPr>
            <w:tcW w:w="760" w:type="dxa"/>
            <w:vAlign w:val="bottom"/>
            <w:gridSpan w:val="2"/>
            <w:shd w:val="clear" w:color="auto" w:fill="052B82"/>
          </w:tcPr>
          <w:p>
            <w:pPr>
              <w:jc w:val="center"/>
              <w:ind w:left="11"/>
              <w:spacing w:after="0" w:line="134" w:lineRule="exact"/>
              <w:rPr>
                <w:sz w:val="20"/>
                <w:szCs w:val="20"/>
                <w:color w:val="auto"/>
              </w:rPr>
            </w:pPr>
            <w:r>
              <w:rPr>
                <w:rFonts w:ascii="Arial" w:cs="Arial" w:eastAsia="Arial" w:hAnsi="Arial"/>
                <w:sz w:val="12"/>
                <w:szCs w:val="12"/>
                <w:b w:val="1"/>
                <w:bCs w:val="1"/>
                <w:color w:val="FFFFFF"/>
              </w:rPr>
              <w:t>on RSAs</w:t>
            </w:r>
          </w:p>
        </w:tc>
        <w:tc>
          <w:tcPr>
            <w:tcW w:w="0" w:type="dxa"/>
            <w:vAlign w:val="bottom"/>
          </w:tcPr>
          <w:p>
            <w:pPr>
              <w:spacing w:after="0"/>
              <w:rPr>
                <w:sz w:val="1"/>
                <w:szCs w:val="1"/>
                <w:color w:val="auto"/>
              </w:rPr>
            </w:pPr>
          </w:p>
        </w:tc>
      </w:tr>
      <w:tr>
        <w:trPr>
          <w:trHeight w:val="160"/>
        </w:trPr>
        <w:tc>
          <w:tcPr>
            <w:tcW w:w="2540" w:type="dxa"/>
            <w:vAlign w:val="bottom"/>
            <w:vMerge w:val="continue"/>
            <w:shd w:val="clear" w:color="auto" w:fill="052B82"/>
          </w:tcPr>
          <w:p>
            <w:pPr>
              <w:spacing w:after="0"/>
              <w:rPr>
                <w:sz w:val="13"/>
                <w:szCs w:val="13"/>
                <w:color w:val="auto"/>
              </w:rPr>
            </w:pPr>
          </w:p>
        </w:tc>
        <w:tc>
          <w:tcPr>
            <w:tcW w:w="660" w:type="dxa"/>
            <w:vAlign w:val="bottom"/>
            <w:shd w:val="clear" w:color="auto" w:fill="052B82"/>
          </w:tcPr>
          <w:p>
            <w:pPr>
              <w:jc w:val="right"/>
              <w:ind w:right="90"/>
              <w:spacing w:after="0"/>
              <w:rPr>
                <w:sz w:val="20"/>
                <w:szCs w:val="20"/>
                <w:color w:val="auto"/>
              </w:rPr>
            </w:pPr>
            <w:r>
              <w:rPr>
                <w:rFonts w:ascii="Arial" w:cs="Arial" w:eastAsia="Arial" w:hAnsi="Arial"/>
                <w:sz w:val="12"/>
                <w:szCs w:val="12"/>
                <w:b w:val="1"/>
                <w:bCs w:val="1"/>
                <w:color w:val="FFFFFF"/>
              </w:rPr>
              <w:t>Year</w:t>
            </w:r>
          </w:p>
        </w:tc>
        <w:tc>
          <w:tcPr>
            <w:tcW w:w="220" w:type="dxa"/>
            <w:vAlign w:val="bottom"/>
            <w:shd w:val="clear" w:color="auto" w:fill="052B82"/>
          </w:tcPr>
          <w:p>
            <w:pPr>
              <w:spacing w:after="0"/>
              <w:rPr>
                <w:sz w:val="13"/>
                <w:szCs w:val="13"/>
                <w:color w:val="auto"/>
              </w:rPr>
            </w:pPr>
          </w:p>
        </w:tc>
        <w:tc>
          <w:tcPr>
            <w:tcW w:w="620" w:type="dxa"/>
            <w:vAlign w:val="bottom"/>
            <w:shd w:val="clear" w:color="auto" w:fill="052B82"/>
          </w:tcPr>
          <w:p>
            <w:pPr>
              <w:jc w:val="center"/>
              <w:ind w:right="150"/>
              <w:spacing w:after="0"/>
              <w:rPr>
                <w:sz w:val="20"/>
                <w:szCs w:val="20"/>
                <w:color w:val="auto"/>
              </w:rPr>
            </w:pPr>
            <w:r>
              <w:rPr>
                <w:rFonts w:ascii="Arial" w:cs="Arial" w:eastAsia="Arial" w:hAnsi="Arial"/>
                <w:sz w:val="12"/>
                <w:szCs w:val="12"/>
                <w:b w:val="1"/>
                <w:bCs w:val="1"/>
                <w:color w:val="FFFFFF"/>
              </w:rPr>
              <w:t>(a)</w:t>
            </w:r>
          </w:p>
        </w:tc>
        <w:tc>
          <w:tcPr>
            <w:tcW w:w="200" w:type="dxa"/>
            <w:vAlign w:val="bottom"/>
            <w:shd w:val="clear" w:color="auto" w:fill="052B82"/>
          </w:tcPr>
          <w:p>
            <w:pPr>
              <w:spacing w:after="0"/>
              <w:rPr>
                <w:sz w:val="13"/>
                <w:szCs w:val="13"/>
                <w:color w:val="auto"/>
              </w:rPr>
            </w:pPr>
          </w:p>
        </w:tc>
        <w:tc>
          <w:tcPr>
            <w:tcW w:w="640" w:type="dxa"/>
            <w:vAlign w:val="bottom"/>
            <w:shd w:val="clear" w:color="auto" w:fill="052B82"/>
          </w:tcPr>
          <w:p>
            <w:pPr>
              <w:jc w:val="right"/>
              <w:ind w:right="271"/>
              <w:spacing w:after="0"/>
              <w:rPr>
                <w:sz w:val="20"/>
                <w:szCs w:val="20"/>
                <w:color w:val="auto"/>
              </w:rPr>
            </w:pPr>
            <w:r>
              <w:rPr>
                <w:rFonts w:ascii="Arial" w:cs="Arial" w:eastAsia="Arial" w:hAnsi="Arial"/>
                <w:sz w:val="12"/>
                <w:szCs w:val="12"/>
                <w:b w:val="1"/>
                <w:bCs w:val="1"/>
                <w:color w:val="FFFFFF"/>
              </w:rPr>
              <w:t>(b)</w:t>
            </w:r>
          </w:p>
        </w:tc>
        <w:tc>
          <w:tcPr>
            <w:tcW w:w="840" w:type="dxa"/>
            <w:vAlign w:val="bottom"/>
            <w:gridSpan w:val="2"/>
            <w:shd w:val="clear" w:color="auto" w:fill="052B82"/>
          </w:tcPr>
          <w:p>
            <w:pPr>
              <w:ind w:left="160"/>
              <w:spacing w:after="0"/>
              <w:rPr>
                <w:sz w:val="20"/>
                <w:szCs w:val="20"/>
                <w:color w:val="auto"/>
              </w:rPr>
            </w:pPr>
            <w:r>
              <w:rPr>
                <w:rFonts w:ascii="Arial" w:cs="Arial" w:eastAsia="Arial" w:hAnsi="Arial"/>
                <w:sz w:val="12"/>
                <w:szCs w:val="12"/>
                <w:b w:val="1"/>
                <w:bCs w:val="1"/>
                <w:color w:val="FFFFFF"/>
              </w:rPr>
              <w:t>Services</w:t>
            </w:r>
          </w:p>
        </w:tc>
        <w:tc>
          <w:tcPr>
            <w:tcW w:w="880" w:type="dxa"/>
            <w:vAlign w:val="bottom"/>
            <w:gridSpan w:val="2"/>
            <w:shd w:val="clear" w:color="auto" w:fill="052B82"/>
          </w:tcPr>
          <w:p>
            <w:pPr>
              <w:ind w:left="180"/>
              <w:spacing w:after="0"/>
              <w:rPr>
                <w:sz w:val="20"/>
                <w:szCs w:val="20"/>
                <w:color w:val="auto"/>
              </w:rPr>
            </w:pPr>
            <w:r>
              <w:rPr>
                <w:rFonts w:ascii="Arial" w:cs="Arial" w:eastAsia="Arial" w:hAnsi="Arial"/>
                <w:sz w:val="12"/>
                <w:szCs w:val="12"/>
                <w:b w:val="1"/>
                <w:bCs w:val="1"/>
                <w:color w:val="FFFFFF"/>
              </w:rPr>
              <w:t>Account</w:t>
            </w:r>
          </w:p>
        </w:tc>
        <w:tc>
          <w:tcPr>
            <w:tcW w:w="280" w:type="dxa"/>
            <w:vAlign w:val="bottom"/>
            <w:shd w:val="clear" w:color="auto" w:fill="052B82"/>
          </w:tcPr>
          <w:p>
            <w:pPr>
              <w:spacing w:after="0"/>
              <w:rPr>
                <w:sz w:val="13"/>
                <w:szCs w:val="13"/>
                <w:color w:val="auto"/>
              </w:rPr>
            </w:pPr>
          </w:p>
        </w:tc>
        <w:tc>
          <w:tcPr>
            <w:tcW w:w="620" w:type="dxa"/>
            <w:vAlign w:val="bottom"/>
            <w:shd w:val="clear" w:color="auto" w:fill="052B82"/>
          </w:tcPr>
          <w:p>
            <w:pPr>
              <w:ind w:left="100"/>
              <w:spacing w:after="0"/>
              <w:rPr>
                <w:sz w:val="20"/>
                <w:szCs w:val="20"/>
                <w:color w:val="auto"/>
              </w:rPr>
            </w:pPr>
            <w:r>
              <w:rPr>
                <w:rFonts w:ascii="Arial" w:cs="Arial" w:eastAsia="Arial" w:hAnsi="Arial"/>
                <w:sz w:val="12"/>
                <w:szCs w:val="12"/>
                <w:b w:val="1"/>
                <w:bCs w:val="1"/>
                <w:color w:val="FFFFFF"/>
              </w:rPr>
              <w:t>(c)</w:t>
            </w:r>
          </w:p>
        </w:tc>
        <w:tc>
          <w:tcPr>
            <w:tcW w:w="980" w:type="dxa"/>
            <w:vAlign w:val="bottom"/>
            <w:gridSpan w:val="2"/>
            <w:shd w:val="clear" w:color="auto" w:fill="052B82"/>
          </w:tcPr>
          <w:p>
            <w:pPr>
              <w:ind w:left="120"/>
              <w:spacing w:after="0"/>
              <w:rPr>
                <w:sz w:val="20"/>
                <w:szCs w:val="20"/>
                <w:color w:val="auto"/>
              </w:rPr>
            </w:pPr>
            <w:r>
              <w:rPr>
                <w:rFonts w:ascii="Arial" w:cs="Arial" w:eastAsia="Arial" w:hAnsi="Arial"/>
                <w:sz w:val="12"/>
                <w:szCs w:val="12"/>
                <w:b w:val="1"/>
                <w:bCs w:val="1"/>
                <w:color w:val="FFFFFF"/>
              </w:rPr>
              <w:t>Payment (d)</w:t>
            </w:r>
          </w:p>
        </w:tc>
        <w:tc>
          <w:tcPr>
            <w:tcW w:w="840" w:type="dxa"/>
            <w:vAlign w:val="bottom"/>
            <w:gridSpan w:val="2"/>
            <w:shd w:val="clear" w:color="auto" w:fill="052B82"/>
          </w:tcPr>
          <w:p>
            <w:pPr>
              <w:jc w:val="right"/>
              <w:ind w:right="130"/>
              <w:spacing w:after="0"/>
              <w:rPr>
                <w:sz w:val="20"/>
                <w:szCs w:val="20"/>
                <w:color w:val="auto"/>
              </w:rPr>
            </w:pPr>
            <w:r>
              <w:rPr>
                <w:rFonts w:ascii="Arial" w:cs="Arial" w:eastAsia="Arial" w:hAnsi="Arial"/>
                <w:sz w:val="12"/>
                <w:szCs w:val="12"/>
                <w:b w:val="1"/>
                <w:bCs w:val="1"/>
                <w:color w:val="FFFFFF"/>
              </w:rPr>
              <w:t>Awards</w:t>
            </w:r>
          </w:p>
        </w:tc>
        <w:tc>
          <w:tcPr>
            <w:tcW w:w="800" w:type="dxa"/>
            <w:vAlign w:val="bottom"/>
            <w:gridSpan w:val="2"/>
            <w:shd w:val="clear" w:color="auto" w:fill="052B82"/>
          </w:tcPr>
          <w:p>
            <w:pPr>
              <w:ind w:left="140"/>
              <w:spacing w:after="0"/>
              <w:rPr>
                <w:sz w:val="20"/>
                <w:szCs w:val="20"/>
                <w:color w:val="auto"/>
              </w:rPr>
            </w:pPr>
            <w:r>
              <w:rPr>
                <w:rFonts w:ascii="Arial" w:cs="Arial" w:eastAsia="Arial" w:hAnsi="Arial"/>
                <w:sz w:val="12"/>
                <w:szCs w:val="12"/>
                <w:b w:val="1"/>
                <w:bCs w:val="1"/>
                <w:color w:val="FFFFFF"/>
              </w:rPr>
              <w:t>Planning</w:t>
            </w:r>
          </w:p>
        </w:tc>
        <w:tc>
          <w:tcPr>
            <w:tcW w:w="240" w:type="dxa"/>
            <w:vAlign w:val="bottom"/>
            <w:shd w:val="clear" w:color="auto" w:fill="052B82"/>
          </w:tcPr>
          <w:p>
            <w:pPr>
              <w:spacing w:after="0"/>
              <w:rPr>
                <w:sz w:val="13"/>
                <w:szCs w:val="13"/>
                <w:color w:val="auto"/>
              </w:rPr>
            </w:pPr>
          </w:p>
        </w:tc>
        <w:tc>
          <w:tcPr>
            <w:tcW w:w="520" w:type="dxa"/>
            <w:vAlign w:val="bottom"/>
            <w:shd w:val="clear" w:color="auto" w:fill="052B82"/>
          </w:tcPr>
          <w:p>
            <w:pPr>
              <w:jc w:val="center"/>
              <w:ind w:right="90"/>
              <w:spacing w:after="0"/>
              <w:rPr>
                <w:sz w:val="20"/>
                <w:szCs w:val="20"/>
                <w:color w:val="auto"/>
              </w:rPr>
            </w:pPr>
            <w:r>
              <w:rPr>
                <w:rFonts w:ascii="Arial" w:cs="Arial" w:eastAsia="Arial" w:hAnsi="Arial"/>
                <w:sz w:val="12"/>
                <w:szCs w:val="12"/>
                <w:b w:val="1"/>
                <w:bCs w:val="1"/>
                <w:color w:val="FFFFFF"/>
              </w:rPr>
              <w:t>(e)</w:t>
            </w:r>
          </w:p>
        </w:tc>
        <w:tc>
          <w:tcPr>
            <w:tcW w:w="0" w:type="dxa"/>
            <w:vAlign w:val="bottom"/>
          </w:tcPr>
          <w:p>
            <w:pPr>
              <w:spacing w:after="0"/>
              <w:rPr>
                <w:sz w:val="1"/>
                <w:szCs w:val="1"/>
                <w:color w:val="auto"/>
              </w:rPr>
            </w:pPr>
          </w:p>
        </w:tc>
      </w:tr>
      <w:tr>
        <w:trPr>
          <w:trHeight w:val="254"/>
        </w:trPr>
        <w:tc>
          <w:tcPr>
            <w:tcW w:w="2540" w:type="dxa"/>
            <w:vAlign w:val="bottom"/>
          </w:tcPr>
          <w:p>
            <w:pPr>
              <w:ind w:left="20"/>
              <w:spacing w:after="0"/>
              <w:rPr>
                <w:sz w:val="20"/>
                <w:szCs w:val="20"/>
                <w:color w:val="auto"/>
              </w:rPr>
            </w:pPr>
            <w:r>
              <w:rPr>
                <w:rFonts w:ascii="Arial" w:cs="Arial" w:eastAsia="Arial" w:hAnsi="Arial"/>
                <w:sz w:val="14"/>
                <w:szCs w:val="14"/>
                <w:color w:val="auto"/>
              </w:rPr>
              <w:t>Vincent Roche</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2018</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78,769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988</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60"/>
              <w:spacing w:after="0"/>
              <w:rPr>
                <w:sz w:val="20"/>
                <w:szCs w:val="20"/>
                <w:color w:val="auto"/>
              </w:rPr>
            </w:pPr>
            <w:r>
              <w:rPr>
                <w:rFonts w:ascii="Arial" w:cs="Arial" w:eastAsia="Arial" w:hAnsi="Arial"/>
                <w:sz w:val="14"/>
                <w:szCs w:val="14"/>
                <w:color w:val="auto"/>
              </w:rPr>
              <w:t>6,180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2017</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70,240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2016</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66,215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254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66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45,692</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140"/>
              <w:spacing w:after="0"/>
              <w:rPr>
                <w:sz w:val="20"/>
                <w:szCs w:val="20"/>
                <w:color w:val="auto"/>
              </w:rPr>
            </w:pPr>
            <w:r>
              <w:rPr>
                <w:rFonts w:ascii="Arial" w:cs="Arial" w:eastAsia="Arial" w:hAnsi="Arial"/>
                <w:sz w:val="14"/>
                <w:szCs w:val="14"/>
                <w:color w:val="auto"/>
              </w:rPr>
              <w:t>2,850</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2,400</w:t>
            </w:r>
          </w:p>
        </w:tc>
        <w:tc>
          <w:tcPr>
            <w:tcW w:w="28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60"/>
              <w:spacing w:after="0"/>
              <w:rPr>
                <w:sz w:val="20"/>
                <w:szCs w:val="20"/>
                <w:color w:val="auto"/>
              </w:rPr>
            </w:pPr>
            <w:r>
              <w:rPr>
                <w:rFonts w:ascii="Arial" w:cs="Arial" w:eastAsia="Arial" w:hAnsi="Arial"/>
                <w:sz w:val="14"/>
                <w:szCs w:val="14"/>
                <w:color w:val="auto"/>
              </w:rPr>
              <w:t>36,629</w:t>
            </w:r>
          </w:p>
        </w:tc>
        <w:tc>
          <w:tcPr>
            <w:tcW w:w="30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60"/>
              <w:spacing w:after="0"/>
              <w:rPr>
                <w:sz w:val="20"/>
                <w:szCs w:val="20"/>
                <w:color w:val="auto"/>
              </w:rPr>
            </w:pPr>
            <w:r>
              <w:rPr>
                <w:rFonts w:ascii="Arial" w:cs="Arial" w:eastAsia="Arial" w:hAnsi="Arial"/>
                <w:sz w:val="14"/>
                <w:szCs w:val="14"/>
                <w:color w:val="auto"/>
              </w:rPr>
              <w:t>5,037</w:t>
            </w:r>
          </w:p>
        </w:tc>
        <w:tc>
          <w:tcPr>
            <w:tcW w:w="24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540" w:type="dxa"/>
            <w:vAlign w:val="bottom"/>
            <w:shd w:val="clear" w:color="auto" w:fill="E8EDF4"/>
          </w:tcPr>
          <w:p>
            <w:pPr>
              <w:spacing w:after="0"/>
              <w:rPr>
                <w:sz w:val="13"/>
                <w:szCs w:val="13"/>
                <w:color w:val="auto"/>
              </w:rPr>
            </w:pPr>
          </w:p>
        </w:tc>
        <w:tc>
          <w:tcPr>
            <w:tcW w:w="66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2,433</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8EDF4"/>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60"/>
              <w:spacing w:after="0"/>
              <w:rPr>
                <w:sz w:val="20"/>
                <w:szCs w:val="20"/>
                <w:color w:val="auto"/>
              </w:rPr>
            </w:pPr>
            <w:r>
              <w:rPr>
                <w:rFonts w:ascii="Arial" w:cs="Arial" w:eastAsia="Arial" w:hAnsi="Arial"/>
                <w:sz w:val="14"/>
                <w:szCs w:val="14"/>
                <w:color w:val="auto"/>
              </w:rPr>
              <w:t>63,462</w:t>
            </w:r>
          </w:p>
        </w:tc>
        <w:tc>
          <w:tcPr>
            <w:tcW w:w="30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254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2018</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35,654</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rPr>
              <w:t>2,950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100"/>
              <w:spacing w:after="0"/>
              <w:rPr>
                <w:sz w:val="20"/>
                <w:szCs w:val="20"/>
                <w:color w:val="auto"/>
              </w:rPr>
            </w:pPr>
            <w:r>
              <w:rPr>
                <w:rFonts w:ascii="Arial" w:cs="Arial" w:eastAsia="Arial" w:hAnsi="Arial"/>
                <w:sz w:val="14"/>
                <w:szCs w:val="14"/>
                <w:color w:val="auto"/>
              </w:rPr>
              <w:t>70,023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254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66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37,554</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right"/>
              <w:ind w:right="51"/>
              <w:spacing w:after="0"/>
              <w:rPr>
                <w:sz w:val="20"/>
                <w:szCs w:val="20"/>
                <w:color w:val="auto"/>
              </w:rPr>
            </w:pPr>
            <w:r>
              <w:rPr>
                <w:rFonts w:ascii="Arial" w:cs="Arial" w:eastAsia="Arial" w:hAnsi="Arial"/>
                <w:sz w:val="14"/>
                <w:szCs w:val="14"/>
                <w:color w:val="auto"/>
              </w:rPr>
              <w:t>6,610</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140"/>
              <w:spacing w:after="0"/>
              <w:rPr>
                <w:sz w:val="20"/>
                <w:szCs w:val="20"/>
                <w:color w:val="auto"/>
              </w:rPr>
            </w:pPr>
            <w:r>
              <w:rPr>
                <w:rFonts w:ascii="Arial" w:cs="Arial" w:eastAsia="Arial" w:hAnsi="Arial"/>
                <w:sz w:val="14"/>
                <w:szCs w:val="14"/>
                <w:color w:val="auto"/>
              </w:rPr>
              <w:t>4,304</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1,200</w:t>
            </w:r>
          </w:p>
        </w:tc>
        <w:tc>
          <w:tcPr>
            <w:tcW w:w="28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540" w:type="dxa"/>
            <w:vAlign w:val="bottom"/>
            <w:shd w:val="clear" w:color="auto" w:fill="E8EDF4"/>
          </w:tcPr>
          <w:p>
            <w:pPr>
              <w:spacing w:after="0"/>
              <w:rPr>
                <w:sz w:val="13"/>
                <w:szCs w:val="13"/>
                <w:color w:val="auto"/>
              </w:rPr>
            </w:pPr>
          </w:p>
        </w:tc>
        <w:tc>
          <w:tcPr>
            <w:tcW w:w="66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33,846</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8EDF4"/>
          </w:tcPr>
          <w:p>
            <w:pPr>
              <w:jc w:val="right"/>
              <w:ind w:right="51"/>
              <w:spacing w:after="0"/>
              <w:rPr>
                <w:sz w:val="20"/>
                <w:szCs w:val="20"/>
                <w:color w:val="auto"/>
              </w:rPr>
            </w:pPr>
            <w:r>
              <w:rPr>
                <w:rFonts w:ascii="Arial" w:cs="Arial" w:eastAsia="Arial" w:hAnsi="Arial"/>
                <w:sz w:val="14"/>
                <w:szCs w:val="14"/>
                <w:color w:val="auto"/>
              </w:rPr>
              <w:t>740</w:t>
            </w:r>
          </w:p>
        </w:tc>
        <w:tc>
          <w:tcPr>
            <w:tcW w:w="22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140"/>
              <w:spacing w:after="0"/>
              <w:rPr>
                <w:sz w:val="20"/>
                <w:szCs w:val="20"/>
                <w:color w:val="auto"/>
              </w:rPr>
            </w:pPr>
            <w:r>
              <w:rPr>
                <w:rFonts w:ascii="Arial" w:cs="Arial" w:eastAsia="Arial" w:hAnsi="Arial"/>
                <w:sz w:val="14"/>
                <w:szCs w:val="14"/>
                <w:color w:val="auto"/>
              </w:rPr>
              <w:t>4,162</w:t>
            </w:r>
          </w:p>
        </w:tc>
        <w:tc>
          <w:tcPr>
            <w:tcW w:w="200" w:type="dxa"/>
            <w:vAlign w:val="bottom"/>
            <w:shd w:val="clear" w:color="auto" w:fill="E8EDF4"/>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1,200</w:t>
            </w:r>
          </w:p>
        </w:tc>
        <w:tc>
          <w:tcPr>
            <w:tcW w:w="28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ind w:lef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ind w:lef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E8EDF4"/>
          </w:tcPr>
          <w:p>
            <w:pPr>
              <w:ind w:lef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ind w:left="120"/>
              <w:spacing w:after="0"/>
              <w:rPr>
                <w:sz w:val="20"/>
                <w:szCs w:val="20"/>
                <w:color w:val="auto"/>
              </w:rPr>
            </w:pPr>
            <w:r>
              <w:rPr>
                <w:rFonts w:ascii="Arial" w:cs="Arial" w:eastAsia="Arial" w:hAnsi="Arial"/>
                <w:sz w:val="14"/>
                <w:szCs w:val="14"/>
                <w:color w:val="auto"/>
              </w:rPr>
              <w:t>$</w:t>
            </w:r>
          </w:p>
        </w:tc>
        <w:tc>
          <w:tcPr>
            <w:tcW w:w="520" w:type="dxa"/>
            <w:vAlign w:val="bottom"/>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254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2018</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9,351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w w:val="98"/>
              </w:rPr>
              <w:t>194,950</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40"/>
              <w:spacing w:after="0"/>
              <w:rPr>
                <w:sz w:val="20"/>
                <w:szCs w:val="20"/>
                <w:color w:val="auto"/>
              </w:rPr>
            </w:pPr>
            <w:r>
              <w:rPr>
                <w:rFonts w:ascii="Arial" w:cs="Arial" w:eastAsia="Arial" w:hAnsi="Arial"/>
                <w:sz w:val="14"/>
                <w:szCs w:val="14"/>
                <w:color w:val="auto"/>
              </w:rPr>
              <w:t>38,096</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2017</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0"/>
              <w:spacing w:after="0"/>
              <w:rPr>
                <w:sz w:val="20"/>
                <w:szCs w:val="20"/>
                <w:color w:val="auto"/>
              </w:rPr>
            </w:pPr>
            <w:r>
              <w:rPr>
                <w:rFonts w:ascii="Arial" w:cs="Arial" w:eastAsia="Arial" w:hAnsi="Arial"/>
                <w:sz w:val="14"/>
                <w:szCs w:val="14"/>
                <w:color w:val="auto"/>
              </w:rPr>
              <w:t>9,508</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ind w:left="260"/>
              <w:spacing w:after="0"/>
              <w:rPr>
                <w:sz w:val="20"/>
                <w:szCs w:val="20"/>
                <w:color w:val="auto"/>
              </w:rPr>
            </w:pPr>
            <w:r>
              <w:rPr>
                <w:rFonts w:ascii="Arial" w:cs="Arial" w:eastAsia="Arial" w:hAnsi="Arial"/>
                <w:sz w:val="14"/>
                <w:szCs w:val="14"/>
                <w:color w:val="auto"/>
              </w:rPr>
              <w:t>—</w:t>
            </w:r>
          </w:p>
        </w:tc>
        <w:tc>
          <w:tcPr>
            <w:tcW w:w="30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ind w:left="32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ind w:left="40"/>
              <w:spacing w:after="0"/>
              <w:rPr>
                <w:sz w:val="20"/>
                <w:szCs w:val="20"/>
                <w:color w:val="auto"/>
              </w:rPr>
            </w:pPr>
            <w:r>
              <w:rPr>
                <w:rFonts w:ascii="Arial" w:cs="Arial" w:eastAsia="Arial" w:hAnsi="Arial"/>
                <w:sz w:val="14"/>
                <w:szCs w:val="14"/>
                <w:color w:val="auto"/>
              </w:rPr>
              <w:t>31,502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72390</wp:posOffset>
            </wp:positionV>
            <wp:extent cx="686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25" w:lineRule="exact"/>
        <w:rPr>
          <w:sz w:val="20"/>
          <w:szCs w:val="20"/>
          <w:color w:val="auto"/>
        </w:rPr>
      </w:pPr>
    </w:p>
    <w:p>
      <w:pPr>
        <w:ind w:left="1120" w:right="320" w:hanging="426"/>
        <w:spacing w:after="0" w:line="250" w:lineRule="auto"/>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Amounts paid to Messrs. Roche, Mahendra-Rajah, Cotter, Hassett and Pietkiewicz consist of the Company contribution into 401(k) and DCP accounts up to the permissible IRS limit and the taxable Company contribution in excess of IRS limits described under “Retirement and Other Employee Benefits” above.</w:t>
      </w:r>
    </w:p>
    <w:p>
      <w:pPr>
        <w:spacing w:after="0" w:line="74" w:lineRule="exact"/>
        <w:rPr>
          <w:rFonts w:ascii="Arial" w:cs="Arial" w:eastAsia="Arial" w:hAnsi="Arial"/>
          <w:sz w:val="18"/>
          <w:szCs w:val="18"/>
          <w:color w:val="auto"/>
        </w:rPr>
      </w:pPr>
    </w:p>
    <w:p>
      <w:pPr>
        <w:ind w:left="1120" w:hanging="426"/>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Paid in connection with our Employee Service Award Program.</w:t>
      </w:r>
    </w:p>
    <w:p>
      <w:pPr>
        <w:spacing w:after="0" w:line="113" w:lineRule="exact"/>
        <w:rPr>
          <w:rFonts w:ascii="Arial" w:cs="Arial" w:eastAsia="Arial" w:hAnsi="Arial"/>
          <w:sz w:val="18"/>
          <w:szCs w:val="18"/>
          <w:color w:val="auto"/>
        </w:rPr>
      </w:pPr>
    </w:p>
    <w:p>
      <w:pPr>
        <w:ind w:left="1120" w:hanging="426"/>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Amounts paid to Mr. Mahendra-Rajah in connection with his relocation from Belgium to the United States.</w:t>
      </w:r>
    </w:p>
    <w:p>
      <w:pPr>
        <w:spacing w:after="0" w:line="113" w:lineRule="exact"/>
        <w:rPr>
          <w:rFonts w:ascii="Arial" w:cs="Arial" w:eastAsia="Arial" w:hAnsi="Arial"/>
          <w:sz w:val="18"/>
          <w:szCs w:val="18"/>
          <w:color w:val="auto"/>
        </w:rPr>
      </w:pPr>
    </w:p>
    <w:p>
      <w:pPr>
        <w:ind w:left="1120" w:hanging="426"/>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Amounts relate to reimbursement of costs and tax equalization payments associated with an expatriate assignment.</w:t>
      </w:r>
    </w:p>
    <w:p>
      <w:pPr>
        <w:spacing w:after="0" w:line="113" w:lineRule="exact"/>
        <w:rPr>
          <w:rFonts w:ascii="Arial" w:cs="Arial" w:eastAsia="Arial" w:hAnsi="Arial"/>
          <w:sz w:val="18"/>
          <w:szCs w:val="18"/>
          <w:color w:val="auto"/>
        </w:rPr>
      </w:pPr>
    </w:p>
    <w:p>
      <w:pPr>
        <w:ind w:left="1120" w:right="620" w:hanging="426"/>
        <w:spacing w:after="0" w:line="269" w:lineRule="auto"/>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dividends paid on unvested restricted stock awards assumed as part of the Company’s acquisition of Linear Technology.</w:t>
      </w:r>
    </w:p>
    <w:p>
      <w:pPr>
        <w:spacing w:after="0" w:line="83" w:lineRule="exact"/>
        <w:rPr>
          <w:sz w:val="20"/>
          <w:szCs w:val="20"/>
          <w:color w:val="auto"/>
        </w:rPr>
      </w:pPr>
    </w:p>
    <w:p>
      <w:pPr>
        <w:ind w:left="9280"/>
        <w:spacing w:after="0"/>
        <w:tabs>
          <w:tab w:leader="none" w:pos="109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57</w:t>
      </w:r>
    </w:p>
    <w:p>
      <w:pPr>
        <w:sectPr>
          <w:pgSz w:w="11900" w:h="16838" w:orient="portrait"/>
          <w:cols w:equalWidth="0" w:num="1">
            <w:col w:w="11160"/>
          </w:cols>
          <w:pgMar w:left="240" w:top="453"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GRANTS OF PLAN-BASED AWARDS IN FISCAL 2018</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information on plan-based awards in fiscal 2018 to our NEOs: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2100" w:type="dxa"/>
            <w:vAlign w:val="bottom"/>
            <w:shd w:val="clear" w:color="auto" w:fill="052B82"/>
          </w:tcPr>
          <w:p>
            <w:pPr>
              <w:spacing w:after="0"/>
              <w:rPr>
                <w:sz w:val="12"/>
                <w:szCs w:val="12"/>
                <w:color w:val="auto"/>
              </w:rPr>
            </w:pPr>
          </w:p>
        </w:tc>
        <w:tc>
          <w:tcPr>
            <w:tcW w:w="800" w:type="dxa"/>
            <w:vAlign w:val="bottom"/>
            <w:shd w:val="clear" w:color="auto" w:fill="052B82"/>
          </w:tcPr>
          <w:p>
            <w:pPr>
              <w:spacing w:after="0"/>
              <w:rPr>
                <w:sz w:val="12"/>
                <w:szCs w:val="12"/>
                <w:color w:val="auto"/>
              </w:rPr>
            </w:pPr>
          </w:p>
        </w:tc>
        <w:tc>
          <w:tcPr>
            <w:tcW w:w="80" w:type="dxa"/>
            <w:vAlign w:val="bottom"/>
            <w:shd w:val="clear" w:color="auto" w:fill="052B82"/>
          </w:tcPr>
          <w:p>
            <w:pPr>
              <w:spacing w:after="0"/>
              <w:rPr>
                <w:sz w:val="12"/>
                <w:szCs w:val="12"/>
                <w:color w:val="auto"/>
              </w:rPr>
            </w:pPr>
          </w:p>
        </w:tc>
        <w:tc>
          <w:tcPr>
            <w:tcW w:w="700" w:type="dxa"/>
            <w:vAlign w:val="bottom"/>
            <w:shd w:val="clear" w:color="auto" w:fill="052B82"/>
          </w:tcPr>
          <w:p>
            <w:pPr>
              <w:spacing w:after="0"/>
              <w:rPr>
                <w:sz w:val="12"/>
                <w:szCs w:val="12"/>
                <w:color w:val="auto"/>
              </w:rPr>
            </w:pPr>
          </w:p>
        </w:tc>
        <w:tc>
          <w:tcPr>
            <w:tcW w:w="800" w:type="dxa"/>
            <w:vAlign w:val="bottom"/>
            <w:shd w:val="clear" w:color="auto" w:fill="052B82"/>
          </w:tcPr>
          <w:p>
            <w:pPr>
              <w:spacing w:after="0"/>
              <w:rPr>
                <w:sz w:val="12"/>
                <w:szCs w:val="12"/>
                <w:color w:val="auto"/>
              </w:rPr>
            </w:pPr>
          </w:p>
        </w:tc>
        <w:tc>
          <w:tcPr>
            <w:tcW w:w="780" w:type="dxa"/>
            <w:vAlign w:val="bottom"/>
            <w:shd w:val="clear" w:color="auto" w:fill="052B82"/>
          </w:tcPr>
          <w:p>
            <w:pPr>
              <w:spacing w:after="0"/>
              <w:rPr>
                <w:sz w:val="12"/>
                <w:szCs w:val="12"/>
                <w:color w:val="auto"/>
              </w:rPr>
            </w:pPr>
          </w:p>
        </w:tc>
        <w:tc>
          <w:tcPr>
            <w:tcW w:w="2020" w:type="dxa"/>
            <w:vAlign w:val="bottom"/>
            <w:gridSpan w:val="3"/>
            <w:vMerge w:val="restart"/>
            <w:shd w:val="clear" w:color="auto" w:fill="052B82"/>
          </w:tcPr>
          <w:p>
            <w:pPr>
              <w:jc w:val="center"/>
              <w:spacing w:after="0"/>
              <w:rPr>
                <w:sz w:val="20"/>
                <w:szCs w:val="20"/>
                <w:color w:val="auto"/>
              </w:rPr>
            </w:pPr>
            <w:r>
              <w:rPr>
                <w:rFonts w:ascii="Arial" w:cs="Arial" w:eastAsia="Arial" w:hAnsi="Arial"/>
                <w:sz w:val="12"/>
                <w:szCs w:val="12"/>
                <w:b w:val="1"/>
                <w:bCs w:val="1"/>
                <w:color w:val="FFFFFF"/>
              </w:rPr>
              <w:t>Estimated Future</w:t>
            </w:r>
          </w:p>
        </w:tc>
        <w:tc>
          <w:tcPr>
            <w:tcW w:w="1000" w:type="dxa"/>
            <w:vAlign w:val="bottom"/>
            <w:shd w:val="clear" w:color="auto" w:fill="052B82"/>
          </w:tcPr>
          <w:p>
            <w:pPr>
              <w:spacing w:after="0"/>
              <w:rPr>
                <w:sz w:val="12"/>
                <w:szCs w:val="12"/>
                <w:color w:val="auto"/>
              </w:rPr>
            </w:pPr>
          </w:p>
        </w:tc>
        <w:tc>
          <w:tcPr>
            <w:tcW w:w="1040" w:type="dxa"/>
            <w:vAlign w:val="bottom"/>
            <w:shd w:val="clear" w:color="auto" w:fill="052B82"/>
          </w:tcPr>
          <w:p>
            <w:pPr>
              <w:spacing w:after="0"/>
              <w:rPr>
                <w:sz w:val="12"/>
                <w:szCs w:val="12"/>
                <w:color w:val="auto"/>
              </w:rPr>
            </w:pPr>
          </w:p>
        </w:tc>
        <w:tc>
          <w:tcPr>
            <w:tcW w:w="6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Exercise</w:t>
            </w:r>
          </w:p>
        </w:tc>
        <w:tc>
          <w:tcPr>
            <w:tcW w:w="920" w:type="dxa"/>
            <w:vAlign w:val="bottom"/>
            <w:shd w:val="clear" w:color="auto" w:fill="052B82"/>
          </w:tcPr>
          <w:p>
            <w:pPr>
              <w:jc w:val="center"/>
              <w:ind w:right="111"/>
              <w:spacing w:after="0"/>
              <w:rPr>
                <w:sz w:val="20"/>
                <w:szCs w:val="20"/>
                <w:color w:val="auto"/>
              </w:rPr>
            </w:pPr>
            <w:r>
              <w:rPr>
                <w:rFonts w:ascii="Arial" w:cs="Arial" w:eastAsia="Arial" w:hAnsi="Arial"/>
                <w:sz w:val="12"/>
                <w:szCs w:val="12"/>
                <w:b w:val="1"/>
                <w:bCs w:val="1"/>
                <w:color w:val="FFFFFF"/>
              </w:rPr>
              <w:t>Grant</w:t>
            </w:r>
          </w:p>
        </w:tc>
        <w:tc>
          <w:tcPr>
            <w:tcW w:w="0" w:type="dxa"/>
            <w:vAlign w:val="bottom"/>
          </w:tcPr>
          <w:p>
            <w:pPr>
              <w:spacing w:after="0"/>
              <w:rPr>
                <w:sz w:val="1"/>
                <w:szCs w:val="1"/>
                <w:color w:val="auto"/>
              </w:rPr>
            </w:pPr>
          </w:p>
        </w:tc>
      </w:tr>
      <w:tr>
        <w:trPr>
          <w:trHeight w:val="93"/>
        </w:trPr>
        <w:tc>
          <w:tcPr>
            <w:tcW w:w="2100" w:type="dxa"/>
            <w:vAlign w:val="bottom"/>
            <w:shd w:val="clear" w:color="auto" w:fill="052B82"/>
          </w:tcPr>
          <w:p>
            <w:pPr>
              <w:spacing w:after="0"/>
              <w:rPr>
                <w:sz w:val="8"/>
                <w:szCs w:val="8"/>
                <w:color w:val="auto"/>
              </w:rPr>
            </w:pPr>
          </w:p>
        </w:tc>
        <w:tc>
          <w:tcPr>
            <w:tcW w:w="800" w:type="dxa"/>
            <w:vAlign w:val="bottom"/>
            <w:shd w:val="clear" w:color="auto" w:fill="052B82"/>
          </w:tcPr>
          <w:p>
            <w:pPr>
              <w:spacing w:after="0"/>
              <w:rPr>
                <w:sz w:val="8"/>
                <w:szCs w:val="8"/>
                <w:color w:val="auto"/>
              </w:rPr>
            </w:pPr>
          </w:p>
        </w:tc>
        <w:tc>
          <w:tcPr>
            <w:tcW w:w="80" w:type="dxa"/>
            <w:vAlign w:val="bottom"/>
            <w:shd w:val="clear" w:color="auto" w:fill="052B82"/>
          </w:tcPr>
          <w:p>
            <w:pPr>
              <w:spacing w:after="0"/>
              <w:rPr>
                <w:sz w:val="8"/>
                <w:szCs w:val="8"/>
                <w:color w:val="auto"/>
              </w:rPr>
            </w:pPr>
          </w:p>
        </w:tc>
        <w:tc>
          <w:tcPr>
            <w:tcW w:w="2280" w:type="dxa"/>
            <w:vAlign w:val="bottom"/>
            <w:gridSpan w:val="3"/>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Estimated Possible</w:t>
            </w:r>
          </w:p>
        </w:tc>
        <w:tc>
          <w:tcPr>
            <w:tcW w:w="2020" w:type="dxa"/>
            <w:vAlign w:val="bottom"/>
            <w:gridSpan w:val="3"/>
            <w:vMerge w:val="continue"/>
            <w:shd w:val="clear" w:color="auto" w:fill="052B82"/>
          </w:tcPr>
          <w:p>
            <w:pPr>
              <w:spacing w:after="0"/>
              <w:rPr>
                <w:sz w:val="8"/>
                <w:szCs w:val="8"/>
                <w:color w:val="auto"/>
              </w:rPr>
            </w:pPr>
          </w:p>
        </w:tc>
        <w:tc>
          <w:tcPr>
            <w:tcW w:w="1000" w:type="dxa"/>
            <w:vAlign w:val="bottom"/>
            <w:vMerge w:val="restart"/>
            <w:shd w:val="clear" w:color="auto" w:fill="052B82"/>
          </w:tcPr>
          <w:p>
            <w:pPr>
              <w:jc w:val="center"/>
              <w:spacing w:after="0"/>
              <w:rPr>
                <w:sz w:val="20"/>
                <w:szCs w:val="20"/>
                <w:color w:val="auto"/>
              </w:rPr>
            </w:pPr>
            <w:r>
              <w:rPr>
                <w:rFonts w:ascii="Arial" w:cs="Arial" w:eastAsia="Arial" w:hAnsi="Arial"/>
                <w:sz w:val="12"/>
                <w:szCs w:val="12"/>
                <w:b w:val="1"/>
                <w:bCs w:val="1"/>
                <w:color w:val="FFFFFF"/>
              </w:rPr>
              <w:t>All Other</w:t>
            </w:r>
          </w:p>
        </w:tc>
        <w:tc>
          <w:tcPr>
            <w:tcW w:w="1040" w:type="dxa"/>
            <w:vAlign w:val="bottom"/>
            <w:vMerge w:val="restart"/>
            <w:shd w:val="clear" w:color="auto" w:fill="052B82"/>
          </w:tcPr>
          <w:p>
            <w:pPr>
              <w:jc w:val="center"/>
              <w:spacing w:after="0"/>
              <w:rPr>
                <w:sz w:val="20"/>
                <w:szCs w:val="20"/>
                <w:color w:val="auto"/>
              </w:rPr>
            </w:pPr>
            <w:r>
              <w:rPr>
                <w:rFonts w:ascii="Arial" w:cs="Arial" w:eastAsia="Arial" w:hAnsi="Arial"/>
                <w:sz w:val="12"/>
                <w:szCs w:val="12"/>
                <w:b w:val="1"/>
                <w:bCs w:val="1"/>
                <w:color w:val="FFFFFF"/>
              </w:rPr>
              <w:t>All Other</w:t>
            </w:r>
          </w:p>
        </w:tc>
        <w:tc>
          <w:tcPr>
            <w:tcW w:w="640" w:type="dxa"/>
            <w:vAlign w:val="bottom"/>
            <w:vMerge w:val="restart"/>
            <w:shd w:val="clear" w:color="auto" w:fill="052B82"/>
          </w:tcPr>
          <w:p>
            <w:pPr>
              <w:jc w:val="center"/>
              <w:spacing w:after="0"/>
              <w:rPr>
                <w:sz w:val="20"/>
                <w:szCs w:val="20"/>
                <w:color w:val="auto"/>
              </w:rPr>
            </w:pPr>
            <w:r>
              <w:rPr>
                <w:rFonts w:ascii="Arial" w:cs="Arial" w:eastAsia="Arial" w:hAnsi="Arial"/>
                <w:sz w:val="12"/>
                <w:szCs w:val="12"/>
                <w:b w:val="1"/>
                <w:bCs w:val="1"/>
                <w:color w:val="FFFFFF"/>
              </w:rPr>
              <w:t>Price of</w:t>
            </w:r>
          </w:p>
        </w:tc>
        <w:tc>
          <w:tcPr>
            <w:tcW w:w="920" w:type="dxa"/>
            <w:vAlign w:val="bottom"/>
            <w:vMerge w:val="restart"/>
            <w:shd w:val="clear" w:color="auto" w:fill="052B82"/>
          </w:tcPr>
          <w:p>
            <w:pPr>
              <w:jc w:val="center"/>
              <w:ind w:right="111"/>
              <w:spacing w:after="0"/>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89"/>
        </w:trPr>
        <w:tc>
          <w:tcPr>
            <w:tcW w:w="2100" w:type="dxa"/>
            <w:vAlign w:val="bottom"/>
            <w:shd w:val="clear" w:color="auto" w:fill="052B82"/>
          </w:tcPr>
          <w:p>
            <w:pPr>
              <w:spacing w:after="0"/>
              <w:rPr>
                <w:sz w:val="7"/>
                <w:szCs w:val="7"/>
                <w:color w:val="auto"/>
              </w:rPr>
            </w:pPr>
          </w:p>
        </w:tc>
        <w:tc>
          <w:tcPr>
            <w:tcW w:w="800" w:type="dxa"/>
            <w:vAlign w:val="bottom"/>
            <w:shd w:val="clear" w:color="auto" w:fill="052B82"/>
          </w:tcPr>
          <w:p>
            <w:pPr>
              <w:spacing w:after="0"/>
              <w:rPr>
                <w:sz w:val="7"/>
                <w:szCs w:val="7"/>
                <w:color w:val="auto"/>
              </w:rPr>
            </w:pPr>
          </w:p>
        </w:tc>
        <w:tc>
          <w:tcPr>
            <w:tcW w:w="80" w:type="dxa"/>
            <w:vAlign w:val="bottom"/>
            <w:shd w:val="clear" w:color="auto" w:fill="052B82"/>
          </w:tcPr>
          <w:p>
            <w:pPr>
              <w:spacing w:after="0"/>
              <w:rPr>
                <w:sz w:val="7"/>
                <w:szCs w:val="7"/>
                <w:color w:val="auto"/>
              </w:rPr>
            </w:pPr>
          </w:p>
        </w:tc>
        <w:tc>
          <w:tcPr>
            <w:tcW w:w="2280" w:type="dxa"/>
            <w:vAlign w:val="bottom"/>
            <w:gridSpan w:val="3"/>
            <w:vMerge w:val="continue"/>
            <w:shd w:val="clear" w:color="auto" w:fill="052B82"/>
          </w:tcPr>
          <w:p>
            <w:pPr>
              <w:spacing w:after="0"/>
              <w:rPr>
                <w:sz w:val="7"/>
                <w:szCs w:val="7"/>
                <w:color w:val="auto"/>
              </w:rPr>
            </w:pPr>
          </w:p>
        </w:tc>
        <w:tc>
          <w:tcPr>
            <w:tcW w:w="2020" w:type="dxa"/>
            <w:vAlign w:val="bottom"/>
            <w:gridSpan w:val="3"/>
            <w:vMerge w:val="restart"/>
            <w:shd w:val="clear" w:color="auto" w:fill="052B82"/>
          </w:tcPr>
          <w:p>
            <w:pPr>
              <w:jc w:val="center"/>
              <w:spacing w:after="0"/>
              <w:rPr>
                <w:sz w:val="20"/>
                <w:szCs w:val="20"/>
                <w:color w:val="auto"/>
              </w:rPr>
            </w:pPr>
            <w:r>
              <w:rPr>
                <w:rFonts w:ascii="Arial" w:cs="Arial" w:eastAsia="Arial" w:hAnsi="Arial"/>
                <w:sz w:val="12"/>
                <w:szCs w:val="12"/>
                <w:b w:val="1"/>
                <w:bCs w:val="1"/>
                <w:color w:val="FFFFFF"/>
              </w:rPr>
              <w:t>Payouts Under</w:t>
            </w:r>
          </w:p>
        </w:tc>
        <w:tc>
          <w:tcPr>
            <w:tcW w:w="1000" w:type="dxa"/>
            <w:vAlign w:val="bottom"/>
            <w:vMerge w:val="continue"/>
            <w:shd w:val="clear" w:color="auto" w:fill="052B82"/>
          </w:tcPr>
          <w:p>
            <w:pPr>
              <w:spacing w:after="0"/>
              <w:rPr>
                <w:sz w:val="7"/>
                <w:szCs w:val="7"/>
                <w:color w:val="auto"/>
              </w:rPr>
            </w:pPr>
          </w:p>
        </w:tc>
        <w:tc>
          <w:tcPr>
            <w:tcW w:w="1040" w:type="dxa"/>
            <w:vAlign w:val="bottom"/>
            <w:vMerge w:val="continue"/>
            <w:shd w:val="clear" w:color="auto" w:fill="052B82"/>
          </w:tcPr>
          <w:p>
            <w:pPr>
              <w:spacing w:after="0"/>
              <w:rPr>
                <w:sz w:val="7"/>
                <w:szCs w:val="7"/>
                <w:color w:val="auto"/>
              </w:rPr>
            </w:pPr>
          </w:p>
        </w:tc>
        <w:tc>
          <w:tcPr>
            <w:tcW w:w="640" w:type="dxa"/>
            <w:vAlign w:val="bottom"/>
            <w:vMerge w:val="continue"/>
            <w:shd w:val="clear" w:color="auto" w:fill="052B82"/>
          </w:tcPr>
          <w:p>
            <w:pPr>
              <w:spacing w:after="0"/>
              <w:rPr>
                <w:sz w:val="7"/>
                <w:szCs w:val="7"/>
                <w:color w:val="auto"/>
              </w:rPr>
            </w:pPr>
          </w:p>
        </w:tc>
        <w:tc>
          <w:tcPr>
            <w:tcW w:w="920" w:type="dxa"/>
            <w:vAlign w:val="bottom"/>
            <w:vMerge w:val="continue"/>
            <w:shd w:val="clear" w:color="auto" w:fill="052B82"/>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100" w:type="dxa"/>
            <w:vAlign w:val="bottom"/>
            <w:shd w:val="clear" w:color="auto" w:fill="052B82"/>
          </w:tcPr>
          <w:p>
            <w:pPr>
              <w:spacing w:after="0"/>
              <w:rPr>
                <w:sz w:val="6"/>
                <w:szCs w:val="6"/>
                <w:color w:val="auto"/>
              </w:rPr>
            </w:pPr>
          </w:p>
        </w:tc>
        <w:tc>
          <w:tcPr>
            <w:tcW w:w="800" w:type="dxa"/>
            <w:vAlign w:val="bottom"/>
            <w:shd w:val="clear" w:color="auto" w:fill="052B82"/>
          </w:tcPr>
          <w:p>
            <w:pPr>
              <w:spacing w:after="0"/>
              <w:rPr>
                <w:sz w:val="6"/>
                <w:szCs w:val="6"/>
                <w:color w:val="auto"/>
              </w:rPr>
            </w:pPr>
          </w:p>
        </w:tc>
        <w:tc>
          <w:tcPr>
            <w:tcW w:w="80" w:type="dxa"/>
            <w:vAlign w:val="bottom"/>
            <w:shd w:val="clear" w:color="auto" w:fill="052B82"/>
          </w:tcPr>
          <w:p>
            <w:pPr>
              <w:spacing w:after="0"/>
              <w:rPr>
                <w:sz w:val="6"/>
                <w:szCs w:val="6"/>
                <w:color w:val="auto"/>
              </w:rPr>
            </w:pPr>
          </w:p>
        </w:tc>
        <w:tc>
          <w:tcPr>
            <w:tcW w:w="2280" w:type="dxa"/>
            <w:vAlign w:val="bottom"/>
            <w:gridSpan w:val="3"/>
            <w:vMerge w:val="restart"/>
            <w:shd w:val="clear" w:color="auto" w:fill="052B82"/>
          </w:tcPr>
          <w:p>
            <w:pPr>
              <w:jc w:val="center"/>
              <w:ind w:right="10"/>
              <w:spacing w:after="0"/>
              <w:rPr>
                <w:sz w:val="20"/>
                <w:szCs w:val="20"/>
                <w:color w:val="auto"/>
              </w:rPr>
            </w:pPr>
            <w:r>
              <w:rPr>
                <w:rFonts w:ascii="Arial" w:cs="Arial" w:eastAsia="Arial" w:hAnsi="Arial"/>
                <w:sz w:val="14"/>
                <w:szCs w:val="14"/>
                <w:b w:val="1"/>
                <w:bCs w:val="1"/>
                <w:color w:val="FFFFFF"/>
              </w:rPr>
              <w:t>Payouts Under Non-Equity</w:t>
            </w:r>
          </w:p>
        </w:tc>
        <w:tc>
          <w:tcPr>
            <w:tcW w:w="2020" w:type="dxa"/>
            <w:vAlign w:val="bottom"/>
            <w:gridSpan w:val="3"/>
            <w:vMerge w:val="continue"/>
            <w:shd w:val="clear" w:color="auto" w:fill="052B82"/>
          </w:tcPr>
          <w:p>
            <w:pPr>
              <w:spacing w:after="0"/>
              <w:rPr>
                <w:sz w:val="6"/>
                <w:szCs w:val="6"/>
                <w:color w:val="auto"/>
              </w:rPr>
            </w:pPr>
          </w:p>
        </w:tc>
        <w:tc>
          <w:tcPr>
            <w:tcW w:w="1000" w:type="dxa"/>
            <w:vAlign w:val="bottom"/>
            <w:shd w:val="clear" w:color="auto" w:fill="052B82"/>
          </w:tcPr>
          <w:p>
            <w:pPr>
              <w:jc w:val="center"/>
              <w:spacing w:after="0" w:line="80" w:lineRule="exact"/>
              <w:rPr>
                <w:sz w:val="20"/>
                <w:szCs w:val="20"/>
                <w:color w:val="auto"/>
              </w:rPr>
            </w:pPr>
            <w:r>
              <w:rPr>
                <w:rFonts w:ascii="Arial" w:cs="Arial" w:eastAsia="Arial" w:hAnsi="Arial"/>
                <w:sz w:val="9"/>
                <w:szCs w:val="9"/>
                <w:b w:val="1"/>
                <w:bCs w:val="1"/>
                <w:color w:val="FFFFFF"/>
              </w:rPr>
              <w:t>Stock Awards:</w:t>
            </w:r>
          </w:p>
        </w:tc>
        <w:tc>
          <w:tcPr>
            <w:tcW w:w="1040" w:type="dxa"/>
            <w:vAlign w:val="bottom"/>
            <w:shd w:val="clear" w:color="auto" w:fill="052B82"/>
          </w:tcPr>
          <w:p>
            <w:pPr>
              <w:jc w:val="center"/>
              <w:spacing w:after="0" w:line="80" w:lineRule="exact"/>
              <w:rPr>
                <w:sz w:val="20"/>
                <w:szCs w:val="20"/>
                <w:color w:val="auto"/>
              </w:rPr>
            </w:pPr>
            <w:r>
              <w:rPr>
                <w:rFonts w:ascii="Arial" w:cs="Arial" w:eastAsia="Arial" w:hAnsi="Arial"/>
                <w:sz w:val="9"/>
                <w:szCs w:val="9"/>
                <w:b w:val="1"/>
                <w:bCs w:val="1"/>
                <w:color w:val="FFFFFF"/>
              </w:rPr>
              <w:t>Option Awards:</w:t>
            </w:r>
          </w:p>
        </w:tc>
        <w:tc>
          <w:tcPr>
            <w:tcW w:w="640" w:type="dxa"/>
            <w:vAlign w:val="bottom"/>
            <w:shd w:val="clear" w:color="auto" w:fill="052B82"/>
          </w:tcPr>
          <w:p>
            <w:pPr>
              <w:jc w:val="center"/>
              <w:spacing w:after="0" w:line="80" w:lineRule="exact"/>
              <w:rPr>
                <w:sz w:val="20"/>
                <w:szCs w:val="20"/>
                <w:color w:val="auto"/>
              </w:rPr>
            </w:pPr>
            <w:r>
              <w:rPr>
                <w:rFonts w:ascii="Arial" w:cs="Arial" w:eastAsia="Arial" w:hAnsi="Arial"/>
                <w:sz w:val="9"/>
                <w:szCs w:val="9"/>
                <w:b w:val="1"/>
                <w:bCs w:val="1"/>
                <w:color w:val="FFFFFF"/>
              </w:rPr>
              <w:t>Option</w:t>
            </w:r>
          </w:p>
        </w:tc>
        <w:tc>
          <w:tcPr>
            <w:tcW w:w="920" w:type="dxa"/>
            <w:vAlign w:val="bottom"/>
            <w:shd w:val="clear" w:color="auto" w:fill="052B82"/>
          </w:tcPr>
          <w:p>
            <w:pPr>
              <w:jc w:val="center"/>
              <w:ind w:right="131"/>
              <w:spacing w:after="0" w:line="80" w:lineRule="exact"/>
              <w:rPr>
                <w:sz w:val="20"/>
                <w:szCs w:val="20"/>
                <w:color w:val="auto"/>
              </w:rPr>
            </w:pPr>
            <w:r>
              <w:rPr>
                <w:rFonts w:ascii="Arial" w:cs="Arial" w:eastAsia="Arial" w:hAnsi="Arial"/>
                <w:sz w:val="9"/>
                <w:szCs w:val="9"/>
                <w:b w:val="1"/>
                <w:bCs w:val="1"/>
                <w:color w:val="FFFFFF"/>
              </w:rPr>
              <w:t>Value of</w:t>
            </w:r>
          </w:p>
        </w:tc>
        <w:tc>
          <w:tcPr>
            <w:tcW w:w="0" w:type="dxa"/>
            <w:vAlign w:val="bottom"/>
          </w:tcPr>
          <w:p>
            <w:pPr>
              <w:spacing w:after="0"/>
              <w:rPr>
                <w:sz w:val="1"/>
                <w:szCs w:val="1"/>
                <w:color w:val="auto"/>
              </w:rPr>
            </w:pPr>
          </w:p>
        </w:tc>
      </w:tr>
      <w:tr>
        <w:trPr>
          <w:trHeight w:val="134"/>
        </w:trPr>
        <w:tc>
          <w:tcPr>
            <w:tcW w:w="2100" w:type="dxa"/>
            <w:vAlign w:val="bottom"/>
            <w:shd w:val="clear" w:color="auto" w:fill="052B82"/>
          </w:tcPr>
          <w:p>
            <w:pPr>
              <w:spacing w:after="0"/>
              <w:rPr>
                <w:sz w:val="11"/>
                <w:szCs w:val="11"/>
                <w:color w:val="auto"/>
              </w:rPr>
            </w:pPr>
          </w:p>
        </w:tc>
        <w:tc>
          <w:tcPr>
            <w:tcW w:w="800" w:type="dxa"/>
            <w:vAlign w:val="bottom"/>
            <w:shd w:val="clear" w:color="auto" w:fill="052B82"/>
          </w:tcPr>
          <w:p>
            <w:pPr>
              <w:spacing w:after="0"/>
              <w:rPr>
                <w:sz w:val="11"/>
                <w:szCs w:val="11"/>
                <w:color w:val="auto"/>
              </w:rPr>
            </w:pPr>
          </w:p>
        </w:tc>
        <w:tc>
          <w:tcPr>
            <w:tcW w:w="80" w:type="dxa"/>
            <w:vAlign w:val="bottom"/>
            <w:shd w:val="clear" w:color="auto" w:fill="052B82"/>
          </w:tcPr>
          <w:p>
            <w:pPr>
              <w:spacing w:after="0"/>
              <w:rPr>
                <w:sz w:val="11"/>
                <w:szCs w:val="11"/>
                <w:color w:val="auto"/>
              </w:rPr>
            </w:pPr>
          </w:p>
        </w:tc>
        <w:tc>
          <w:tcPr>
            <w:tcW w:w="2280" w:type="dxa"/>
            <w:vAlign w:val="bottom"/>
            <w:gridSpan w:val="3"/>
            <w:vMerge w:val="continue"/>
            <w:shd w:val="clear" w:color="auto" w:fill="052B82"/>
          </w:tcPr>
          <w:p>
            <w:pPr>
              <w:spacing w:after="0"/>
              <w:rPr>
                <w:sz w:val="11"/>
                <w:szCs w:val="11"/>
                <w:color w:val="auto"/>
              </w:rPr>
            </w:pPr>
          </w:p>
        </w:tc>
        <w:tc>
          <w:tcPr>
            <w:tcW w:w="2020" w:type="dxa"/>
            <w:vAlign w:val="bottom"/>
            <w:gridSpan w:val="3"/>
            <w:shd w:val="clear" w:color="auto" w:fill="052B82"/>
          </w:tcPr>
          <w:p>
            <w:pPr>
              <w:jc w:val="center"/>
              <w:spacing w:after="0" w:line="134" w:lineRule="exact"/>
              <w:rPr>
                <w:sz w:val="20"/>
                <w:szCs w:val="20"/>
                <w:color w:val="auto"/>
              </w:rPr>
            </w:pPr>
            <w:r>
              <w:rPr>
                <w:rFonts w:ascii="Arial" w:cs="Arial" w:eastAsia="Arial" w:hAnsi="Arial"/>
                <w:sz w:val="12"/>
                <w:szCs w:val="12"/>
                <w:b w:val="1"/>
                <w:bCs w:val="1"/>
                <w:color w:val="FFFFFF"/>
              </w:rPr>
              <w:t>Equity Incentive</w:t>
            </w:r>
          </w:p>
        </w:tc>
        <w:tc>
          <w:tcPr>
            <w:tcW w:w="1000" w:type="dxa"/>
            <w:vAlign w:val="bottom"/>
            <w:shd w:val="clear" w:color="auto" w:fill="052B82"/>
          </w:tcPr>
          <w:p>
            <w:pPr>
              <w:jc w:val="center"/>
              <w:spacing w:after="0" w:line="134" w:lineRule="exact"/>
              <w:rPr>
                <w:sz w:val="20"/>
                <w:szCs w:val="20"/>
                <w:color w:val="auto"/>
              </w:rPr>
            </w:pPr>
            <w:r>
              <w:rPr>
                <w:rFonts w:ascii="Arial" w:cs="Arial" w:eastAsia="Arial" w:hAnsi="Arial"/>
                <w:sz w:val="12"/>
                <w:szCs w:val="12"/>
                <w:b w:val="1"/>
                <w:bCs w:val="1"/>
                <w:color w:val="FFFFFF"/>
              </w:rPr>
              <w:t>Number of</w:t>
            </w:r>
          </w:p>
        </w:tc>
        <w:tc>
          <w:tcPr>
            <w:tcW w:w="1040" w:type="dxa"/>
            <w:vAlign w:val="bottom"/>
            <w:shd w:val="clear" w:color="auto" w:fill="052B82"/>
          </w:tcPr>
          <w:p>
            <w:pPr>
              <w:jc w:val="center"/>
              <w:spacing w:after="0" w:line="134" w:lineRule="exact"/>
              <w:rPr>
                <w:sz w:val="20"/>
                <w:szCs w:val="20"/>
                <w:color w:val="auto"/>
              </w:rPr>
            </w:pPr>
            <w:r>
              <w:rPr>
                <w:rFonts w:ascii="Arial" w:cs="Arial" w:eastAsia="Arial" w:hAnsi="Arial"/>
                <w:sz w:val="12"/>
                <w:szCs w:val="12"/>
                <w:b w:val="1"/>
                <w:bCs w:val="1"/>
                <w:color w:val="FFFFFF"/>
              </w:rPr>
              <w:t>Number of</w:t>
            </w:r>
          </w:p>
        </w:tc>
        <w:tc>
          <w:tcPr>
            <w:tcW w:w="640" w:type="dxa"/>
            <w:vAlign w:val="bottom"/>
            <w:shd w:val="clear" w:color="auto" w:fill="052B82"/>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920" w:type="dxa"/>
            <w:vAlign w:val="bottom"/>
            <w:shd w:val="clear" w:color="auto" w:fill="052B82"/>
          </w:tcPr>
          <w:p>
            <w:pPr>
              <w:jc w:val="center"/>
              <w:ind w:right="131"/>
              <w:spacing w:after="0" w:line="134"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138"/>
        </w:trPr>
        <w:tc>
          <w:tcPr>
            <w:tcW w:w="2100" w:type="dxa"/>
            <w:vAlign w:val="bottom"/>
            <w:shd w:val="clear" w:color="auto" w:fill="052B82"/>
          </w:tcPr>
          <w:p>
            <w:pPr>
              <w:spacing w:after="0"/>
              <w:rPr>
                <w:sz w:val="12"/>
                <w:szCs w:val="12"/>
                <w:color w:val="auto"/>
              </w:rPr>
            </w:pPr>
          </w:p>
        </w:tc>
        <w:tc>
          <w:tcPr>
            <w:tcW w:w="800" w:type="dxa"/>
            <w:vAlign w:val="bottom"/>
            <w:shd w:val="clear" w:color="auto" w:fill="052B82"/>
          </w:tcPr>
          <w:p>
            <w:pPr>
              <w:spacing w:after="0"/>
              <w:rPr>
                <w:sz w:val="12"/>
                <w:szCs w:val="12"/>
                <w:color w:val="auto"/>
              </w:rPr>
            </w:pPr>
          </w:p>
        </w:tc>
        <w:tc>
          <w:tcPr>
            <w:tcW w:w="80" w:type="dxa"/>
            <w:vAlign w:val="bottom"/>
            <w:shd w:val="clear" w:color="auto" w:fill="052B82"/>
          </w:tcPr>
          <w:p>
            <w:pPr>
              <w:spacing w:after="0"/>
              <w:rPr>
                <w:sz w:val="12"/>
                <w:szCs w:val="12"/>
                <w:color w:val="auto"/>
              </w:rPr>
            </w:pPr>
          </w:p>
        </w:tc>
        <w:tc>
          <w:tcPr>
            <w:tcW w:w="2280" w:type="dxa"/>
            <w:vAlign w:val="bottom"/>
            <w:gridSpan w:val="3"/>
            <w:shd w:val="clear" w:color="auto" w:fill="052B82"/>
          </w:tcPr>
          <w:p>
            <w:pPr>
              <w:jc w:val="center"/>
              <w:ind w:right="10"/>
              <w:spacing w:after="0" w:line="139" w:lineRule="exact"/>
              <w:rPr>
                <w:sz w:val="20"/>
                <w:szCs w:val="20"/>
                <w:color w:val="auto"/>
              </w:rPr>
            </w:pPr>
            <w:r>
              <w:rPr>
                <w:rFonts w:ascii="Arial" w:cs="Arial" w:eastAsia="Arial" w:hAnsi="Arial"/>
                <w:sz w:val="14"/>
                <w:szCs w:val="14"/>
                <w:b w:val="1"/>
                <w:bCs w:val="1"/>
                <w:color w:val="FFFFFF"/>
              </w:rPr>
              <w:t>Incentive Plan Awards (1)</w:t>
            </w:r>
          </w:p>
        </w:tc>
        <w:tc>
          <w:tcPr>
            <w:tcW w:w="2020" w:type="dxa"/>
            <w:vAlign w:val="bottom"/>
            <w:gridSpan w:val="3"/>
            <w:shd w:val="clear" w:color="auto" w:fill="052B82"/>
          </w:tcPr>
          <w:p>
            <w:pPr>
              <w:jc w:val="center"/>
              <w:spacing w:after="0"/>
              <w:rPr>
                <w:sz w:val="20"/>
                <w:szCs w:val="20"/>
                <w:color w:val="auto"/>
              </w:rPr>
            </w:pPr>
            <w:r>
              <w:rPr>
                <w:rFonts w:ascii="Arial" w:cs="Arial" w:eastAsia="Arial" w:hAnsi="Arial"/>
                <w:sz w:val="12"/>
                <w:szCs w:val="12"/>
                <w:b w:val="1"/>
                <w:bCs w:val="1"/>
                <w:color w:val="FFFFFF"/>
              </w:rPr>
              <w:t>Plan Awards (2)</w:t>
            </w:r>
          </w:p>
        </w:tc>
        <w:tc>
          <w:tcPr>
            <w:tcW w:w="10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Shares of</w:t>
            </w:r>
          </w:p>
        </w:tc>
        <w:tc>
          <w:tcPr>
            <w:tcW w:w="10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Securities</w:t>
            </w:r>
          </w:p>
        </w:tc>
        <w:tc>
          <w:tcPr>
            <w:tcW w:w="6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 Per</w:t>
            </w:r>
          </w:p>
        </w:tc>
        <w:tc>
          <w:tcPr>
            <w:tcW w:w="920" w:type="dxa"/>
            <w:vAlign w:val="bottom"/>
            <w:shd w:val="clear" w:color="auto" w:fill="052B82"/>
          </w:tcPr>
          <w:p>
            <w:pPr>
              <w:jc w:val="center"/>
              <w:ind w:right="131"/>
              <w:spacing w:after="0"/>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142"/>
        </w:trPr>
        <w:tc>
          <w:tcPr>
            <w:tcW w:w="210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800" w:type="dxa"/>
            <w:vAlign w:val="bottom"/>
            <w:shd w:val="clear" w:color="auto" w:fill="052B82"/>
          </w:tcPr>
          <w:p>
            <w:pPr>
              <w:jc w:val="right"/>
              <w:ind w:right="150"/>
              <w:spacing w:after="0"/>
              <w:rPr>
                <w:sz w:val="20"/>
                <w:szCs w:val="20"/>
                <w:color w:val="auto"/>
              </w:rPr>
            </w:pPr>
            <w:r>
              <w:rPr>
                <w:rFonts w:ascii="Arial" w:cs="Arial" w:eastAsia="Arial" w:hAnsi="Arial"/>
                <w:sz w:val="12"/>
                <w:szCs w:val="12"/>
                <w:b w:val="1"/>
                <w:bCs w:val="1"/>
                <w:color w:val="FFFFFF"/>
              </w:rPr>
              <w:t>Grant</w:t>
            </w:r>
          </w:p>
        </w:tc>
        <w:tc>
          <w:tcPr>
            <w:tcW w:w="80" w:type="dxa"/>
            <w:vAlign w:val="bottom"/>
            <w:shd w:val="clear" w:color="auto" w:fill="052B82"/>
          </w:tcPr>
          <w:p>
            <w:pPr>
              <w:spacing w:after="0"/>
              <w:rPr>
                <w:sz w:val="12"/>
                <w:szCs w:val="12"/>
                <w:color w:val="auto"/>
              </w:rPr>
            </w:pPr>
          </w:p>
        </w:tc>
        <w:tc>
          <w:tcPr>
            <w:tcW w:w="700" w:type="dxa"/>
            <w:vAlign w:val="bottom"/>
            <w:shd w:val="clear" w:color="auto" w:fill="052B82"/>
          </w:tcPr>
          <w:p>
            <w:pPr>
              <w:jc w:val="right"/>
              <w:ind w:right="30"/>
              <w:spacing w:after="0"/>
              <w:rPr>
                <w:sz w:val="20"/>
                <w:szCs w:val="20"/>
                <w:color w:val="auto"/>
              </w:rPr>
            </w:pPr>
            <w:r>
              <w:rPr>
                <w:rFonts w:ascii="Arial" w:cs="Arial" w:eastAsia="Arial" w:hAnsi="Arial"/>
                <w:sz w:val="12"/>
                <w:szCs w:val="12"/>
                <w:b w:val="1"/>
                <w:bCs w:val="1"/>
                <w:color w:val="FFFFFF"/>
                <w:w w:val="99"/>
              </w:rPr>
              <w:t>Threshold</w:t>
            </w:r>
          </w:p>
        </w:tc>
        <w:tc>
          <w:tcPr>
            <w:tcW w:w="8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Target</w:t>
            </w:r>
          </w:p>
        </w:tc>
        <w:tc>
          <w:tcPr>
            <w:tcW w:w="780" w:type="dxa"/>
            <w:vAlign w:val="bottom"/>
            <w:shd w:val="clear" w:color="auto" w:fill="052B82"/>
          </w:tcPr>
          <w:p>
            <w:pPr>
              <w:ind w:left="80"/>
              <w:spacing w:after="0"/>
              <w:rPr>
                <w:sz w:val="20"/>
                <w:szCs w:val="20"/>
                <w:color w:val="auto"/>
              </w:rPr>
            </w:pPr>
            <w:r>
              <w:rPr>
                <w:rFonts w:ascii="Arial" w:cs="Arial" w:eastAsia="Arial" w:hAnsi="Arial"/>
                <w:sz w:val="12"/>
                <w:szCs w:val="12"/>
                <w:b w:val="1"/>
                <w:bCs w:val="1"/>
                <w:color w:val="FFFFFF"/>
              </w:rPr>
              <w:t>Maximum</w:t>
            </w:r>
          </w:p>
        </w:tc>
        <w:tc>
          <w:tcPr>
            <w:tcW w:w="740" w:type="dxa"/>
            <w:vAlign w:val="bottom"/>
            <w:shd w:val="clear" w:color="auto" w:fill="052B82"/>
          </w:tcPr>
          <w:p>
            <w:pPr>
              <w:ind w:left="60"/>
              <w:spacing w:after="0"/>
              <w:rPr>
                <w:sz w:val="20"/>
                <w:szCs w:val="20"/>
                <w:color w:val="auto"/>
              </w:rPr>
            </w:pPr>
            <w:r>
              <w:rPr>
                <w:rFonts w:ascii="Arial" w:cs="Arial" w:eastAsia="Arial" w:hAnsi="Arial"/>
                <w:sz w:val="12"/>
                <w:szCs w:val="12"/>
                <w:b w:val="1"/>
                <w:bCs w:val="1"/>
                <w:color w:val="FFFFFF"/>
              </w:rPr>
              <w:t>Threshold</w:t>
            </w:r>
          </w:p>
        </w:tc>
        <w:tc>
          <w:tcPr>
            <w:tcW w:w="6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Target</w:t>
            </w:r>
          </w:p>
        </w:tc>
        <w:tc>
          <w:tcPr>
            <w:tcW w:w="680" w:type="dxa"/>
            <w:vAlign w:val="bottom"/>
            <w:shd w:val="clear" w:color="auto" w:fill="052B82"/>
          </w:tcPr>
          <w:p>
            <w:pPr>
              <w:jc w:val="right"/>
              <w:spacing w:after="0"/>
              <w:rPr>
                <w:sz w:val="20"/>
                <w:szCs w:val="20"/>
                <w:color w:val="auto"/>
              </w:rPr>
            </w:pPr>
            <w:r>
              <w:rPr>
                <w:rFonts w:ascii="Arial" w:cs="Arial" w:eastAsia="Arial" w:hAnsi="Arial"/>
                <w:sz w:val="12"/>
                <w:szCs w:val="12"/>
                <w:b w:val="1"/>
                <w:bCs w:val="1"/>
                <w:color w:val="FFFFFF"/>
              </w:rPr>
              <w:t>Maximum</w:t>
            </w:r>
          </w:p>
        </w:tc>
        <w:tc>
          <w:tcPr>
            <w:tcW w:w="10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Stock or Units</w:t>
            </w:r>
          </w:p>
        </w:tc>
        <w:tc>
          <w:tcPr>
            <w:tcW w:w="10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Underlying</w:t>
            </w:r>
          </w:p>
        </w:tc>
        <w:tc>
          <w:tcPr>
            <w:tcW w:w="6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Share)</w:t>
            </w:r>
          </w:p>
        </w:tc>
        <w:tc>
          <w:tcPr>
            <w:tcW w:w="920" w:type="dxa"/>
            <w:vAlign w:val="bottom"/>
            <w:shd w:val="clear" w:color="auto" w:fill="052B82"/>
          </w:tcPr>
          <w:p>
            <w:pPr>
              <w:jc w:val="center"/>
              <w:ind w:right="111"/>
              <w:spacing w:after="0"/>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60"/>
        </w:trPr>
        <w:tc>
          <w:tcPr>
            <w:tcW w:w="2100" w:type="dxa"/>
            <w:vAlign w:val="bottom"/>
            <w:vMerge w:val="continue"/>
            <w:shd w:val="clear" w:color="auto" w:fill="052B82"/>
          </w:tcPr>
          <w:p>
            <w:pPr>
              <w:spacing w:after="0"/>
              <w:rPr>
                <w:sz w:val="13"/>
                <w:szCs w:val="13"/>
                <w:color w:val="auto"/>
              </w:rPr>
            </w:pPr>
          </w:p>
        </w:tc>
        <w:tc>
          <w:tcPr>
            <w:tcW w:w="800" w:type="dxa"/>
            <w:vAlign w:val="bottom"/>
            <w:shd w:val="clear" w:color="auto" w:fill="052B82"/>
          </w:tcPr>
          <w:p>
            <w:pPr>
              <w:jc w:val="right"/>
              <w:ind w:right="170"/>
              <w:spacing w:after="0"/>
              <w:rPr>
                <w:sz w:val="20"/>
                <w:szCs w:val="20"/>
                <w:color w:val="auto"/>
              </w:rPr>
            </w:pPr>
            <w:r>
              <w:rPr>
                <w:rFonts w:ascii="Arial" w:cs="Arial" w:eastAsia="Arial" w:hAnsi="Arial"/>
                <w:sz w:val="12"/>
                <w:szCs w:val="12"/>
                <w:b w:val="1"/>
                <w:bCs w:val="1"/>
                <w:color w:val="FFFFFF"/>
              </w:rPr>
              <w:t>Date</w:t>
            </w:r>
          </w:p>
        </w:tc>
        <w:tc>
          <w:tcPr>
            <w:tcW w:w="80" w:type="dxa"/>
            <w:vAlign w:val="bottom"/>
            <w:shd w:val="clear" w:color="auto" w:fill="052B82"/>
          </w:tcPr>
          <w:p>
            <w:pPr>
              <w:spacing w:after="0"/>
              <w:rPr>
                <w:sz w:val="13"/>
                <w:szCs w:val="13"/>
                <w:color w:val="auto"/>
              </w:rPr>
            </w:pPr>
          </w:p>
        </w:tc>
        <w:tc>
          <w:tcPr>
            <w:tcW w:w="700" w:type="dxa"/>
            <w:vAlign w:val="bottom"/>
            <w:shd w:val="clear" w:color="auto" w:fill="052B82"/>
          </w:tcPr>
          <w:p>
            <w:pPr>
              <w:ind w:left="220"/>
              <w:spacing w:after="0"/>
              <w:rPr>
                <w:sz w:val="20"/>
                <w:szCs w:val="20"/>
                <w:color w:val="auto"/>
              </w:rPr>
            </w:pPr>
            <w:r>
              <w:rPr>
                <w:rFonts w:ascii="Arial" w:cs="Arial" w:eastAsia="Arial" w:hAnsi="Arial"/>
                <w:sz w:val="12"/>
                <w:szCs w:val="12"/>
                <w:b w:val="1"/>
                <w:bCs w:val="1"/>
                <w:color w:val="FFFFFF"/>
              </w:rPr>
              <w:t>($)</w:t>
            </w:r>
          </w:p>
        </w:tc>
        <w:tc>
          <w:tcPr>
            <w:tcW w:w="8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w w:val="95"/>
              </w:rPr>
              <w:t>($)</w:t>
            </w:r>
          </w:p>
        </w:tc>
        <w:tc>
          <w:tcPr>
            <w:tcW w:w="780" w:type="dxa"/>
            <w:vAlign w:val="bottom"/>
            <w:shd w:val="clear" w:color="auto" w:fill="052B82"/>
          </w:tcPr>
          <w:p>
            <w:pPr>
              <w:ind w:left="300"/>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052B82"/>
          </w:tcPr>
          <w:p>
            <w:pPr>
              <w:ind w:left="280"/>
              <w:spacing w:after="0"/>
              <w:rPr>
                <w:sz w:val="20"/>
                <w:szCs w:val="20"/>
                <w:color w:val="auto"/>
              </w:rPr>
            </w:pPr>
            <w:r>
              <w:rPr>
                <w:rFonts w:ascii="Arial" w:cs="Arial" w:eastAsia="Arial" w:hAnsi="Arial"/>
                <w:sz w:val="12"/>
                <w:szCs w:val="12"/>
                <w:b w:val="1"/>
                <w:bCs w:val="1"/>
                <w:color w:val="FFFFFF"/>
              </w:rPr>
              <w:t>(#)</w:t>
            </w:r>
          </w:p>
        </w:tc>
        <w:tc>
          <w:tcPr>
            <w:tcW w:w="6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w w:val="95"/>
              </w:rPr>
              <w:t>(#)</w:t>
            </w:r>
          </w:p>
        </w:tc>
        <w:tc>
          <w:tcPr>
            <w:tcW w:w="680" w:type="dxa"/>
            <w:vAlign w:val="bottom"/>
            <w:shd w:val="clear" w:color="auto" w:fill="052B82"/>
          </w:tcPr>
          <w:p>
            <w:pPr>
              <w:jc w:val="right"/>
              <w:ind w:right="190"/>
              <w:spacing w:after="0"/>
              <w:rPr>
                <w:sz w:val="20"/>
                <w:szCs w:val="20"/>
                <w:color w:val="auto"/>
              </w:rPr>
            </w:pPr>
            <w:r>
              <w:rPr>
                <w:rFonts w:ascii="Arial" w:cs="Arial" w:eastAsia="Arial" w:hAnsi="Arial"/>
                <w:sz w:val="12"/>
                <w:szCs w:val="12"/>
                <w:b w:val="1"/>
                <w:bCs w:val="1"/>
                <w:color w:val="FFFFFF"/>
              </w:rPr>
              <w:t>(#)</w:t>
            </w:r>
          </w:p>
        </w:tc>
        <w:tc>
          <w:tcPr>
            <w:tcW w:w="100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w w:val="95"/>
              </w:rPr>
              <w:t>(3)</w:t>
            </w:r>
          </w:p>
        </w:tc>
        <w:tc>
          <w:tcPr>
            <w:tcW w:w="10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Options (4)</w:t>
            </w:r>
          </w:p>
        </w:tc>
        <w:tc>
          <w:tcPr>
            <w:tcW w:w="640" w:type="dxa"/>
            <w:vAlign w:val="bottom"/>
            <w:shd w:val="clear" w:color="auto" w:fill="052B82"/>
          </w:tcPr>
          <w:p>
            <w:pPr>
              <w:jc w:val="center"/>
              <w:spacing w:after="0"/>
              <w:rPr>
                <w:sz w:val="20"/>
                <w:szCs w:val="20"/>
                <w:color w:val="auto"/>
              </w:rPr>
            </w:pPr>
            <w:r>
              <w:rPr>
                <w:rFonts w:ascii="Arial" w:cs="Arial" w:eastAsia="Arial" w:hAnsi="Arial"/>
                <w:sz w:val="12"/>
                <w:szCs w:val="12"/>
                <w:b w:val="1"/>
                <w:bCs w:val="1"/>
                <w:color w:val="FFFFFF"/>
              </w:rPr>
              <w:t>(5)</w:t>
            </w:r>
          </w:p>
        </w:tc>
        <w:tc>
          <w:tcPr>
            <w:tcW w:w="920" w:type="dxa"/>
            <w:vAlign w:val="bottom"/>
            <w:shd w:val="clear" w:color="auto" w:fill="052B82"/>
          </w:tcPr>
          <w:p>
            <w:pPr>
              <w:jc w:val="center"/>
              <w:ind w:right="111"/>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47"/>
        </w:trPr>
        <w:tc>
          <w:tcPr>
            <w:tcW w:w="2100" w:type="dxa"/>
            <w:vAlign w:val="bottom"/>
          </w:tcPr>
          <w:p>
            <w:pPr>
              <w:ind w:left="20"/>
              <w:spacing w:after="0" w:line="147" w:lineRule="exact"/>
              <w:rPr>
                <w:sz w:val="20"/>
                <w:szCs w:val="20"/>
                <w:color w:val="auto"/>
              </w:rPr>
            </w:pPr>
            <w:r>
              <w:rPr>
                <w:rFonts w:ascii="Arial" w:cs="Arial" w:eastAsia="Arial" w:hAnsi="Arial"/>
                <w:sz w:val="14"/>
                <w:szCs w:val="14"/>
                <w:color w:val="auto"/>
              </w:rPr>
              <w:t>Vincent Roche</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700" w:type="dxa"/>
            <w:vAlign w:val="bottom"/>
          </w:tcPr>
          <w:p>
            <w:pPr>
              <w:ind w:left="40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line="147" w:lineRule="exact"/>
              <w:rPr>
                <w:sz w:val="20"/>
                <w:szCs w:val="20"/>
                <w:color w:val="auto"/>
              </w:rPr>
            </w:pPr>
            <w:r>
              <w:rPr>
                <w:rFonts w:ascii="Arial" w:cs="Arial" w:eastAsia="Arial" w:hAnsi="Arial"/>
                <w:sz w:val="14"/>
                <w:szCs w:val="14"/>
                <w:color w:val="auto"/>
              </w:rPr>
              <w:t>1,476,923</w:t>
            </w:r>
          </w:p>
        </w:tc>
        <w:tc>
          <w:tcPr>
            <w:tcW w:w="780" w:type="dxa"/>
            <w:vAlign w:val="bottom"/>
          </w:tcPr>
          <w:p>
            <w:pPr>
              <w:ind w:left="80"/>
              <w:spacing w:after="0" w:line="147" w:lineRule="exact"/>
              <w:rPr>
                <w:sz w:val="20"/>
                <w:szCs w:val="20"/>
                <w:color w:val="auto"/>
              </w:rPr>
            </w:pPr>
            <w:r>
              <w:rPr>
                <w:rFonts w:ascii="Arial" w:cs="Arial" w:eastAsia="Arial" w:hAnsi="Arial"/>
                <w:sz w:val="14"/>
                <w:szCs w:val="14"/>
                <w:color w:val="auto"/>
              </w:rPr>
              <w:t>4,430,769</w:t>
            </w:r>
          </w:p>
        </w:tc>
        <w:tc>
          <w:tcPr>
            <w:tcW w:w="740" w:type="dxa"/>
            <w:vAlign w:val="bottom"/>
          </w:tcPr>
          <w:p>
            <w:pPr>
              <w:ind w:left="44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line="147"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line="147" w:lineRule="exact"/>
              <w:rPr>
                <w:sz w:val="20"/>
                <w:szCs w:val="20"/>
                <w:color w:val="auto"/>
              </w:rPr>
            </w:pPr>
            <w:r>
              <w:rPr>
                <w:rFonts w:ascii="Arial" w:cs="Arial" w:eastAsia="Arial" w:hAnsi="Arial"/>
                <w:sz w:val="14"/>
                <w:szCs w:val="14"/>
                <w:color w:val="auto"/>
                <w:w w:val="99"/>
              </w:rPr>
              <w:t>—</w:t>
            </w:r>
          </w:p>
        </w:tc>
        <w:tc>
          <w:tcPr>
            <w:tcW w:w="920" w:type="dxa"/>
            <w:vAlign w:val="bottom"/>
          </w:tcPr>
          <w:p>
            <w:pPr>
              <w:jc w:val="right"/>
              <w:ind w:right="231"/>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26,366</w:t>
            </w:r>
          </w:p>
        </w:tc>
        <w:tc>
          <w:tcPr>
            <w:tcW w:w="680" w:type="dxa"/>
            <w:vAlign w:val="bottom"/>
          </w:tcPr>
          <w:p>
            <w:pPr>
              <w:jc w:val="right"/>
              <w:spacing w:after="0"/>
              <w:rPr>
                <w:sz w:val="20"/>
                <w:szCs w:val="20"/>
                <w:color w:val="auto"/>
              </w:rPr>
            </w:pPr>
            <w:r>
              <w:rPr>
                <w:rFonts w:ascii="Arial" w:cs="Arial" w:eastAsia="Arial" w:hAnsi="Arial"/>
                <w:sz w:val="14"/>
                <w:szCs w:val="14"/>
                <w:color w:val="auto"/>
              </w:rPr>
              <w:t>52,732</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2,669,030(6)</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26,366</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2,280,923(7)</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5"/>
                <w:szCs w:val="15"/>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110,661</w:t>
            </w:r>
          </w:p>
        </w:tc>
        <w:tc>
          <w:tcPr>
            <w:tcW w:w="640" w:type="dxa"/>
            <w:vAlign w:val="bottom"/>
          </w:tcPr>
          <w:p>
            <w:pPr>
              <w:jc w:val="center"/>
              <w:ind w:left="111"/>
              <w:spacing w:after="0"/>
              <w:rPr>
                <w:sz w:val="20"/>
                <w:szCs w:val="20"/>
                <w:color w:val="auto"/>
              </w:rPr>
            </w:pPr>
            <w:r>
              <w:rPr>
                <w:rFonts w:ascii="Arial" w:cs="Arial" w:eastAsia="Arial" w:hAnsi="Arial"/>
                <w:sz w:val="14"/>
                <w:szCs w:val="14"/>
                <w:color w:val="auto"/>
                <w:w w:val="96"/>
              </w:rPr>
              <w:t>91.13</w:t>
            </w:r>
          </w:p>
        </w:tc>
        <w:tc>
          <w:tcPr>
            <w:tcW w:w="920" w:type="dxa"/>
            <w:vAlign w:val="bottom"/>
          </w:tcPr>
          <w:p>
            <w:pPr>
              <w:jc w:val="right"/>
              <w:spacing w:after="0"/>
              <w:rPr>
                <w:sz w:val="20"/>
                <w:szCs w:val="20"/>
                <w:color w:val="auto"/>
              </w:rPr>
            </w:pPr>
            <w:r>
              <w:rPr>
                <w:rFonts w:ascii="Arial" w:cs="Arial" w:eastAsia="Arial" w:hAnsi="Arial"/>
                <w:sz w:val="14"/>
                <w:szCs w:val="14"/>
                <w:color w:val="auto"/>
              </w:rPr>
              <w:t>2,305,013(8)</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571,154</w:t>
            </w:r>
          </w:p>
        </w:tc>
        <w:tc>
          <w:tcPr>
            <w:tcW w:w="780" w:type="dxa"/>
            <w:vAlign w:val="bottom"/>
            <w:shd w:val="clear" w:color="auto" w:fill="E8EDF4"/>
          </w:tcPr>
          <w:p>
            <w:pPr>
              <w:ind w:left="80"/>
              <w:spacing w:after="0"/>
              <w:rPr>
                <w:sz w:val="20"/>
                <w:szCs w:val="20"/>
                <w:color w:val="auto"/>
              </w:rPr>
            </w:pPr>
            <w:r>
              <w:rPr>
                <w:rFonts w:ascii="Arial" w:cs="Arial" w:eastAsia="Arial" w:hAnsi="Arial"/>
                <w:sz w:val="14"/>
                <w:szCs w:val="14"/>
                <w:color w:val="auto"/>
              </w:rPr>
              <w:t>1,713,462</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ind w:right="2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8,287</w:t>
            </w:r>
          </w:p>
        </w:tc>
        <w:tc>
          <w:tcPr>
            <w:tcW w:w="6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16,574</w:t>
            </w:r>
          </w:p>
        </w:tc>
        <w:tc>
          <w:tcPr>
            <w:tcW w:w="100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838,893(6)</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8,287</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716,908(7)</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spacing w:after="0"/>
              <w:rPr>
                <w:sz w:val="13"/>
                <w:szCs w:val="13"/>
                <w:color w:val="auto"/>
              </w:rPr>
            </w:pPr>
          </w:p>
        </w:tc>
        <w:tc>
          <w:tcPr>
            <w:tcW w:w="780" w:type="dxa"/>
            <w:vAlign w:val="bottom"/>
            <w:shd w:val="clear" w:color="auto" w:fill="E8EDF4"/>
          </w:tcPr>
          <w:p>
            <w:pPr>
              <w:spacing w:after="0"/>
              <w:rPr>
                <w:sz w:val="13"/>
                <w:szCs w:val="13"/>
                <w:color w:val="auto"/>
              </w:rPr>
            </w:pPr>
          </w:p>
        </w:tc>
        <w:tc>
          <w:tcPr>
            <w:tcW w:w="740" w:type="dxa"/>
            <w:vAlign w:val="bottom"/>
            <w:shd w:val="clear" w:color="auto" w:fill="E8EDF4"/>
          </w:tcPr>
          <w:p>
            <w:pPr>
              <w:spacing w:after="0"/>
              <w:rPr>
                <w:sz w:val="13"/>
                <w:szCs w:val="13"/>
                <w:color w:val="auto"/>
              </w:rPr>
            </w:pPr>
          </w:p>
        </w:tc>
        <w:tc>
          <w:tcPr>
            <w:tcW w:w="600" w:type="dxa"/>
            <w:vAlign w:val="bottom"/>
            <w:shd w:val="clear" w:color="auto" w:fill="E8EDF4"/>
          </w:tcPr>
          <w:p>
            <w:pPr>
              <w:spacing w:after="0"/>
              <w:rPr>
                <w:sz w:val="13"/>
                <w:szCs w:val="13"/>
                <w:color w:val="auto"/>
              </w:rPr>
            </w:pPr>
          </w:p>
        </w:tc>
        <w:tc>
          <w:tcPr>
            <w:tcW w:w="680" w:type="dxa"/>
            <w:vAlign w:val="bottom"/>
            <w:shd w:val="clear" w:color="auto" w:fill="E8EDF4"/>
          </w:tcPr>
          <w:p>
            <w:pPr>
              <w:spacing w:after="0"/>
              <w:rPr>
                <w:sz w:val="13"/>
                <w:szCs w:val="13"/>
                <w:color w:val="auto"/>
              </w:rPr>
            </w:pPr>
          </w:p>
        </w:tc>
        <w:tc>
          <w:tcPr>
            <w:tcW w:w="1000" w:type="dxa"/>
            <w:vAlign w:val="bottom"/>
            <w:shd w:val="clear" w:color="auto" w:fill="E8EDF4"/>
          </w:tcPr>
          <w:p>
            <w:pPr>
              <w:spacing w:after="0"/>
              <w:rPr>
                <w:sz w:val="13"/>
                <w:szCs w:val="13"/>
                <w:color w:val="auto"/>
              </w:rPr>
            </w:pPr>
          </w:p>
        </w:tc>
        <w:tc>
          <w:tcPr>
            <w:tcW w:w="10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34,779</w:t>
            </w:r>
          </w:p>
        </w:tc>
        <w:tc>
          <w:tcPr>
            <w:tcW w:w="640" w:type="dxa"/>
            <w:vAlign w:val="bottom"/>
            <w:shd w:val="clear" w:color="auto" w:fill="E8EDF4"/>
          </w:tcPr>
          <w:p>
            <w:pPr>
              <w:jc w:val="center"/>
              <w:ind w:left="111"/>
              <w:spacing w:after="0"/>
              <w:rPr>
                <w:sz w:val="20"/>
                <w:szCs w:val="20"/>
                <w:color w:val="auto"/>
              </w:rPr>
            </w:pPr>
            <w:r>
              <w:rPr>
                <w:rFonts w:ascii="Arial" w:cs="Arial" w:eastAsia="Arial" w:hAnsi="Arial"/>
                <w:sz w:val="14"/>
                <w:szCs w:val="14"/>
                <w:color w:val="auto"/>
                <w:w w:val="96"/>
              </w:rPr>
              <w:t>91.13</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724,429(8)</w:t>
            </w:r>
          </w:p>
        </w:tc>
        <w:tc>
          <w:tcPr>
            <w:tcW w:w="0" w:type="dxa"/>
            <w:vAlign w:val="bottom"/>
          </w:tcPr>
          <w:p>
            <w:pPr>
              <w:spacing w:after="0"/>
              <w:rPr>
                <w:sz w:val="1"/>
                <w:szCs w:val="1"/>
                <w:color w:val="auto"/>
              </w:rPr>
            </w:pPr>
          </w:p>
        </w:tc>
      </w:tr>
      <w:tr>
        <w:trPr>
          <w:trHeight w:val="147"/>
        </w:trPr>
        <w:tc>
          <w:tcPr>
            <w:tcW w:w="2100" w:type="dxa"/>
            <w:vAlign w:val="bottom"/>
          </w:tcPr>
          <w:p>
            <w:pPr>
              <w:ind w:left="20"/>
              <w:spacing w:after="0" w:line="147" w:lineRule="exact"/>
              <w:rPr>
                <w:sz w:val="20"/>
                <w:szCs w:val="20"/>
                <w:color w:val="auto"/>
              </w:rPr>
            </w:pPr>
            <w:r>
              <w:rPr>
                <w:rFonts w:ascii="Arial" w:cs="Arial" w:eastAsia="Arial" w:hAnsi="Arial"/>
                <w:sz w:val="14"/>
                <w:szCs w:val="14"/>
                <w:color w:val="auto"/>
              </w:rPr>
              <w:t>Martin Cotter</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700" w:type="dxa"/>
            <w:vAlign w:val="bottom"/>
          </w:tcPr>
          <w:p>
            <w:pPr>
              <w:ind w:left="400"/>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line="147" w:lineRule="exact"/>
              <w:rPr>
                <w:sz w:val="20"/>
                <w:szCs w:val="20"/>
                <w:color w:val="auto"/>
              </w:rPr>
            </w:pPr>
            <w:r>
              <w:rPr>
                <w:rFonts w:ascii="Arial" w:cs="Arial" w:eastAsia="Arial" w:hAnsi="Arial"/>
                <w:sz w:val="14"/>
                <w:szCs w:val="14"/>
                <w:color w:val="auto"/>
              </w:rPr>
              <w:t>401,106</w:t>
            </w:r>
          </w:p>
        </w:tc>
        <w:tc>
          <w:tcPr>
            <w:tcW w:w="780" w:type="dxa"/>
            <w:vAlign w:val="bottom"/>
          </w:tcPr>
          <w:p>
            <w:pPr>
              <w:ind w:left="80"/>
              <w:spacing w:after="0" w:line="147" w:lineRule="exact"/>
              <w:rPr>
                <w:sz w:val="20"/>
                <w:szCs w:val="20"/>
                <w:color w:val="auto"/>
              </w:rPr>
            </w:pPr>
            <w:r>
              <w:rPr>
                <w:rFonts w:ascii="Arial" w:cs="Arial" w:eastAsia="Arial" w:hAnsi="Arial"/>
                <w:sz w:val="14"/>
                <w:szCs w:val="14"/>
                <w:color w:val="auto"/>
              </w:rPr>
              <w:t>1,203,318</w:t>
            </w:r>
          </w:p>
        </w:tc>
        <w:tc>
          <w:tcPr>
            <w:tcW w:w="740" w:type="dxa"/>
            <w:vAlign w:val="bottom"/>
          </w:tcPr>
          <w:p>
            <w:pPr>
              <w:ind w:left="44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line="147"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line="147" w:lineRule="exact"/>
              <w:rPr>
                <w:sz w:val="20"/>
                <w:szCs w:val="20"/>
                <w:color w:val="auto"/>
              </w:rPr>
            </w:pPr>
            <w:r>
              <w:rPr>
                <w:rFonts w:ascii="Arial" w:cs="Arial" w:eastAsia="Arial" w:hAnsi="Arial"/>
                <w:sz w:val="14"/>
                <w:szCs w:val="14"/>
                <w:color w:val="auto"/>
                <w:w w:val="99"/>
              </w:rPr>
              <w:t>—</w:t>
            </w:r>
          </w:p>
        </w:tc>
        <w:tc>
          <w:tcPr>
            <w:tcW w:w="920" w:type="dxa"/>
            <w:vAlign w:val="bottom"/>
          </w:tcPr>
          <w:p>
            <w:pPr>
              <w:jc w:val="right"/>
              <w:ind w:right="231"/>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4,897</w:t>
            </w:r>
          </w:p>
        </w:tc>
        <w:tc>
          <w:tcPr>
            <w:tcW w:w="680" w:type="dxa"/>
            <w:vAlign w:val="bottom"/>
          </w:tcPr>
          <w:p>
            <w:pPr>
              <w:jc w:val="right"/>
              <w:spacing w:after="0"/>
              <w:rPr>
                <w:sz w:val="20"/>
                <w:szCs w:val="20"/>
                <w:color w:val="auto"/>
              </w:rPr>
            </w:pPr>
            <w:r>
              <w:rPr>
                <w:rFonts w:ascii="Arial" w:cs="Arial" w:eastAsia="Arial" w:hAnsi="Arial"/>
                <w:sz w:val="14"/>
                <w:szCs w:val="14"/>
                <w:color w:val="auto"/>
              </w:rPr>
              <w:t>9,794</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495,723(6)</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4,897</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423,639(7)</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20,552</w:t>
            </w:r>
          </w:p>
        </w:tc>
        <w:tc>
          <w:tcPr>
            <w:tcW w:w="640" w:type="dxa"/>
            <w:vAlign w:val="bottom"/>
          </w:tcPr>
          <w:p>
            <w:pPr>
              <w:jc w:val="center"/>
              <w:ind w:left="111"/>
              <w:spacing w:after="0"/>
              <w:rPr>
                <w:sz w:val="20"/>
                <w:szCs w:val="20"/>
                <w:color w:val="auto"/>
              </w:rPr>
            </w:pPr>
            <w:r>
              <w:rPr>
                <w:rFonts w:ascii="Arial" w:cs="Arial" w:eastAsia="Arial" w:hAnsi="Arial"/>
                <w:sz w:val="14"/>
                <w:szCs w:val="14"/>
                <w:color w:val="auto"/>
                <w:w w:val="96"/>
              </w:rPr>
              <w:t>91.13</w:t>
            </w:r>
          </w:p>
        </w:tc>
        <w:tc>
          <w:tcPr>
            <w:tcW w:w="920" w:type="dxa"/>
            <w:vAlign w:val="bottom"/>
          </w:tcPr>
          <w:p>
            <w:pPr>
              <w:jc w:val="right"/>
              <w:spacing w:after="0"/>
              <w:rPr>
                <w:sz w:val="20"/>
                <w:szCs w:val="20"/>
                <w:color w:val="auto"/>
              </w:rPr>
            </w:pPr>
            <w:r>
              <w:rPr>
                <w:rFonts w:ascii="Arial" w:cs="Arial" w:eastAsia="Arial" w:hAnsi="Arial"/>
                <w:sz w:val="14"/>
                <w:szCs w:val="14"/>
                <w:color w:val="auto"/>
              </w:rPr>
              <w:t>428,088(8)</w:t>
            </w: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9/17/2018</w:t>
            </w:r>
          </w:p>
        </w:tc>
        <w:tc>
          <w:tcPr>
            <w:tcW w:w="80" w:type="dxa"/>
            <w:vAlign w:val="bottom"/>
          </w:tcPr>
          <w:p>
            <w:pPr>
              <w:spacing w:after="0"/>
              <w:rPr>
                <w:sz w:val="15"/>
                <w:szCs w:val="15"/>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3,334</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289,124(7)</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N/A</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469,423</w:t>
            </w:r>
          </w:p>
        </w:tc>
        <w:tc>
          <w:tcPr>
            <w:tcW w:w="780" w:type="dxa"/>
            <w:vAlign w:val="bottom"/>
            <w:shd w:val="clear" w:color="auto" w:fill="E8EDF4"/>
          </w:tcPr>
          <w:p>
            <w:pPr>
              <w:ind w:left="80"/>
              <w:spacing w:after="0"/>
              <w:rPr>
                <w:sz w:val="20"/>
                <w:szCs w:val="20"/>
                <w:color w:val="auto"/>
              </w:rPr>
            </w:pPr>
            <w:r>
              <w:rPr>
                <w:rFonts w:ascii="Arial" w:cs="Arial" w:eastAsia="Arial" w:hAnsi="Arial"/>
                <w:sz w:val="14"/>
                <w:szCs w:val="14"/>
                <w:color w:val="auto"/>
              </w:rPr>
              <w:t>1,408,269</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ind w:right="2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10"/>
              <w:spacing w:after="0"/>
              <w:rPr>
                <w:sz w:val="20"/>
                <w:szCs w:val="20"/>
                <w:color w:val="auto"/>
              </w:rPr>
            </w:pPr>
            <w:r>
              <w:rPr>
                <w:rFonts w:ascii="Arial" w:cs="Arial" w:eastAsia="Arial" w:hAnsi="Arial"/>
                <w:sz w:val="14"/>
                <w:szCs w:val="14"/>
                <w:color w:val="auto"/>
              </w:rPr>
              <w:t>4,897</w:t>
            </w:r>
          </w:p>
        </w:tc>
        <w:tc>
          <w:tcPr>
            <w:tcW w:w="6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9,794</w:t>
            </w:r>
          </w:p>
        </w:tc>
        <w:tc>
          <w:tcPr>
            <w:tcW w:w="100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495,723(6)</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4,897</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423,639(7)</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20,552</w:t>
            </w:r>
          </w:p>
        </w:tc>
        <w:tc>
          <w:tcPr>
            <w:tcW w:w="640" w:type="dxa"/>
            <w:vAlign w:val="bottom"/>
            <w:shd w:val="clear" w:color="auto" w:fill="E8EDF4"/>
          </w:tcPr>
          <w:p>
            <w:pPr>
              <w:jc w:val="center"/>
              <w:ind w:left="111"/>
              <w:spacing w:after="0"/>
              <w:rPr>
                <w:sz w:val="20"/>
                <w:szCs w:val="20"/>
                <w:color w:val="auto"/>
              </w:rPr>
            </w:pPr>
            <w:r>
              <w:rPr>
                <w:rFonts w:ascii="Arial" w:cs="Arial" w:eastAsia="Arial" w:hAnsi="Arial"/>
                <w:sz w:val="14"/>
                <w:szCs w:val="14"/>
                <w:color w:val="auto"/>
                <w:w w:val="96"/>
              </w:rPr>
              <w:t>91.13</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428,088(8)</w:t>
            </w:r>
          </w:p>
        </w:tc>
        <w:tc>
          <w:tcPr>
            <w:tcW w:w="0" w:type="dxa"/>
            <w:vAlign w:val="bottom"/>
          </w:tcPr>
          <w:p>
            <w:pPr>
              <w:spacing w:after="0"/>
              <w:rPr>
                <w:sz w:val="1"/>
                <w:szCs w:val="1"/>
                <w:color w:val="auto"/>
              </w:rPr>
            </w:pPr>
          </w:p>
        </w:tc>
      </w:tr>
      <w:tr>
        <w:trPr>
          <w:trHeight w:val="160"/>
        </w:trPr>
        <w:tc>
          <w:tcPr>
            <w:tcW w:w="2100" w:type="dxa"/>
            <w:vAlign w:val="bottom"/>
            <w:shd w:val="clear" w:color="auto" w:fill="E8EDF4"/>
          </w:tcPr>
          <w:p>
            <w:pPr>
              <w:spacing w:after="0"/>
              <w:rPr>
                <w:sz w:val="13"/>
                <w:szCs w:val="13"/>
                <w:color w:val="auto"/>
              </w:rPr>
            </w:pP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9/17/2018</w:t>
            </w:r>
          </w:p>
        </w:tc>
        <w:tc>
          <w:tcPr>
            <w:tcW w:w="80" w:type="dxa"/>
            <w:vAlign w:val="bottom"/>
            <w:shd w:val="clear" w:color="auto" w:fill="E8EDF4"/>
          </w:tcPr>
          <w:p>
            <w:pPr>
              <w:spacing w:after="0"/>
              <w:rPr>
                <w:sz w:val="13"/>
                <w:szCs w:val="13"/>
                <w:color w:val="auto"/>
              </w:rPr>
            </w:pPr>
          </w:p>
        </w:tc>
        <w:tc>
          <w:tcPr>
            <w:tcW w:w="700" w:type="dxa"/>
            <w:vAlign w:val="bottom"/>
            <w:shd w:val="clear" w:color="auto" w:fill="E8EDF4"/>
          </w:tcPr>
          <w:p>
            <w:pPr>
              <w:ind w:left="4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ind w:left="50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ind w:left="44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DF4"/>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shd w:val="clear" w:color="auto" w:fill="E8EDF4"/>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3,334</w:t>
            </w:r>
          </w:p>
        </w:tc>
        <w:tc>
          <w:tcPr>
            <w:tcW w:w="1040" w:type="dxa"/>
            <w:vAlign w:val="bottom"/>
            <w:shd w:val="clear" w:color="auto" w:fill="E8EDF4"/>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shd w:val="clear" w:color="auto" w:fill="E8EDF4"/>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289,124(7)</w:t>
            </w:r>
          </w:p>
        </w:tc>
        <w:tc>
          <w:tcPr>
            <w:tcW w:w="0" w:type="dxa"/>
            <w:vAlign w:val="bottom"/>
          </w:tcPr>
          <w:p>
            <w:pPr>
              <w:spacing w:after="0"/>
              <w:rPr>
                <w:sz w:val="1"/>
                <w:szCs w:val="1"/>
                <w:color w:val="auto"/>
              </w:rPr>
            </w:pPr>
          </w:p>
        </w:tc>
      </w:tr>
      <w:tr>
        <w:trPr>
          <w:trHeight w:val="147"/>
        </w:trPr>
        <w:tc>
          <w:tcPr>
            <w:tcW w:w="2100" w:type="dxa"/>
            <w:vAlign w:val="bottom"/>
          </w:tcPr>
          <w:p>
            <w:pPr>
              <w:ind w:left="20"/>
              <w:spacing w:after="0" w:line="147" w:lineRule="exact"/>
              <w:rPr>
                <w:sz w:val="20"/>
                <w:szCs w:val="20"/>
                <w:color w:val="auto"/>
              </w:rPr>
            </w:pPr>
            <w:r>
              <w:rPr>
                <w:rFonts w:ascii="Arial" w:cs="Arial" w:eastAsia="Arial" w:hAnsi="Arial"/>
                <w:sz w:val="14"/>
                <w:szCs w:val="14"/>
                <w:color w:val="auto"/>
              </w:rPr>
              <w:t>Steve Pietkiewicz</w:t>
            </w:r>
          </w:p>
        </w:tc>
        <w:tc>
          <w:tcPr>
            <w:tcW w:w="800" w:type="dxa"/>
            <w:vAlign w:val="bottom"/>
          </w:tcPr>
          <w:p>
            <w:pPr>
              <w:jc w:val="right"/>
              <w:spacing w:after="0" w:line="147"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10"/>
              <w:spacing w:after="0" w:line="147" w:lineRule="exact"/>
              <w:rPr>
                <w:sz w:val="20"/>
                <w:szCs w:val="20"/>
                <w:color w:val="auto"/>
              </w:rPr>
            </w:pPr>
            <w:r>
              <w:rPr>
                <w:rFonts w:ascii="Arial" w:cs="Arial" w:eastAsia="Arial" w:hAnsi="Arial"/>
                <w:sz w:val="14"/>
                <w:szCs w:val="14"/>
                <w:color w:val="auto"/>
              </w:rPr>
              <w:t>465,387</w:t>
            </w:r>
          </w:p>
        </w:tc>
        <w:tc>
          <w:tcPr>
            <w:tcW w:w="800" w:type="dxa"/>
            <w:vAlign w:val="bottom"/>
          </w:tcPr>
          <w:p>
            <w:pPr>
              <w:jc w:val="right"/>
              <w:ind w:right="10"/>
              <w:spacing w:after="0" w:line="147" w:lineRule="exact"/>
              <w:rPr>
                <w:sz w:val="20"/>
                <w:szCs w:val="20"/>
                <w:color w:val="auto"/>
              </w:rPr>
            </w:pPr>
            <w:r>
              <w:rPr>
                <w:rFonts w:ascii="Arial" w:cs="Arial" w:eastAsia="Arial" w:hAnsi="Arial"/>
                <w:sz w:val="14"/>
                <w:szCs w:val="14"/>
                <w:color w:val="auto"/>
              </w:rPr>
              <w:t>740,173</w:t>
            </w:r>
          </w:p>
        </w:tc>
        <w:tc>
          <w:tcPr>
            <w:tcW w:w="780" w:type="dxa"/>
            <w:vAlign w:val="bottom"/>
          </w:tcPr>
          <w:p>
            <w:pPr>
              <w:ind w:left="80"/>
              <w:spacing w:after="0" w:line="147" w:lineRule="exact"/>
              <w:rPr>
                <w:sz w:val="20"/>
                <w:szCs w:val="20"/>
                <w:color w:val="auto"/>
              </w:rPr>
            </w:pPr>
            <w:r>
              <w:rPr>
                <w:rFonts w:ascii="Arial" w:cs="Arial" w:eastAsia="Arial" w:hAnsi="Arial"/>
                <w:sz w:val="14"/>
                <w:szCs w:val="14"/>
                <w:color w:val="auto"/>
              </w:rPr>
              <w:t>1,289,747</w:t>
            </w:r>
          </w:p>
        </w:tc>
        <w:tc>
          <w:tcPr>
            <w:tcW w:w="740" w:type="dxa"/>
            <w:vAlign w:val="bottom"/>
          </w:tcPr>
          <w:p>
            <w:pPr>
              <w:ind w:left="440"/>
              <w:spacing w:after="0" w:line="147"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line="147"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line="147" w:lineRule="exact"/>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line="147" w:lineRule="exact"/>
              <w:rPr>
                <w:sz w:val="20"/>
                <w:szCs w:val="20"/>
                <w:color w:val="auto"/>
              </w:rPr>
            </w:pPr>
            <w:r>
              <w:rPr>
                <w:rFonts w:ascii="Arial" w:cs="Arial" w:eastAsia="Arial" w:hAnsi="Arial"/>
                <w:sz w:val="14"/>
                <w:szCs w:val="14"/>
                <w:color w:val="auto"/>
                <w:w w:val="99"/>
              </w:rPr>
              <w:t>—</w:t>
            </w:r>
          </w:p>
        </w:tc>
        <w:tc>
          <w:tcPr>
            <w:tcW w:w="920" w:type="dxa"/>
            <w:vAlign w:val="bottom"/>
          </w:tcPr>
          <w:p>
            <w:pPr>
              <w:jc w:val="right"/>
              <w:ind w:right="231"/>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5,650</w:t>
            </w:r>
          </w:p>
        </w:tc>
        <w:tc>
          <w:tcPr>
            <w:tcW w:w="680" w:type="dxa"/>
            <w:vAlign w:val="bottom"/>
          </w:tcPr>
          <w:p>
            <w:pPr>
              <w:jc w:val="right"/>
              <w:spacing w:after="0"/>
              <w:rPr>
                <w:sz w:val="20"/>
                <w:szCs w:val="20"/>
                <w:color w:val="auto"/>
              </w:rPr>
            </w:pPr>
            <w:r>
              <w:rPr>
                <w:rFonts w:ascii="Arial" w:cs="Arial" w:eastAsia="Arial" w:hAnsi="Arial"/>
                <w:sz w:val="14"/>
                <w:szCs w:val="14"/>
                <w:color w:val="auto"/>
              </w:rPr>
              <w:t>11,300</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571,950(6)</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5,650</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488,782(7)</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6/15/2018</w:t>
            </w:r>
          </w:p>
        </w:tc>
        <w:tc>
          <w:tcPr>
            <w:tcW w:w="8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4,028</w:t>
            </w:r>
          </w:p>
        </w:tc>
        <w:tc>
          <w:tcPr>
            <w:tcW w:w="10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151"/>
              <w:spacing w:after="0"/>
              <w:rPr>
                <w:sz w:val="20"/>
                <w:szCs w:val="20"/>
                <w:color w:val="auto"/>
              </w:rPr>
            </w:pPr>
            <w:r>
              <w:rPr>
                <w:rFonts w:ascii="Arial" w:cs="Arial" w:eastAsia="Arial" w:hAnsi="Arial"/>
                <w:sz w:val="14"/>
                <w:szCs w:val="14"/>
                <w:color w:val="auto"/>
                <w:w w:val="99"/>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390,313(7)</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3/29/2018</w:t>
            </w:r>
          </w:p>
        </w:tc>
        <w:tc>
          <w:tcPr>
            <w:tcW w:w="80" w:type="dxa"/>
            <w:vAlign w:val="bottom"/>
          </w:tcPr>
          <w:p>
            <w:pPr>
              <w:spacing w:after="0"/>
              <w:rPr>
                <w:sz w:val="16"/>
                <w:szCs w:val="16"/>
                <w:color w:val="auto"/>
              </w:rPr>
            </w:pPr>
          </w:p>
        </w:tc>
        <w:tc>
          <w:tcPr>
            <w:tcW w:w="700" w:type="dxa"/>
            <w:vAlign w:val="bottom"/>
          </w:tcPr>
          <w:p>
            <w:pPr>
              <w:ind w:left="4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ind w:left="4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23,713</w:t>
            </w:r>
          </w:p>
        </w:tc>
        <w:tc>
          <w:tcPr>
            <w:tcW w:w="640" w:type="dxa"/>
            <w:vAlign w:val="bottom"/>
          </w:tcPr>
          <w:p>
            <w:pPr>
              <w:jc w:val="center"/>
              <w:ind w:left="111"/>
              <w:spacing w:after="0"/>
              <w:rPr>
                <w:sz w:val="20"/>
                <w:szCs w:val="20"/>
                <w:color w:val="auto"/>
              </w:rPr>
            </w:pPr>
            <w:r>
              <w:rPr>
                <w:rFonts w:ascii="Arial" w:cs="Arial" w:eastAsia="Arial" w:hAnsi="Arial"/>
                <w:sz w:val="14"/>
                <w:szCs w:val="14"/>
                <w:color w:val="auto"/>
                <w:w w:val="96"/>
              </w:rPr>
              <w:t>91.13</w:t>
            </w:r>
          </w:p>
        </w:tc>
        <w:tc>
          <w:tcPr>
            <w:tcW w:w="920" w:type="dxa"/>
            <w:vAlign w:val="bottom"/>
          </w:tcPr>
          <w:p>
            <w:pPr>
              <w:jc w:val="right"/>
              <w:spacing w:after="0"/>
              <w:rPr>
                <w:sz w:val="20"/>
                <w:szCs w:val="20"/>
                <w:color w:val="auto"/>
              </w:rPr>
            </w:pPr>
            <w:r>
              <w:rPr>
                <w:rFonts w:ascii="Arial" w:cs="Arial" w:eastAsia="Arial" w:hAnsi="Arial"/>
                <w:sz w:val="14"/>
                <w:szCs w:val="14"/>
                <w:color w:val="auto"/>
              </w:rPr>
              <w:t>493,930(8)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-2546350</wp:posOffset>
            </wp:positionV>
            <wp:extent cx="27044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0446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72390</wp:posOffset>
            </wp:positionV>
            <wp:extent cx="686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25" w:lineRule="exact"/>
        <w:rPr>
          <w:sz w:val="20"/>
          <w:szCs w:val="20"/>
          <w:color w:val="auto"/>
        </w:rPr>
      </w:pPr>
    </w:p>
    <w:p>
      <w:pPr>
        <w:ind w:left="700" w:right="40" w:hanging="433"/>
        <w:spacing w:after="0" w:line="235" w:lineRule="auto"/>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amounts shown for Messrs. Roche, Mahendra-Rajah, Cotter, and Hassett in the threshold, target and maximum columns reflect the minimum, target and maximum amounts payable under our executive performance incentive plan, respectively. Amounts in the maximum column above reflect 300% of the executive’s target bonus, which is the cap under the plan. Mr. Pietkiewicz did not participate in the executive performance incentive plan for the first and second quarters of fiscal 2018 as he participated in the Linear Technology profit sharing program and Linear Technology Corporation Executive Bonus Plan during that time period. As part of the alignment of the compensation of our legacy ADI and Linear Technology executives and employees, Mr. Pietkiewicz ceased participating in the Linear Technology profit sharing program and Linear Technology Corporation Executive Bonus at the end of the Company’s second quarter of fiscal 2018 and participated in the Corporation’s executive performance incentive plan for the third and fourth quarters of fiscal 2018. Amounts for Mr. Pietkiewicz represent the minimum, target and maximum amounts payable under the Linear Technology profit sharing program and the Linear Technology Executive Bonus Plan for the first and second quarters of fiscal 2018 and the minimum, target and maximum amounts payable under the executive performance incentive plan for the third and fourth quarters of fiscal 2018. The actual amounts earned in fiscal 2018 are reflected in the Summary Compensation Table above and were as follows:</w:t>
      </w:r>
    </w:p>
    <w:p>
      <w:pPr>
        <w:spacing w:after="0" w:line="216"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940" w:type="dxa"/>
            <w:vAlign w:val="bottom"/>
            <w:shd w:val="clear" w:color="auto" w:fill="052B82"/>
          </w:tcPr>
          <w:p>
            <w:pPr>
              <w:spacing w:after="0"/>
              <w:rPr>
                <w:sz w:val="14"/>
                <w:szCs w:val="14"/>
                <w:color w:val="auto"/>
              </w:rPr>
            </w:pPr>
          </w:p>
        </w:tc>
        <w:tc>
          <w:tcPr>
            <w:tcW w:w="3460" w:type="dxa"/>
            <w:vAlign w:val="bottom"/>
            <w:gridSpan w:val="2"/>
            <w:shd w:val="clear" w:color="auto" w:fill="052B82"/>
          </w:tcPr>
          <w:p>
            <w:pPr>
              <w:ind w:left="1700"/>
              <w:spacing w:after="0"/>
              <w:rPr>
                <w:sz w:val="20"/>
                <w:szCs w:val="20"/>
                <w:color w:val="auto"/>
              </w:rPr>
            </w:pPr>
            <w:r>
              <w:rPr>
                <w:rFonts w:ascii="Arial" w:cs="Arial" w:eastAsia="Arial" w:hAnsi="Arial"/>
                <w:sz w:val="14"/>
                <w:szCs w:val="14"/>
                <w:b w:val="1"/>
                <w:bCs w:val="1"/>
                <w:color w:val="FFFFFF"/>
              </w:rPr>
              <w:t>Actual Payout under</w:t>
            </w:r>
          </w:p>
        </w:tc>
      </w:tr>
      <w:tr>
        <w:trPr>
          <w:trHeight w:val="160"/>
        </w:trPr>
        <w:tc>
          <w:tcPr>
            <w:tcW w:w="3940" w:type="dxa"/>
            <w:vAlign w:val="bottom"/>
            <w:shd w:val="clear" w:color="auto" w:fill="052B82"/>
          </w:tcPr>
          <w:p>
            <w:pPr>
              <w:spacing w:after="0"/>
              <w:rPr>
                <w:sz w:val="13"/>
                <w:szCs w:val="13"/>
                <w:color w:val="auto"/>
              </w:rPr>
            </w:pPr>
          </w:p>
        </w:tc>
        <w:tc>
          <w:tcPr>
            <w:tcW w:w="3460" w:type="dxa"/>
            <w:vAlign w:val="bottom"/>
            <w:gridSpan w:val="2"/>
            <w:shd w:val="clear" w:color="auto" w:fill="052B82"/>
          </w:tcPr>
          <w:p>
            <w:pPr>
              <w:ind w:left="1700"/>
              <w:spacing w:after="0"/>
              <w:rPr>
                <w:sz w:val="20"/>
                <w:szCs w:val="20"/>
                <w:color w:val="auto"/>
              </w:rPr>
            </w:pPr>
            <w:r>
              <w:rPr>
                <w:rFonts w:ascii="Arial" w:cs="Arial" w:eastAsia="Arial" w:hAnsi="Arial"/>
                <w:sz w:val="14"/>
                <w:szCs w:val="14"/>
                <w:b w:val="1"/>
                <w:bCs w:val="1"/>
                <w:color w:val="FFFFFF"/>
              </w:rPr>
              <w:t>Non-Equity Incentive</w:t>
            </w:r>
          </w:p>
        </w:tc>
      </w:tr>
      <w:tr>
        <w:trPr>
          <w:trHeight w:val="189"/>
        </w:trPr>
        <w:tc>
          <w:tcPr>
            <w:tcW w:w="3940" w:type="dxa"/>
            <w:vAlign w:val="bottom"/>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3460" w:type="dxa"/>
            <w:vAlign w:val="bottom"/>
            <w:gridSpan w:val="2"/>
            <w:shd w:val="clear" w:color="auto" w:fill="052B82"/>
          </w:tcPr>
          <w:p>
            <w:pPr>
              <w:ind w:left="1700"/>
              <w:spacing w:after="0"/>
              <w:rPr>
                <w:sz w:val="20"/>
                <w:szCs w:val="20"/>
                <w:color w:val="auto"/>
              </w:rPr>
            </w:pPr>
            <w:r>
              <w:rPr>
                <w:rFonts w:ascii="Arial" w:cs="Arial" w:eastAsia="Arial" w:hAnsi="Arial"/>
                <w:sz w:val="14"/>
                <w:szCs w:val="14"/>
                <w:b w:val="1"/>
                <w:bCs w:val="1"/>
                <w:color w:val="FFFFFF"/>
              </w:rPr>
              <w:t>Plans for Fiscal 2018</w:t>
            </w:r>
          </w:p>
        </w:tc>
      </w:tr>
      <w:tr>
        <w:trPr>
          <w:trHeight w:val="200"/>
        </w:trPr>
        <w:tc>
          <w:tcPr>
            <w:tcW w:w="3940" w:type="dxa"/>
            <w:vAlign w:val="bottom"/>
          </w:tcPr>
          <w:p>
            <w:pPr>
              <w:ind w:left="40"/>
              <w:spacing w:after="0" w:line="201" w:lineRule="exact"/>
              <w:rPr>
                <w:sz w:val="20"/>
                <w:szCs w:val="20"/>
                <w:color w:val="auto"/>
              </w:rPr>
            </w:pPr>
            <w:r>
              <w:rPr>
                <w:rFonts w:ascii="Arial" w:cs="Arial" w:eastAsia="Arial" w:hAnsi="Arial"/>
                <w:sz w:val="18"/>
                <w:szCs w:val="18"/>
                <w:color w:val="auto"/>
              </w:rPr>
              <w:t>Vincent Roche</w:t>
            </w:r>
          </w:p>
        </w:tc>
        <w:tc>
          <w:tcPr>
            <w:tcW w:w="2060" w:type="dxa"/>
            <w:vAlign w:val="bottom"/>
          </w:tcPr>
          <w:p>
            <w:pPr>
              <w:ind w:left="1680"/>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71"/>
              <w:spacing w:after="0" w:line="201" w:lineRule="exact"/>
              <w:rPr>
                <w:sz w:val="20"/>
                <w:szCs w:val="20"/>
                <w:color w:val="auto"/>
              </w:rPr>
            </w:pPr>
            <w:r>
              <w:rPr>
                <w:rFonts w:ascii="Arial" w:cs="Arial" w:eastAsia="Arial" w:hAnsi="Arial"/>
                <w:sz w:val="18"/>
                <w:szCs w:val="18"/>
                <w:color w:val="auto"/>
              </w:rPr>
              <w:t>2,682,173</w:t>
            </w:r>
          </w:p>
        </w:tc>
      </w:tr>
      <w:tr>
        <w:trPr>
          <w:trHeight w:val="200"/>
        </w:trPr>
        <w:tc>
          <w:tcPr>
            <w:tcW w:w="3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Prashanth Mahendra-Rajah</w:t>
            </w:r>
          </w:p>
        </w:tc>
        <w:tc>
          <w:tcPr>
            <w:tcW w:w="2060" w:type="dxa"/>
            <w:vAlign w:val="bottom"/>
            <w:shd w:val="clear" w:color="auto" w:fill="E8EDF4"/>
          </w:tcPr>
          <w:p>
            <w:pPr>
              <w:ind w:left="1680"/>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8EDF4"/>
          </w:tcPr>
          <w:p>
            <w:pPr>
              <w:jc w:val="right"/>
              <w:ind w:right="271"/>
              <w:spacing w:after="0" w:line="201" w:lineRule="exact"/>
              <w:rPr>
                <w:sz w:val="20"/>
                <w:szCs w:val="20"/>
                <w:color w:val="auto"/>
              </w:rPr>
            </w:pPr>
            <w:r>
              <w:rPr>
                <w:rFonts w:ascii="Arial" w:cs="Arial" w:eastAsia="Arial" w:hAnsi="Arial"/>
                <w:sz w:val="18"/>
                <w:szCs w:val="18"/>
                <w:color w:val="auto"/>
              </w:rPr>
              <w:t>1,040,769</w:t>
            </w:r>
          </w:p>
        </w:tc>
      </w:tr>
      <w:tr>
        <w:trPr>
          <w:trHeight w:val="200"/>
        </w:trPr>
        <w:tc>
          <w:tcPr>
            <w:tcW w:w="3940" w:type="dxa"/>
            <w:vAlign w:val="bottom"/>
          </w:tcPr>
          <w:p>
            <w:pPr>
              <w:ind w:left="40"/>
              <w:spacing w:after="0" w:line="201" w:lineRule="exact"/>
              <w:rPr>
                <w:sz w:val="20"/>
                <w:szCs w:val="20"/>
                <w:color w:val="auto"/>
              </w:rPr>
            </w:pPr>
            <w:r>
              <w:rPr>
                <w:rFonts w:ascii="Arial" w:cs="Arial" w:eastAsia="Arial" w:hAnsi="Arial"/>
                <w:sz w:val="18"/>
                <w:szCs w:val="18"/>
                <w:color w:val="auto"/>
              </w:rPr>
              <w:t>Martin Cotter</w:t>
            </w:r>
          </w:p>
        </w:tc>
        <w:tc>
          <w:tcPr>
            <w:tcW w:w="2060" w:type="dxa"/>
            <w:vAlign w:val="bottom"/>
          </w:tcPr>
          <w:p>
            <w:pPr>
              <w:ind w:left="1680"/>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71"/>
              <w:spacing w:after="0" w:line="201" w:lineRule="exact"/>
              <w:rPr>
                <w:sz w:val="20"/>
                <w:szCs w:val="20"/>
                <w:color w:val="auto"/>
              </w:rPr>
            </w:pPr>
            <w:r>
              <w:rPr>
                <w:rFonts w:ascii="Arial" w:cs="Arial" w:eastAsia="Arial" w:hAnsi="Arial"/>
                <w:sz w:val="18"/>
                <w:szCs w:val="18"/>
                <w:color w:val="auto"/>
              </w:rPr>
              <w:t>687,348</w:t>
            </w:r>
          </w:p>
        </w:tc>
      </w:tr>
      <w:tr>
        <w:trPr>
          <w:trHeight w:val="200"/>
        </w:trPr>
        <w:tc>
          <w:tcPr>
            <w:tcW w:w="39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John Hassett</w:t>
            </w:r>
          </w:p>
        </w:tc>
        <w:tc>
          <w:tcPr>
            <w:tcW w:w="2060" w:type="dxa"/>
            <w:vAlign w:val="bottom"/>
            <w:shd w:val="clear" w:color="auto" w:fill="E8EDF4"/>
          </w:tcPr>
          <w:p>
            <w:pPr>
              <w:ind w:left="1680"/>
              <w:spacing w:after="0" w:line="201" w:lineRule="exact"/>
              <w:rPr>
                <w:sz w:val="20"/>
                <w:szCs w:val="20"/>
                <w:color w:val="auto"/>
              </w:rPr>
            </w:pPr>
            <w:r>
              <w:rPr>
                <w:rFonts w:ascii="Arial" w:cs="Arial" w:eastAsia="Arial" w:hAnsi="Arial"/>
                <w:sz w:val="18"/>
                <w:szCs w:val="18"/>
                <w:color w:val="auto"/>
              </w:rPr>
              <w:t>$</w:t>
            </w:r>
          </w:p>
        </w:tc>
        <w:tc>
          <w:tcPr>
            <w:tcW w:w="1400" w:type="dxa"/>
            <w:vAlign w:val="bottom"/>
            <w:shd w:val="clear" w:color="auto" w:fill="E8EDF4"/>
          </w:tcPr>
          <w:p>
            <w:pPr>
              <w:jc w:val="right"/>
              <w:ind w:right="271"/>
              <w:spacing w:after="0" w:line="201" w:lineRule="exact"/>
              <w:rPr>
                <w:sz w:val="20"/>
                <w:szCs w:val="20"/>
                <w:color w:val="auto"/>
              </w:rPr>
            </w:pPr>
            <w:r>
              <w:rPr>
                <w:rFonts w:ascii="Arial" w:cs="Arial" w:eastAsia="Arial" w:hAnsi="Arial"/>
                <w:sz w:val="18"/>
                <w:szCs w:val="18"/>
                <w:color w:val="auto"/>
              </w:rPr>
              <w:t>762,186</w:t>
            </w:r>
          </w:p>
        </w:tc>
      </w:tr>
      <w:tr>
        <w:trPr>
          <w:trHeight w:val="239"/>
        </w:trPr>
        <w:tc>
          <w:tcPr>
            <w:tcW w:w="394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2060" w:type="dxa"/>
            <w:vAlign w:val="bottom"/>
          </w:tcPr>
          <w:p>
            <w:pPr>
              <w:ind w:left="16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771,403</w:t>
            </w:r>
          </w:p>
        </w:tc>
      </w:tr>
    </w:tbl>
    <w:p>
      <w:pPr>
        <w:spacing w:after="0" w:line="113" w:lineRule="exact"/>
        <w:rPr>
          <w:sz w:val="20"/>
          <w:szCs w:val="20"/>
          <w:color w:val="auto"/>
        </w:rPr>
      </w:pPr>
    </w:p>
    <w:p>
      <w:pPr>
        <w:ind w:left="660" w:hanging="393"/>
        <w:spacing w:after="0"/>
        <w:tabs>
          <w:tab w:leader="none" w:pos="660" w:val="left"/>
        </w:tabs>
        <w:numPr>
          <w:ilvl w:val="0"/>
          <w:numId w:val="9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4"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00" w:right="100"/>
        <w:spacing w:after="0" w:line="269" w:lineRule="auto"/>
        <w:rPr>
          <w:sz w:val="20"/>
          <w:szCs w:val="20"/>
          <w:color w:val="auto"/>
        </w:rPr>
      </w:pPr>
      <w:r>
        <w:rPr>
          <w:rFonts w:ascii="Arial" w:cs="Arial" w:eastAsia="Arial" w:hAnsi="Arial"/>
          <w:sz w:val="18"/>
          <w:szCs w:val="18"/>
          <w:color w:val="auto"/>
        </w:rPr>
        <w:t>See “—Compensation Discussion and Analysis” above for a discussion of how these amounts were determined under our executive performance incentive plan.</w:t>
      </w:r>
    </w:p>
    <w:p>
      <w:pPr>
        <w:spacing w:after="0" w:line="57" w:lineRule="exact"/>
        <w:rPr>
          <w:sz w:val="20"/>
          <w:szCs w:val="20"/>
          <w:color w:val="auto"/>
        </w:rPr>
      </w:pPr>
    </w:p>
    <w:p>
      <w:pPr>
        <w:ind w:left="700" w:right="20" w:hanging="433"/>
        <w:spacing w:after="0" w:line="241"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performance-based RSUs granted under our 2006 Stock Incentive Plan. Performance-based RSUs have both a market condition and a service condition and vest, so long as the executive continues to be employed with us, after the applicable three-year performance period. The number of shares of the Company’s common stock to be issued upon vesting of performance-based RSUs will range from 0% to 200% of the target amount, based on the comparison of the Company’s total shareholder return (TSR) to the median TSR of a specified peer group over a three-year period.</w:t>
      </w:r>
    </w:p>
    <w:p>
      <w:pPr>
        <w:spacing w:after="0" w:line="82" w:lineRule="exact"/>
        <w:rPr>
          <w:rFonts w:ascii="Arial" w:cs="Arial" w:eastAsia="Arial" w:hAnsi="Arial"/>
          <w:sz w:val="18"/>
          <w:szCs w:val="18"/>
          <w:color w:val="auto"/>
        </w:rPr>
      </w:pPr>
    </w:p>
    <w:p>
      <w:pPr>
        <w:ind w:left="700" w:right="220" w:hanging="433"/>
        <w:spacing w:after="0" w:line="250"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time-based RSUs granted under our 2006 Stock Incentive Plan. The time-based RSUs vest, so long as the executive continues to be employed with us, in four equal installments on each of the first, second, third and fourth anniversaries of the grant date. Dividends are not payable on unvested RSUs.</w:t>
      </w:r>
    </w:p>
    <w:p>
      <w:pPr>
        <w:spacing w:after="0" w:line="74" w:lineRule="exact"/>
        <w:rPr>
          <w:rFonts w:ascii="Arial" w:cs="Arial" w:eastAsia="Arial" w:hAnsi="Arial"/>
          <w:sz w:val="18"/>
          <w:szCs w:val="18"/>
          <w:color w:val="auto"/>
        </w:rPr>
      </w:pPr>
    </w:p>
    <w:p>
      <w:pPr>
        <w:jc w:val="both"/>
        <w:ind w:left="700" w:right="40" w:hanging="433"/>
        <w:spacing w:after="0" w:line="250"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stock options granted under our 2006 Stock Incentive Plan. These options become exercisable, so long as the executive continues to be employed with us, in four equal annual installments on each of the first, second, third and fourth anniversaries of the grant date.</w:t>
      </w:r>
    </w:p>
    <w:p>
      <w:pPr>
        <w:spacing w:after="0" w:line="74" w:lineRule="exact"/>
        <w:rPr>
          <w:rFonts w:ascii="Arial" w:cs="Arial" w:eastAsia="Arial" w:hAnsi="Arial"/>
          <w:sz w:val="18"/>
          <w:szCs w:val="18"/>
          <w:color w:val="auto"/>
        </w:rPr>
      </w:pPr>
    </w:p>
    <w:p>
      <w:pPr>
        <w:ind w:left="700" w:hanging="433"/>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exercise price per share is equal to the closing price per share of our common stock on the date of grant.</w:t>
      </w:r>
    </w:p>
    <w:p>
      <w:pPr>
        <w:spacing w:after="0" w:line="113" w:lineRule="exact"/>
        <w:rPr>
          <w:rFonts w:ascii="Arial" w:cs="Arial" w:eastAsia="Arial" w:hAnsi="Arial"/>
          <w:sz w:val="18"/>
          <w:szCs w:val="18"/>
          <w:color w:val="auto"/>
        </w:rPr>
      </w:pPr>
    </w:p>
    <w:p>
      <w:pPr>
        <w:ind w:left="700" w:right="40" w:hanging="433"/>
        <w:spacing w:after="0" w:line="237"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performance-based RSUs. The grant date fair value of the performance-based 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performance-based RSU awards granted to Messrs. Roche, Mahendra-Rajah, Cotter, Hassett and Pietkiewicz on March 29, 2018 was $101.23.</w:t>
      </w:r>
    </w:p>
    <w:p>
      <w:pPr>
        <w:spacing w:after="0" w:line="86" w:lineRule="exact"/>
        <w:rPr>
          <w:rFonts w:ascii="Arial" w:cs="Arial" w:eastAsia="Arial" w:hAnsi="Arial"/>
          <w:sz w:val="18"/>
          <w:szCs w:val="18"/>
          <w:color w:val="auto"/>
        </w:rPr>
      </w:pPr>
    </w:p>
    <w:p>
      <w:pPr>
        <w:ind w:left="700" w:right="120" w:hanging="433"/>
        <w:spacing w:after="0" w:line="238"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This amount represents the grant date fair value of the time-based RSUs. The grant date fair of the time-based RSUs is the value of our common stock on the date of grant, reduced by the present value of dividends expected to be paid on our common stock prior to vesting. The grant date fair value per share of the time-based RSU awards granted to Messrs. Roche, Mahendra-Rajah, Cotter, Hassett and Pietkiewicz on March 29, 2018 was $86.51. The grant date fair value per share of the time-based RSU awards granted to Mr. Pietkiewicz on June 15, 2018 was $96.90. The grant date fair value per share of the time-based RSU awards granted to Messrs. Cotter and Hassett on September 17, 2018 was $86.72.</w:t>
      </w:r>
    </w:p>
    <w:p>
      <w:pPr>
        <w:spacing w:after="0" w:line="85" w:lineRule="exact"/>
        <w:rPr>
          <w:rFonts w:ascii="Arial" w:cs="Arial" w:eastAsia="Arial" w:hAnsi="Arial"/>
          <w:sz w:val="18"/>
          <w:szCs w:val="18"/>
          <w:color w:val="auto"/>
        </w:rPr>
      </w:pPr>
    </w:p>
    <w:p>
      <w:pPr>
        <w:ind w:left="700" w:right="140" w:hanging="433"/>
        <w:spacing w:after="0" w:line="244" w:lineRule="auto"/>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amount does not represent the actual amount paid to or realized by the executives for these awards during the fiscal year. The grant date fair value of these stock options granted on March 29, 2018 was $20.83 per share and was computed using a Black-Scholes valuation methodology. We estimated the full grant date fair value of these stock options using the following assumptions: 2.64% risk free interest rate; 2.11% dividend yield; 27.77% expected volatility; and a 5-year expected life.</w:t>
      </w:r>
    </w:p>
    <w:p>
      <w:pPr>
        <w:spacing w:after="0" w:line="1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59</w:t>
      </w:r>
    </w:p>
    <w:p>
      <w:pPr>
        <w:sectPr>
          <w:pgSz w:w="11900" w:h="16838" w:orient="portrait"/>
          <w:cols w:equalWidth="0" w:num="1">
            <w:col w:w="11160"/>
          </w:cols>
          <w:pgMar w:left="240" w:top="453"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OUTSTANDING EQUITY AWARDS AT FISCAL YEAR-END 2018</w:t>
      </w:r>
    </w:p>
    <w:p>
      <w:pPr>
        <w:spacing w:after="0" w:line="102" w:lineRule="exact"/>
        <w:rPr>
          <w:sz w:val="20"/>
          <w:szCs w:val="20"/>
          <w:color w:val="auto"/>
        </w:rPr>
      </w:pPr>
    </w:p>
    <w:p>
      <w:pPr>
        <w:ind w:left="260"/>
        <w:spacing w:after="0" w:line="269" w:lineRule="auto"/>
        <w:rPr>
          <w:sz w:val="20"/>
          <w:szCs w:val="20"/>
          <w:color w:val="auto"/>
        </w:rPr>
      </w:pPr>
      <w:r>
        <w:rPr>
          <w:rFonts w:ascii="Arial" w:cs="Arial" w:eastAsia="Arial" w:hAnsi="Arial"/>
          <w:sz w:val="18"/>
          <w:szCs w:val="18"/>
          <w:color w:val="auto"/>
        </w:rPr>
        <w:t>The following table provides information with respect to outstanding stock options and unvested time-based and performance-based RSUs for each of our named executive officers as of November 3, 2018:</w:t>
      </w:r>
    </w:p>
    <w:p>
      <w:pPr>
        <w:spacing w:after="0" w:line="19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020" w:type="dxa"/>
            <w:vAlign w:val="bottom"/>
            <w:shd w:val="clear" w:color="auto" w:fill="052B82"/>
          </w:tcPr>
          <w:p>
            <w:pPr>
              <w:spacing w:after="0"/>
              <w:rPr>
                <w:sz w:val="14"/>
                <w:szCs w:val="14"/>
                <w:color w:val="auto"/>
              </w:rPr>
            </w:pPr>
          </w:p>
        </w:tc>
        <w:tc>
          <w:tcPr>
            <w:tcW w:w="18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2180" w:type="dxa"/>
            <w:vAlign w:val="bottom"/>
            <w:gridSpan w:val="2"/>
            <w:shd w:val="clear" w:color="auto" w:fill="052B82"/>
          </w:tcPr>
          <w:p>
            <w:pPr>
              <w:jc w:val="right"/>
              <w:ind w:right="569"/>
              <w:spacing w:after="0"/>
              <w:rPr>
                <w:sz w:val="20"/>
                <w:szCs w:val="20"/>
                <w:color w:val="auto"/>
              </w:rPr>
            </w:pPr>
            <w:r>
              <w:rPr>
                <w:rFonts w:ascii="Arial" w:cs="Arial" w:eastAsia="Arial" w:hAnsi="Arial"/>
                <w:sz w:val="14"/>
                <w:szCs w:val="14"/>
                <w:b w:val="1"/>
                <w:bCs w:val="1"/>
                <w:color w:val="FFFFFF"/>
              </w:rPr>
              <w:t>Option Awards</w:t>
            </w:r>
          </w:p>
        </w:tc>
        <w:tc>
          <w:tcPr>
            <w:tcW w:w="920" w:type="dxa"/>
            <w:vAlign w:val="bottom"/>
            <w:shd w:val="clear" w:color="auto" w:fill="052B82"/>
          </w:tcPr>
          <w:p>
            <w:pPr>
              <w:spacing w:after="0"/>
              <w:rPr>
                <w:sz w:val="14"/>
                <w:szCs w:val="14"/>
                <w:color w:val="auto"/>
              </w:rPr>
            </w:pPr>
          </w:p>
        </w:tc>
        <w:tc>
          <w:tcPr>
            <w:tcW w:w="1060" w:type="dxa"/>
            <w:vAlign w:val="bottom"/>
            <w:shd w:val="clear" w:color="auto" w:fill="052B82"/>
          </w:tcPr>
          <w:p>
            <w:pPr>
              <w:spacing w:after="0"/>
              <w:rPr>
                <w:sz w:val="14"/>
                <w:szCs w:val="14"/>
                <w:color w:val="auto"/>
              </w:rPr>
            </w:pPr>
          </w:p>
        </w:tc>
        <w:tc>
          <w:tcPr>
            <w:tcW w:w="1720" w:type="dxa"/>
            <w:vAlign w:val="bottom"/>
            <w:gridSpan w:val="2"/>
            <w:shd w:val="clear" w:color="auto" w:fill="052B82"/>
          </w:tcPr>
          <w:p>
            <w:pPr>
              <w:jc w:val="right"/>
              <w:ind w:right="429"/>
              <w:spacing w:after="0"/>
              <w:rPr>
                <w:sz w:val="20"/>
                <w:szCs w:val="20"/>
                <w:color w:val="auto"/>
              </w:rPr>
            </w:pPr>
            <w:r>
              <w:rPr>
                <w:rFonts w:ascii="Arial" w:cs="Arial" w:eastAsia="Arial" w:hAnsi="Arial"/>
                <w:sz w:val="14"/>
                <w:szCs w:val="14"/>
                <w:b w:val="1"/>
                <w:bCs w:val="1"/>
                <w:color w:val="FFFFFF"/>
              </w:rPr>
              <w:t>Stock Awards</w:t>
            </w:r>
          </w:p>
        </w:tc>
        <w:tc>
          <w:tcPr>
            <w:tcW w:w="80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58"/>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Equity</w:t>
            </w:r>
          </w:p>
        </w:tc>
        <w:tc>
          <w:tcPr>
            <w:tcW w:w="80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60" w:type="dxa"/>
            <w:vAlign w:val="bottom"/>
            <w:vMerge w:val="continue"/>
            <w:shd w:val="clear" w:color="auto" w:fill="052B82"/>
          </w:tcPr>
          <w:p>
            <w:pPr>
              <w:spacing w:after="0"/>
              <w:rPr>
                <w:sz w:val="13"/>
                <w:szCs w:val="13"/>
                <w:color w:val="auto"/>
              </w:rPr>
            </w:pP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Incentive</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Incentive</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Plan</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shd w:val="clear" w:color="auto" w:fill="052B82"/>
          </w:tcPr>
          <w:p>
            <w:pPr>
              <w:spacing w:after="0"/>
              <w:rPr>
                <w:sz w:val="13"/>
                <w:szCs w:val="13"/>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Market or</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Market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Number</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860" w:type="dxa"/>
            <w:vAlign w:val="bottom"/>
            <w:vMerge w:val="continue"/>
            <w:shd w:val="clear" w:color="auto" w:fill="052B82"/>
          </w:tcPr>
          <w:p>
            <w:pPr>
              <w:spacing w:after="0"/>
              <w:rPr>
                <w:sz w:val="13"/>
                <w:szCs w:val="13"/>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0"/>
              </w:rPr>
              <w:t>of</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Value of</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Unearned</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Unearned</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vMerge w:val="continue"/>
            <w:shd w:val="clear" w:color="auto" w:fill="052B82"/>
          </w:tcPr>
          <w:p>
            <w:pPr>
              <w:spacing w:after="0"/>
              <w:rPr>
                <w:sz w:val="13"/>
                <w:szCs w:val="13"/>
                <w:color w:val="auto"/>
              </w:rPr>
            </w:pP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Shares</w:t>
            </w:r>
          </w:p>
        </w:tc>
        <w:tc>
          <w:tcPr>
            <w:tcW w:w="860" w:type="dxa"/>
            <w:vAlign w:val="bottom"/>
            <w:shd w:val="clear" w:color="auto" w:fill="052B82"/>
          </w:tcPr>
          <w:p>
            <w:pPr>
              <w:jc w:val="right"/>
              <w:ind w:right="109"/>
              <w:spacing w:after="0"/>
              <w:rPr>
                <w:sz w:val="20"/>
                <w:szCs w:val="20"/>
                <w:color w:val="auto"/>
              </w:rPr>
            </w:pPr>
            <w:r>
              <w:rPr>
                <w:rFonts w:ascii="Arial" w:cs="Arial" w:eastAsia="Arial" w:hAnsi="Arial"/>
                <w:sz w:val="14"/>
                <w:szCs w:val="14"/>
                <w:b w:val="1"/>
                <w:bCs w:val="1"/>
                <w:color w:val="FFFFFF"/>
              </w:rPr>
              <w:t>Shares,</w:t>
            </w:r>
          </w:p>
        </w:tc>
        <w:tc>
          <w:tcPr>
            <w:tcW w:w="800" w:type="dxa"/>
            <w:vAlign w:val="bottom"/>
            <w:shd w:val="clear" w:color="auto" w:fill="052B82"/>
          </w:tcPr>
          <w:p>
            <w:pPr>
              <w:jc w:val="right"/>
              <w:ind w:right="49"/>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spacing w:after="0"/>
              <w:rPr>
                <w:sz w:val="13"/>
                <w:szCs w:val="13"/>
                <w:color w:val="auto"/>
              </w:rPr>
            </w:pPr>
          </w:p>
        </w:tc>
        <w:tc>
          <w:tcPr>
            <w:tcW w:w="1380" w:type="dxa"/>
            <w:vAlign w:val="bottom"/>
            <w:shd w:val="clear" w:color="auto" w:fill="052B82"/>
          </w:tcPr>
          <w:p>
            <w:pPr>
              <w:spacing w:after="0"/>
              <w:rPr>
                <w:sz w:val="13"/>
                <w:szCs w:val="13"/>
                <w:color w:val="auto"/>
              </w:rPr>
            </w:pP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Shares or</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or Units/</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Units, or</w:t>
            </w:r>
          </w:p>
        </w:tc>
        <w:tc>
          <w:tcPr>
            <w:tcW w:w="800" w:type="dxa"/>
            <w:vAlign w:val="bottom"/>
            <w:shd w:val="clear" w:color="auto" w:fill="052B82"/>
          </w:tcPr>
          <w:p>
            <w:pPr>
              <w:jc w:val="right"/>
              <w:ind w:right="49"/>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2020" w:type="dxa"/>
            <w:vAlign w:val="bottom"/>
            <w:shd w:val="clear" w:color="auto" w:fill="052B82"/>
          </w:tcPr>
          <w:p>
            <w:pPr>
              <w:spacing w:after="0"/>
              <w:rPr>
                <w:sz w:val="14"/>
                <w:szCs w:val="14"/>
                <w:color w:val="auto"/>
              </w:rPr>
            </w:pPr>
          </w:p>
        </w:tc>
        <w:tc>
          <w:tcPr>
            <w:tcW w:w="180" w:type="dxa"/>
            <w:vAlign w:val="bottom"/>
            <w:shd w:val="clear" w:color="auto" w:fill="052B82"/>
          </w:tcPr>
          <w:p>
            <w:pPr>
              <w:spacing w:after="0"/>
              <w:rPr>
                <w:sz w:val="14"/>
                <w:szCs w:val="14"/>
                <w:color w:val="auto"/>
              </w:rPr>
            </w:pPr>
          </w:p>
        </w:tc>
        <w:tc>
          <w:tcPr>
            <w:tcW w:w="94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800" w:type="dxa"/>
            <w:vAlign w:val="bottom"/>
            <w:shd w:val="clear" w:color="auto" w:fill="052B82"/>
          </w:tcPr>
          <w:p>
            <w:pPr>
              <w:spacing w:after="0"/>
              <w:rPr>
                <w:sz w:val="14"/>
                <w:szCs w:val="14"/>
                <w:color w:val="auto"/>
              </w:rPr>
            </w:pPr>
          </w:p>
        </w:tc>
        <w:tc>
          <w:tcPr>
            <w:tcW w:w="920" w:type="dxa"/>
            <w:vAlign w:val="bottom"/>
            <w:shd w:val="clear" w:color="auto" w:fill="052B82"/>
          </w:tcPr>
          <w:p>
            <w:pPr>
              <w:spacing w:after="0"/>
              <w:rPr>
                <w:sz w:val="14"/>
                <w:szCs w:val="14"/>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Units/</w:t>
            </w:r>
          </w:p>
        </w:tc>
        <w:tc>
          <w:tcPr>
            <w:tcW w:w="860" w:type="dxa"/>
            <w:vAlign w:val="bottom"/>
            <w:shd w:val="clear" w:color="auto" w:fill="052B82"/>
          </w:tcPr>
          <w:p>
            <w:pPr>
              <w:jc w:val="right"/>
              <w:ind w:right="109"/>
              <w:spacing w:after="0"/>
              <w:rPr>
                <w:sz w:val="20"/>
                <w:szCs w:val="20"/>
                <w:color w:val="auto"/>
              </w:rPr>
            </w:pPr>
            <w:r>
              <w:rPr>
                <w:rFonts w:ascii="Arial" w:cs="Arial" w:eastAsia="Arial" w:hAnsi="Arial"/>
                <w:sz w:val="14"/>
                <w:szCs w:val="14"/>
                <w:b w:val="1"/>
                <w:bCs w:val="1"/>
                <w:color w:val="FFFFFF"/>
              </w:rPr>
              <w:t>Awards</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Other</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Securities</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52B82"/>
          </w:tcPr>
          <w:p>
            <w:pPr>
              <w:spacing w:after="0"/>
              <w:rPr>
                <w:sz w:val="13"/>
                <w:szCs w:val="13"/>
                <w:color w:val="auto"/>
              </w:rPr>
            </w:pPr>
          </w:p>
        </w:tc>
        <w:tc>
          <w:tcPr>
            <w:tcW w:w="920" w:type="dxa"/>
            <w:vAlign w:val="bottom"/>
            <w:shd w:val="clear" w:color="auto" w:fill="052B82"/>
          </w:tcPr>
          <w:p>
            <w:pPr>
              <w:spacing w:after="0"/>
              <w:rPr>
                <w:sz w:val="13"/>
                <w:szCs w:val="13"/>
                <w:color w:val="auto"/>
              </w:rPr>
            </w:pPr>
          </w:p>
        </w:tc>
        <w:tc>
          <w:tcPr>
            <w:tcW w:w="1060" w:type="dxa"/>
            <w:vAlign w:val="bottom"/>
            <w:shd w:val="clear" w:color="auto" w:fill="052B82"/>
          </w:tcPr>
          <w:p>
            <w:pPr>
              <w:jc w:val="right"/>
              <w:ind w:right="129"/>
              <w:spacing w:after="0"/>
              <w:rPr>
                <w:sz w:val="20"/>
                <w:szCs w:val="20"/>
                <w:color w:val="auto"/>
              </w:rPr>
            </w:pPr>
            <w:r>
              <w:rPr>
                <w:rFonts w:ascii="Arial" w:cs="Arial" w:eastAsia="Arial" w:hAnsi="Arial"/>
                <w:sz w:val="14"/>
                <w:szCs w:val="14"/>
                <w:b w:val="1"/>
                <w:bCs w:val="1"/>
                <w:color w:val="FFFFFF"/>
              </w:rPr>
              <w:t>Awards of</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of Stock</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Rights</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shd w:val="clear" w:color="auto" w:fill="052B82"/>
          </w:tcPr>
          <w:p>
            <w:pPr>
              <w:spacing w:after="0"/>
              <w:rPr>
                <w:sz w:val="13"/>
                <w:szCs w:val="13"/>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Underlying</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vMerge w:val="restart"/>
            <w:shd w:val="clear" w:color="auto" w:fill="052B82"/>
          </w:tcPr>
          <w:p>
            <w:pPr>
              <w:jc w:val="right"/>
              <w:ind w:right="109"/>
              <w:spacing w:after="0"/>
              <w:rPr>
                <w:sz w:val="20"/>
                <w:szCs w:val="20"/>
                <w:color w:val="auto"/>
              </w:rPr>
            </w:pPr>
            <w:r>
              <w:rPr>
                <w:rFonts w:ascii="Arial" w:cs="Arial" w:eastAsia="Arial" w:hAnsi="Arial"/>
                <w:sz w:val="14"/>
                <w:szCs w:val="14"/>
                <w:b w:val="1"/>
                <w:bCs w:val="1"/>
                <w:color w:val="FFFFFF"/>
              </w:rPr>
              <w:t>Option</w:t>
            </w:r>
          </w:p>
        </w:tc>
        <w:tc>
          <w:tcPr>
            <w:tcW w:w="92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Option</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Stock</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60"/>
        </w:trPr>
        <w:tc>
          <w:tcPr>
            <w:tcW w:w="2020" w:type="dxa"/>
            <w:vAlign w:val="bottom"/>
            <w:shd w:val="clear" w:color="auto" w:fill="052B82"/>
          </w:tcPr>
          <w:p>
            <w:pPr>
              <w:spacing w:after="0"/>
              <w:rPr>
                <w:sz w:val="13"/>
                <w:szCs w:val="13"/>
                <w:color w:val="auto"/>
              </w:rPr>
            </w:pPr>
          </w:p>
        </w:tc>
        <w:tc>
          <w:tcPr>
            <w:tcW w:w="180" w:type="dxa"/>
            <w:vAlign w:val="bottom"/>
            <w:shd w:val="clear" w:color="auto" w:fill="052B82"/>
          </w:tcPr>
          <w:p>
            <w:pPr>
              <w:spacing w:after="0"/>
              <w:rPr>
                <w:sz w:val="13"/>
                <w:szCs w:val="13"/>
                <w:color w:val="auto"/>
              </w:rPr>
            </w:pPr>
          </w:p>
        </w:tc>
        <w:tc>
          <w:tcPr>
            <w:tcW w:w="940" w:type="dxa"/>
            <w:vAlign w:val="bottom"/>
            <w:vMerge w:val="restart"/>
            <w:shd w:val="clear" w:color="auto" w:fill="052B82"/>
          </w:tcPr>
          <w:p>
            <w:pPr>
              <w:jc w:val="right"/>
              <w:ind w:right="349"/>
              <w:spacing w:after="0"/>
              <w:rPr>
                <w:sz w:val="20"/>
                <w:szCs w:val="20"/>
                <w:color w:val="auto"/>
              </w:rPr>
            </w:pPr>
            <w:r>
              <w:rPr>
                <w:rFonts w:ascii="Arial" w:cs="Arial" w:eastAsia="Arial" w:hAnsi="Arial"/>
                <w:sz w:val="14"/>
                <w:szCs w:val="14"/>
                <w:b w:val="1"/>
                <w:bCs w:val="1"/>
                <w:color w:val="FFFFFF"/>
              </w:rPr>
              <w:t>Grant</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Unexercised</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vMerge w:val="continue"/>
            <w:shd w:val="clear" w:color="auto" w:fill="052B82"/>
          </w:tcPr>
          <w:p>
            <w:pPr>
              <w:spacing w:after="0"/>
              <w:rPr>
                <w:sz w:val="13"/>
                <w:szCs w:val="13"/>
                <w:color w:val="auto"/>
              </w:rPr>
            </w:pPr>
          </w:p>
        </w:tc>
        <w:tc>
          <w:tcPr>
            <w:tcW w:w="920" w:type="dxa"/>
            <w:vAlign w:val="bottom"/>
            <w:vMerge w:val="continue"/>
            <w:shd w:val="clear" w:color="auto" w:fill="052B82"/>
          </w:tcPr>
          <w:p>
            <w:pPr>
              <w:spacing w:after="0"/>
              <w:rPr>
                <w:sz w:val="13"/>
                <w:szCs w:val="13"/>
                <w:color w:val="auto"/>
              </w:rPr>
            </w:pPr>
          </w:p>
        </w:tc>
        <w:tc>
          <w:tcPr>
            <w:tcW w:w="1060" w:type="dxa"/>
            <w:vAlign w:val="bottom"/>
            <w:shd w:val="clear" w:color="auto" w:fill="052B82"/>
          </w:tcPr>
          <w:p>
            <w:pPr>
              <w:jc w:val="right"/>
              <w:ind w:right="129"/>
              <w:spacing w:after="0"/>
              <w:rPr>
                <w:sz w:val="20"/>
                <w:szCs w:val="20"/>
                <w:color w:val="auto"/>
              </w:rPr>
            </w:pPr>
            <w:r>
              <w:rPr>
                <w:rFonts w:ascii="Arial" w:cs="Arial" w:eastAsia="Arial" w:hAnsi="Arial"/>
                <w:sz w:val="14"/>
                <w:szCs w:val="14"/>
                <w:b w:val="1"/>
                <w:bCs w:val="1"/>
                <w:color w:val="FFFFFF"/>
              </w:rPr>
              <w:t>That Have</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Have Not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Have Not</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8"/>
              </w:rPr>
              <w:t>Have Not</w:t>
            </w:r>
          </w:p>
        </w:tc>
        <w:tc>
          <w:tcPr>
            <w:tcW w:w="0" w:type="dxa"/>
            <w:vAlign w:val="bottom"/>
          </w:tcPr>
          <w:p>
            <w:pPr>
              <w:spacing w:after="0"/>
              <w:rPr>
                <w:sz w:val="1"/>
                <w:szCs w:val="1"/>
                <w:color w:val="auto"/>
              </w:rPr>
            </w:pPr>
          </w:p>
        </w:tc>
      </w:tr>
      <w:tr>
        <w:trPr>
          <w:trHeight w:val="160"/>
        </w:trPr>
        <w:tc>
          <w:tcPr>
            <w:tcW w:w="202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80" w:type="dxa"/>
            <w:vAlign w:val="bottom"/>
            <w:shd w:val="clear" w:color="auto" w:fill="052B82"/>
          </w:tcPr>
          <w:p>
            <w:pPr>
              <w:spacing w:after="0"/>
              <w:rPr>
                <w:sz w:val="13"/>
                <w:szCs w:val="13"/>
                <w:color w:val="auto"/>
              </w:rPr>
            </w:pPr>
          </w:p>
        </w:tc>
        <w:tc>
          <w:tcPr>
            <w:tcW w:w="940" w:type="dxa"/>
            <w:vAlign w:val="bottom"/>
            <w:vMerge w:val="continue"/>
            <w:shd w:val="clear" w:color="auto" w:fill="052B82"/>
          </w:tcPr>
          <w:p>
            <w:pPr>
              <w:spacing w:after="0"/>
              <w:rPr>
                <w:sz w:val="13"/>
                <w:szCs w:val="13"/>
                <w:color w:val="auto"/>
              </w:rPr>
            </w:pP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Options (#)</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Options (#)</w:t>
            </w:r>
          </w:p>
        </w:tc>
        <w:tc>
          <w:tcPr>
            <w:tcW w:w="800" w:type="dxa"/>
            <w:vAlign w:val="bottom"/>
            <w:shd w:val="clear" w:color="auto" w:fill="052B82"/>
          </w:tcPr>
          <w:p>
            <w:pPr>
              <w:jc w:val="right"/>
              <w:ind w:right="49"/>
              <w:spacing w:after="0"/>
              <w:rPr>
                <w:sz w:val="20"/>
                <w:szCs w:val="20"/>
                <w:color w:val="auto"/>
              </w:rPr>
            </w:pPr>
            <w:r>
              <w:rPr>
                <w:rFonts w:ascii="Arial" w:cs="Arial" w:eastAsia="Arial" w:hAnsi="Arial"/>
                <w:sz w:val="14"/>
                <w:szCs w:val="14"/>
                <w:b w:val="1"/>
                <w:bCs w:val="1"/>
                <w:color w:val="FFFFFF"/>
              </w:rPr>
              <w:t>Exercise</w:t>
            </w:r>
          </w:p>
        </w:tc>
        <w:tc>
          <w:tcPr>
            <w:tcW w:w="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Expiration</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Not</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5"/>
              </w:rPr>
              <w:t>Vested</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5"/>
              </w:rPr>
              <w:t>Vested</w:t>
            </w:r>
          </w:p>
        </w:tc>
        <w:tc>
          <w:tcPr>
            <w:tcW w:w="0" w:type="dxa"/>
            <w:vAlign w:val="bottom"/>
          </w:tcPr>
          <w:p>
            <w:pPr>
              <w:spacing w:after="0"/>
              <w:rPr>
                <w:sz w:val="1"/>
                <w:szCs w:val="1"/>
                <w:color w:val="auto"/>
              </w:rPr>
            </w:pPr>
          </w:p>
        </w:tc>
      </w:tr>
      <w:tr>
        <w:trPr>
          <w:trHeight w:val="187"/>
        </w:trPr>
        <w:tc>
          <w:tcPr>
            <w:tcW w:w="2020" w:type="dxa"/>
            <w:vAlign w:val="bottom"/>
            <w:vMerge w:val="continue"/>
            <w:shd w:val="clear" w:color="auto" w:fill="052B82"/>
          </w:tcPr>
          <w:p>
            <w:pPr>
              <w:spacing w:after="0"/>
              <w:rPr>
                <w:sz w:val="16"/>
                <w:szCs w:val="16"/>
                <w:color w:val="auto"/>
              </w:rPr>
            </w:pPr>
          </w:p>
        </w:tc>
        <w:tc>
          <w:tcPr>
            <w:tcW w:w="180" w:type="dxa"/>
            <w:vAlign w:val="bottom"/>
            <w:shd w:val="clear" w:color="auto" w:fill="052B82"/>
          </w:tcPr>
          <w:p>
            <w:pPr>
              <w:spacing w:after="0"/>
              <w:rPr>
                <w:sz w:val="16"/>
                <w:szCs w:val="16"/>
                <w:color w:val="auto"/>
              </w:rPr>
            </w:pPr>
          </w:p>
        </w:tc>
        <w:tc>
          <w:tcPr>
            <w:tcW w:w="940" w:type="dxa"/>
            <w:vAlign w:val="bottom"/>
            <w:shd w:val="clear" w:color="auto" w:fill="052B82"/>
          </w:tcPr>
          <w:p>
            <w:pPr>
              <w:jc w:val="right"/>
              <w:ind w:right="389"/>
              <w:spacing w:after="0"/>
              <w:rPr>
                <w:sz w:val="20"/>
                <w:szCs w:val="20"/>
                <w:color w:val="auto"/>
              </w:rPr>
            </w:pPr>
            <w:r>
              <w:rPr>
                <w:rFonts w:ascii="Arial" w:cs="Arial" w:eastAsia="Arial" w:hAnsi="Arial"/>
                <w:sz w:val="14"/>
                <w:szCs w:val="14"/>
                <w:b w:val="1"/>
                <w:bCs w:val="1"/>
                <w:color w:val="FFFFFF"/>
              </w:rPr>
              <w:t>Date</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Exercisable</w:t>
            </w:r>
          </w:p>
        </w:tc>
        <w:tc>
          <w:tcPr>
            <w:tcW w:w="13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Unexercisable (1)</w:t>
            </w:r>
          </w:p>
        </w:tc>
        <w:tc>
          <w:tcPr>
            <w:tcW w:w="800" w:type="dxa"/>
            <w:vAlign w:val="bottom"/>
            <w:shd w:val="clear" w:color="auto" w:fill="052B82"/>
          </w:tcPr>
          <w:p>
            <w:pPr>
              <w:jc w:val="right"/>
              <w:ind w:right="69"/>
              <w:spacing w:after="0"/>
              <w:rPr>
                <w:sz w:val="20"/>
                <w:szCs w:val="20"/>
                <w:color w:val="auto"/>
              </w:rPr>
            </w:pPr>
            <w:r>
              <w:rPr>
                <w:rFonts w:ascii="Arial" w:cs="Arial" w:eastAsia="Arial" w:hAnsi="Arial"/>
                <w:sz w:val="14"/>
                <w:szCs w:val="14"/>
                <w:b w:val="1"/>
                <w:bCs w:val="1"/>
                <w:color w:val="FFFFFF"/>
              </w:rPr>
              <w:t>Price ($)</w:t>
            </w:r>
          </w:p>
        </w:tc>
        <w:tc>
          <w:tcPr>
            <w:tcW w:w="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Date (2)</w:t>
            </w:r>
          </w:p>
        </w:tc>
        <w:tc>
          <w:tcPr>
            <w:tcW w:w="10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Vested (#)(3)</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($)(4)</w:t>
            </w:r>
          </w:p>
        </w:tc>
        <w:tc>
          <w:tcPr>
            <w:tcW w:w="8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(#)(5)</w:t>
            </w:r>
          </w:p>
        </w:tc>
        <w:tc>
          <w:tcPr>
            <w:tcW w:w="8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($)(4)</w:t>
            </w:r>
          </w:p>
        </w:tc>
        <w:tc>
          <w:tcPr>
            <w:tcW w:w="0" w:type="dxa"/>
            <w:vAlign w:val="bottom"/>
          </w:tcPr>
          <w:p>
            <w:pPr>
              <w:spacing w:after="0"/>
              <w:rPr>
                <w:sz w:val="1"/>
                <w:szCs w:val="1"/>
                <w:color w:val="auto"/>
              </w:rPr>
            </w:pPr>
          </w:p>
        </w:tc>
      </w:tr>
      <w:tr>
        <w:trPr>
          <w:trHeight w:val="147"/>
        </w:trPr>
        <w:tc>
          <w:tcPr>
            <w:tcW w:w="2020" w:type="dxa"/>
            <w:vAlign w:val="bottom"/>
          </w:tcPr>
          <w:p>
            <w:pPr>
              <w:ind w:left="20"/>
              <w:spacing w:after="0" w:line="147" w:lineRule="exact"/>
              <w:rPr>
                <w:sz w:val="20"/>
                <w:szCs w:val="20"/>
                <w:color w:val="auto"/>
              </w:rPr>
            </w:pPr>
            <w:r>
              <w:rPr>
                <w:rFonts w:ascii="Arial" w:cs="Arial" w:eastAsia="Arial" w:hAnsi="Arial"/>
                <w:sz w:val="14"/>
                <w:szCs w:val="14"/>
                <w:color w:val="auto"/>
              </w:rPr>
              <w:t>Vincent Roche</w:t>
            </w:r>
          </w:p>
        </w:tc>
        <w:tc>
          <w:tcPr>
            <w:tcW w:w="1120" w:type="dxa"/>
            <w:vAlign w:val="bottom"/>
            <w:gridSpan w:val="2"/>
          </w:tcPr>
          <w:p>
            <w:pPr>
              <w:jc w:val="right"/>
              <w:ind w:right="149"/>
              <w:spacing w:after="0" w:line="147" w:lineRule="exact"/>
              <w:rPr>
                <w:sz w:val="20"/>
                <w:szCs w:val="20"/>
                <w:color w:val="auto"/>
              </w:rPr>
            </w:pPr>
            <w:r>
              <w:rPr>
                <w:rFonts w:ascii="Arial" w:cs="Arial" w:eastAsia="Arial" w:hAnsi="Arial"/>
                <w:sz w:val="14"/>
                <w:szCs w:val="14"/>
                <w:color w:val="auto"/>
              </w:rPr>
              <w:t>3/12/2014</w:t>
            </w:r>
          </w:p>
        </w:tc>
        <w:tc>
          <w:tcPr>
            <w:tcW w:w="10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14,174</w:t>
            </w:r>
          </w:p>
        </w:tc>
        <w:tc>
          <w:tcPr>
            <w:tcW w:w="138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18,876</w:t>
            </w:r>
          </w:p>
        </w:tc>
        <w:tc>
          <w:tcPr>
            <w:tcW w:w="8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51.73</w:t>
            </w:r>
          </w:p>
        </w:tc>
        <w:tc>
          <w:tcPr>
            <w:tcW w:w="920" w:type="dxa"/>
            <w:vAlign w:val="bottom"/>
          </w:tcPr>
          <w:p>
            <w:pPr>
              <w:jc w:val="right"/>
              <w:ind w:right="29"/>
              <w:spacing w:after="0" w:line="147" w:lineRule="exact"/>
              <w:rPr>
                <w:sz w:val="20"/>
                <w:szCs w:val="20"/>
                <w:color w:val="auto"/>
              </w:rPr>
            </w:pPr>
            <w:r>
              <w:rPr>
                <w:rFonts w:ascii="Arial" w:cs="Arial" w:eastAsia="Arial" w:hAnsi="Arial"/>
                <w:sz w:val="14"/>
                <w:szCs w:val="14"/>
                <w:color w:val="auto"/>
              </w:rPr>
              <w:t>3/12/2024</w:t>
            </w:r>
          </w:p>
        </w:tc>
        <w:tc>
          <w:tcPr>
            <w:tcW w:w="106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3/11/2015</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55,436</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45,908</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57.29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3/11/2025</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3/9/2016</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33,083</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61,059</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54.93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3/9/2026</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32,796</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2,859,155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32,796</w:t>
            </w:r>
          </w:p>
        </w:tc>
        <w:tc>
          <w:tcPr>
            <w:tcW w:w="800" w:type="dxa"/>
            <w:vAlign w:val="bottom"/>
          </w:tcPr>
          <w:p>
            <w:pPr>
              <w:jc w:val="right"/>
              <w:spacing w:after="0"/>
              <w:rPr>
                <w:sz w:val="20"/>
                <w:szCs w:val="20"/>
                <w:color w:val="auto"/>
              </w:rPr>
            </w:pPr>
            <w:r>
              <w:rPr>
                <w:rFonts w:ascii="Arial" w:cs="Arial" w:eastAsia="Arial" w:hAnsi="Arial"/>
                <w:sz w:val="14"/>
                <w:szCs w:val="14"/>
                <w:color w:val="auto"/>
              </w:rPr>
              <w:t>2,859,155</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3/8/2017</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22,871</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91,485</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83.48</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3/8/2027</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25,026</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2,181,767</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25,026</w:t>
            </w:r>
          </w:p>
        </w:tc>
        <w:tc>
          <w:tcPr>
            <w:tcW w:w="800" w:type="dxa"/>
            <w:vAlign w:val="bottom"/>
          </w:tcPr>
          <w:p>
            <w:pPr>
              <w:jc w:val="right"/>
              <w:spacing w:after="0"/>
              <w:rPr>
                <w:sz w:val="20"/>
                <w:szCs w:val="20"/>
                <w:color w:val="auto"/>
              </w:rPr>
            </w:pPr>
            <w:r>
              <w:rPr>
                <w:rFonts w:ascii="Arial" w:cs="Arial" w:eastAsia="Arial" w:hAnsi="Arial"/>
                <w:sz w:val="14"/>
                <w:szCs w:val="14"/>
                <w:color w:val="auto"/>
              </w:rPr>
              <w:t>2,181,767</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3/29/2018</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110,661</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91.13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3/29/2028</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26,366</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2,298,588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26,366</w:t>
            </w:r>
          </w:p>
        </w:tc>
        <w:tc>
          <w:tcPr>
            <w:tcW w:w="800" w:type="dxa"/>
            <w:vAlign w:val="bottom"/>
          </w:tcPr>
          <w:p>
            <w:pPr>
              <w:jc w:val="right"/>
              <w:spacing w:after="0"/>
              <w:rPr>
                <w:sz w:val="20"/>
                <w:szCs w:val="20"/>
                <w:color w:val="auto"/>
              </w:rPr>
            </w:pPr>
            <w:r>
              <w:rPr>
                <w:rFonts w:ascii="Arial" w:cs="Arial" w:eastAsia="Arial" w:hAnsi="Arial"/>
                <w:sz w:val="14"/>
                <w:szCs w:val="14"/>
                <w:color w:val="auto"/>
              </w:rPr>
              <w:t>2,298,588</w:t>
            </w:r>
          </w:p>
        </w:tc>
        <w:tc>
          <w:tcPr>
            <w:tcW w:w="0" w:type="dxa"/>
            <w:vAlign w:val="bottom"/>
          </w:tcPr>
          <w:p>
            <w:pPr>
              <w:spacing w:after="0"/>
              <w:rPr>
                <w:sz w:val="1"/>
                <w:szCs w:val="1"/>
                <w:color w:val="auto"/>
              </w:rPr>
            </w:pPr>
          </w:p>
        </w:tc>
      </w:tr>
      <w:tr>
        <w:trPr>
          <w:trHeight w:val="227"/>
        </w:trPr>
        <w:tc>
          <w:tcPr>
            <w:tcW w:w="2020" w:type="dxa"/>
            <w:vAlign w:val="bottom"/>
            <w:shd w:val="clear" w:color="auto" w:fill="E8EDF4"/>
          </w:tcPr>
          <w:p>
            <w:pPr>
              <w:ind w:left="20"/>
              <w:spacing w:after="0"/>
              <w:rPr>
                <w:sz w:val="20"/>
                <w:szCs w:val="20"/>
                <w:color w:val="auto"/>
              </w:rPr>
            </w:pPr>
            <w:r>
              <w:rPr>
                <w:rFonts w:ascii="Arial" w:cs="Arial" w:eastAsia="Arial" w:hAnsi="Arial"/>
                <w:sz w:val="14"/>
                <w:szCs w:val="14"/>
                <w:color w:val="auto"/>
              </w:rPr>
              <w:t>Prashanth Mahendra-Rajah</w:t>
            </w:r>
          </w:p>
        </w:tc>
        <w:tc>
          <w:tcPr>
            <w:tcW w:w="112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10/16/2017</w:t>
            </w:r>
          </w:p>
        </w:tc>
        <w:tc>
          <w:tcPr>
            <w:tcW w:w="106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15,838</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1,380,757</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20,013</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1,744,733</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12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3/29/2018</w:t>
            </w:r>
          </w:p>
        </w:tc>
        <w:tc>
          <w:tcPr>
            <w:tcW w:w="106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34,779</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91.13</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8,287</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722,461</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8,287</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722,461</w:t>
            </w: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Arial" w:cs="Arial" w:eastAsia="Arial" w:hAnsi="Arial"/>
                <w:sz w:val="14"/>
                <w:szCs w:val="14"/>
                <w:color w:val="auto"/>
              </w:rPr>
              <w:t>Martin Cotter</w:t>
            </w: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1/5/2010</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4,000</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31.62</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1/5/2020</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1/4/2011</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9,330</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37.52</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1/4/2021</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3/15/2012</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18,380</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39.79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3/15/2022</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3/15/2013</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17,720</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46.48</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3/12/2023</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3/12/2014</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11,592</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2,898</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51.73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3/12/2024</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3/11/2015</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6,450</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4,300</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57.29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3/11/2025</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3/9/2016</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3,474</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5,213</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54.93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3/9/2026</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2,238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195,109</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10/17/2016</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10,799</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16,200</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61.70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10/17/2026</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4,493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391,700</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3/8/2017</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3,518</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14,076</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83.48</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3/8/2027</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3,851</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335,730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3,851</w:t>
            </w:r>
          </w:p>
        </w:tc>
        <w:tc>
          <w:tcPr>
            <w:tcW w:w="800" w:type="dxa"/>
            <w:vAlign w:val="bottom"/>
          </w:tcPr>
          <w:p>
            <w:pPr>
              <w:jc w:val="right"/>
              <w:spacing w:after="0"/>
              <w:rPr>
                <w:sz w:val="20"/>
                <w:szCs w:val="20"/>
                <w:color w:val="auto"/>
              </w:rPr>
            </w:pPr>
            <w:r>
              <w:rPr>
                <w:rFonts w:ascii="Arial" w:cs="Arial" w:eastAsia="Arial" w:hAnsi="Arial"/>
                <w:sz w:val="14"/>
                <w:szCs w:val="14"/>
                <w:color w:val="auto"/>
              </w:rPr>
              <w:t>335,730</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7/17/2017</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15,218</w:t>
            </w:r>
          </w:p>
        </w:tc>
        <w:tc>
          <w:tcPr>
            <w:tcW w:w="800" w:type="dxa"/>
            <w:vAlign w:val="bottom"/>
          </w:tcPr>
          <w:p>
            <w:pPr>
              <w:jc w:val="right"/>
              <w:spacing w:after="0"/>
              <w:rPr>
                <w:sz w:val="20"/>
                <w:szCs w:val="20"/>
                <w:color w:val="auto"/>
              </w:rPr>
            </w:pPr>
            <w:r>
              <w:rPr>
                <w:rFonts w:ascii="Arial" w:cs="Arial" w:eastAsia="Arial" w:hAnsi="Arial"/>
                <w:sz w:val="14"/>
                <w:szCs w:val="14"/>
                <w:color w:val="auto"/>
              </w:rPr>
              <w:t>1,326,705</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3/29/2018</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20,552</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91.13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3/29/2028</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4,897</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426,920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4,897</w:t>
            </w:r>
          </w:p>
        </w:tc>
        <w:tc>
          <w:tcPr>
            <w:tcW w:w="800" w:type="dxa"/>
            <w:vAlign w:val="bottom"/>
          </w:tcPr>
          <w:p>
            <w:pPr>
              <w:jc w:val="right"/>
              <w:spacing w:after="0"/>
              <w:rPr>
                <w:sz w:val="20"/>
                <w:szCs w:val="20"/>
                <w:color w:val="auto"/>
              </w:rPr>
            </w:pPr>
            <w:r>
              <w:rPr>
                <w:rFonts w:ascii="Arial" w:cs="Arial" w:eastAsia="Arial" w:hAnsi="Arial"/>
                <w:sz w:val="14"/>
                <w:szCs w:val="14"/>
                <w:color w:val="auto"/>
              </w:rPr>
              <w:t>426,920</w:t>
            </w:r>
          </w:p>
        </w:tc>
        <w:tc>
          <w:tcPr>
            <w:tcW w:w="0" w:type="dxa"/>
            <w:vAlign w:val="bottom"/>
          </w:tcPr>
          <w:p>
            <w:pPr>
              <w:spacing w:after="0"/>
              <w:rPr>
                <w:sz w:val="1"/>
                <w:szCs w:val="1"/>
                <w:color w:val="auto"/>
              </w:rPr>
            </w:pPr>
          </w:p>
        </w:tc>
      </w:tr>
      <w:tr>
        <w:trPr>
          <w:trHeight w:val="173"/>
        </w:trPr>
        <w:tc>
          <w:tcPr>
            <w:tcW w:w="2020" w:type="dxa"/>
            <w:vAlign w:val="bottom"/>
          </w:tcPr>
          <w:p>
            <w:pPr>
              <w:spacing w:after="0"/>
              <w:rPr>
                <w:sz w:val="15"/>
                <w:szCs w:val="15"/>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9/17/2018</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3,334</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290,658</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20" w:type="dxa"/>
            <w:vAlign w:val="bottom"/>
            <w:shd w:val="clear" w:color="auto" w:fill="E8EDF4"/>
          </w:tcPr>
          <w:p>
            <w:pPr>
              <w:ind w:left="20"/>
              <w:spacing w:after="0"/>
              <w:rPr>
                <w:sz w:val="20"/>
                <w:szCs w:val="20"/>
                <w:color w:val="auto"/>
              </w:rPr>
            </w:pPr>
            <w:r>
              <w:rPr>
                <w:rFonts w:ascii="Arial" w:cs="Arial" w:eastAsia="Arial" w:hAnsi="Arial"/>
                <w:sz w:val="14"/>
                <w:szCs w:val="14"/>
                <w:color w:val="auto"/>
              </w:rPr>
              <w:t>John Hassett</w:t>
            </w:r>
          </w:p>
        </w:tc>
        <w:tc>
          <w:tcPr>
            <w:tcW w:w="1120" w:type="dxa"/>
            <w:vAlign w:val="bottom"/>
            <w:gridSpan w:val="2"/>
            <w:shd w:val="clear" w:color="auto" w:fill="E8EDF4"/>
          </w:tcPr>
          <w:p>
            <w:pPr>
              <w:jc w:val="right"/>
              <w:ind w:right="149"/>
              <w:spacing w:after="0"/>
              <w:rPr>
                <w:sz w:val="20"/>
                <w:szCs w:val="20"/>
                <w:color w:val="auto"/>
              </w:rPr>
            </w:pPr>
            <w:r>
              <w:rPr>
                <w:rFonts w:ascii="Arial" w:cs="Arial" w:eastAsia="Arial" w:hAnsi="Arial"/>
                <w:sz w:val="14"/>
                <w:szCs w:val="14"/>
                <w:color w:val="auto"/>
              </w:rPr>
              <w:t>3/12/2014</w:t>
            </w:r>
          </w:p>
        </w:tc>
        <w:tc>
          <w:tcPr>
            <w:tcW w:w="10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5,632</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4,408</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51.73</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3/12/2024</w:t>
            </w:r>
          </w:p>
        </w:tc>
        <w:tc>
          <w:tcPr>
            <w:tcW w:w="10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3/11/2015</w:t>
            </w:r>
          </w:p>
        </w:tc>
        <w:tc>
          <w:tcPr>
            <w:tcW w:w="10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13,158</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8,772</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57.29</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3/11/2025</w:t>
            </w:r>
          </w:p>
        </w:tc>
        <w:tc>
          <w:tcPr>
            <w:tcW w:w="10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3/9/2016</w:t>
            </w:r>
          </w:p>
        </w:tc>
        <w:tc>
          <w:tcPr>
            <w:tcW w:w="10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8,147</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12,222</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54.93</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3/9/2026</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5,248</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457,521</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5,248</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457,521</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3/8/2017</w:t>
            </w:r>
          </w:p>
        </w:tc>
        <w:tc>
          <w:tcPr>
            <w:tcW w:w="106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3,909</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15,639</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83.48</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3/8/2027</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4,278</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372,956</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4,278</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372,956</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7/17/2017</w:t>
            </w:r>
          </w:p>
        </w:tc>
        <w:tc>
          <w:tcPr>
            <w:tcW w:w="106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16,232</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1,415,106</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3/29/2018</w:t>
            </w:r>
          </w:p>
        </w:tc>
        <w:tc>
          <w:tcPr>
            <w:tcW w:w="106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20,552</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91.13</w:t>
            </w:r>
          </w:p>
        </w:tc>
        <w:tc>
          <w:tcPr>
            <w:tcW w:w="9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3/29/2028</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4,897</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426,920</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4,897</w:t>
            </w:r>
          </w:p>
        </w:tc>
        <w:tc>
          <w:tcPr>
            <w:tcW w:w="800" w:type="dxa"/>
            <w:vAlign w:val="bottom"/>
            <w:shd w:val="clear" w:color="auto" w:fill="E8EDF4"/>
          </w:tcPr>
          <w:p>
            <w:pPr>
              <w:jc w:val="right"/>
              <w:spacing w:after="0"/>
              <w:rPr>
                <w:sz w:val="20"/>
                <w:szCs w:val="20"/>
                <w:color w:val="auto"/>
              </w:rPr>
            </w:pPr>
            <w:r>
              <w:rPr>
                <w:rFonts w:ascii="Arial" w:cs="Arial" w:eastAsia="Arial" w:hAnsi="Arial"/>
                <w:sz w:val="14"/>
                <w:szCs w:val="14"/>
                <w:color w:val="auto"/>
              </w:rPr>
              <w:t>426,920</w:t>
            </w:r>
          </w:p>
        </w:tc>
        <w:tc>
          <w:tcPr>
            <w:tcW w:w="0" w:type="dxa"/>
            <w:vAlign w:val="bottom"/>
          </w:tcPr>
          <w:p>
            <w:pPr>
              <w:spacing w:after="0"/>
              <w:rPr>
                <w:sz w:val="1"/>
                <w:szCs w:val="1"/>
                <w:color w:val="auto"/>
              </w:rPr>
            </w:pPr>
          </w:p>
        </w:tc>
      </w:tr>
      <w:tr>
        <w:trPr>
          <w:trHeight w:val="160"/>
        </w:trPr>
        <w:tc>
          <w:tcPr>
            <w:tcW w:w="2020" w:type="dxa"/>
            <w:vAlign w:val="bottom"/>
            <w:shd w:val="clear" w:color="auto" w:fill="E8EDF4"/>
          </w:tcPr>
          <w:p>
            <w:pPr>
              <w:spacing w:after="0"/>
              <w:rPr>
                <w:sz w:val="13"/>
                <w:szCs w:val="13"/>
                <w:color w:val="auto"/>
              </w:rPr>
            </w:pPr>
          </w:p>
        </w:tc>
        <w:tc>
          <w:tcPr>
            <w:tcW w:w="180" w:type="dxa"/>
            <w:vAlign w:val="bottom"/>
            <w:shd w:val="clear" w:color="auto" w:fill="E8EDF4"/>
          </w:tcPr>
          <w:p>
            <w:pPr>
              <w:spacing w:after="0"/>
              <w:rPr>
                <w:sz w:val="13"/>
                <w:szCs w:val="13"/>
                <w:color w:val="auto"/>
              </w:rPr>
            </w:pPr>
          </w:p>
        </w:tc>
        <w:tc>
          <w:tcPr>
            <w:tcW w:w="94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9/17/2018</w:t>
            </w:r>
          </w:p>
        </w:tc>
        <w:tc>
          <w:tcPr>
            <w:tcW w:w="106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E8EDF4"/>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3,334</w:t>
            </w:r>
          </w:p>
        </w:tc>
        <w:tc>
          <w:tcPr>
            <w:tcW w:w="86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290,658</w:t>
            </w:r>
          </w:p>
        </w:tc>
        <w:tc>
          <w:tcPr>
            <w:tcW w:w="860" w:type="dxa"/>
            <w:vAlign w:val="bottom"/>
            <w:shd w:val="clear" w:color="auto" w:fill="E8EDF4"/>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DF4"/>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Arial" w:cs="Arial" w:eastAsia="Arial" w:hAnsi="Arial"/>
                <w:sz w:val="14"/>
                <w:szCs w:val="14"/>
                <w:color w:val="auto"/>
              </w:rPr>
              <w:t>Steve Pietkiewicz</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3/10/2017(6)</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22,013</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1,919,093</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6/15/2017</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6,078</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24,313</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79.75</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6/15/2027</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6,715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585,414</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7/17/2017</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15,218</w:t>
            </w:r>
          </w:p>
        </w:tc>
        <w:tc>
          <w:tcPr>
            <w:tcW w:w="800" w:type="dxa"/>
            <w:vAlign w:val="bottom"/>
          </w:tcPr>
          <w:p>
            <w:pPr>
              <w:jc w:val="right"/>
              <w:spacing w:after="0"/>
              <w:rPr>
                <w:sz w:val="20"/>
                <w:szCs w:val="20"/>
                <w:color w:val="auto"/>
              </w:rPr>
            </w:pPr>
            <w:r>
              <w:rPr>
                <w:rFonts w:ascii="Arial" w:cs="Arial" w:eastAsia="Arial" w:hAnsi="Arial"/>
                <w:sz w:val="14"/>
                <w:szCs w:val="14"/>
                <w:color w:val="auto"/>
              </w:rPr>
              <w:t>1,326,705</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10/16/2017</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13,885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1,210,494</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3/29/2018</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23,713</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91.13</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3/29/2028</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5,650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492,567</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5,650</w:t>
            </w:r>
          </w:p>
        </w:tc>
        <w:tc>
          <w:tcPr>
            <w:tcW w:w="800" w:type="dxa"/>
            <w:vAlign w:val="bottom"/>
          </w:tcPr>
          <w:p>
            <w:pPr>
              <w:jc w:val="right"/>
              <w:spacing w:after="0"/>
              <w:rPr>
                <w:sz w:val="20"/>
                <w:szCs w:val="20"/>
                <w:color w:val="auto"/>
              </w:rPr>
            </w:pPr>
            <w:r>
              <w:rPr>
                <w:rFonts w:ascii="Arial" w:cs="Arial" w:eastAsia="Arial" w:hAnsi="Arial"/>
                <w:sz w:val="14"/>
                <w:szCs w:val="14"/>
                <w:color w:val="auto"/>
              </w:rPr>
              <w:t>492,567</w:t>
            </w:r>
          </w:p>
        </w:tc>
        <w:tc>
          <w:tcPr>
            <w:tcW w:w="0" w:type="dxa"/>
            <w:vAlign w:val="bottom"/>
          </w:tcPr>
          <w:p>
            <w:pPr>
              <w:spacing w:after="0"/>
              <w:rPr>
                <w:sz w:val="1"/>
                <w:szCs w:val="1"/>
                <w:color w:val="auto"/>
              </w:rPr>
            </w:pPr>
          </w:p>
        </w:tc>
      </w:tr>
      <w:tr>
        <w:trPr>
          <w:trHeight w:val="193"/>
        </w:trPr>
        <w:tc>
          <w:tcPr>
            <w:tcW w:w="2020" w:type="dxa"/>
            <w:vAlign w:val="bottom"/>
          </w:tcPr>
          <w:p>
            <w:pPr>
              <w:spacing w:after="0"/>
              <w:rPr>
                <w:sz w:val="16"/>
                <w:szCs w:val="16"/>
                <w:color w:val="auto"/>
              </w:rPr>
            </w:pPr>
          </w:p>
        </w:tc>
        <w:tc>
          <w:tcPr>
            <w:tcW w:w="1120" w:type="dxa"/>
            <w:vAlign w:val="bottom"/>
            <w:gridSpan w:val="2"/>
          </w:tcPr>
          <w:p>
            <w:pPr>
              <w:jc w:val="right"/>
              <w:ind w:right="149"/>
              <w:spacing w:after="0"/>
              <w:rPr>
                <w:sz w:val="20"/>
                <w:szCs w:val="20"/>
                <w:color w:val="auto"/>
              </w:rPr>
            </w:pPr>
            <w:r>
              <w:rPr>
                <w:rFonts w:ascii="Arial" w:cs="Arial" w:eastAsia="Arial" w:hAnsi="Arial"/>
                <w:sz w:val="14"/>
                <w:szCs w:val="14"/>
                <w:color w:val="auto"/>
              </w:rPr>
              <w:t>6/15/2018</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4,028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351,161</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-5081270</wp:posOffset>
            </wp:positionV>
            <wp:extent cx="48152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15205" cy="8255"/>
                    </a:xfrm>
                    <a:prstGeom prst="rect">
                      <a:avLst/>
                    </a:prstGeom>
                    <a:noFill/>
                  </pic:spPr>
                </pic:pic>
              </a:graphicData>
            </a:graphic>
          </wp:anchor>
        </w:drawing>
      </w:r>
    </w:p>
    <w:p>
      <w:pPr>
        <w:spacing w:after="0" w:line="79"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999999"/>
        </w:rPr>
        <w:t>60</w:t>
      </w:r>
      <w:r>
        <w:rPr>
          <w:sz w:val="20"/>
          <w:szCs w:val="20"/>
          <w:color w:val="auto"/>
        </w:rPr>
        <w:tab/>
      </w: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516890</wp:posOffset>
            </wp:positionV>
            <wp:extent cx="686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6435"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hanging="433"/>
        <w:spacing w:after="0"/>
        <w:tabs>
          <w:tab w:leader="none" w:pos="7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unexercisable options held by these officers vest, subject to continued employment, as follows:</w:t>
      </w:r>
    </w:p>
    <w:p>
      <w:pPr>
        <w:spacing w:after="0" w:line="240"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740" w:type="dxa"/>
            <w:vAlign w:val="bottom"/>
            <w:shd w:val="clear" w:color="auto" w:fill="052B82"/>
          </w:tcPr>
          <w:p>
            <w:pPr>
              <w:spacing w:after="0"/>
              <w:rPr>
                <w:sz w:val="14"/>
                <w:szCs w:val="14"/>
                <w:color w:val="auto"/>
              </w:rPr>
            </w:pPr>
          </w:p>
        </w:tc>
        <w:tc>
          <w:tcPr>
            <w:tcW w:w="1160" w:type="dxa"/>
            <w:vAlign w:val="bottom"/>
            <w:shd w:val="clear" w:color="auto" w:fill="052B82"/>
          </w:tcPr>
          <w:p>
            <w:pPr>
              <w:spacing w:after="0"/>
              <w:rPr>
                <w:sz w:val="14"/>
                <w:szCs w:val="14"/>
                <w:color w:val="auto"/>
              </w:rPr>
            </w:pPr>
          </w:p>
        </w:tc>
        <w:tc>
          <w:tcPr>
            <w:tcW w:w="1160" w:type="dxa"/>
            <w:vAlign w:val="bottom"/>
            <w:vMerge w:val="restart"/>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Vincent</w:t>
            </w:r>
          </w:p>
        </w:tc>
        <w:tc>
          <w:tcPr>
            <w:tcW w:w="112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Prashanth</w:t>
            </w:r>
          </w:p>
        </w:tc>
        <w:tc>
          <w:tcPr>
            <w:tcW w:w="860" w:type="dxa"/>
            <w:vAlign w:val="bottom"/>
            <w:vMerge w:val="restart"/>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Martin</w:t>
            </w:r>
          </w:p>
        </w:tc>
        <w:tc>
          <w:tcPr>
            <w:tcW w:w="940" w:type="dxa"/>
            <w:vAlign w:val="bottom"/>
            <w:vMerge w:val="restart"/>
            <w:shd w:val="clear" w:color="auto" w:fill="052B82"/>
          </w:tcPr>
          <w:p>
            <w:pPr>
              <w:jc w:val="right"/>
              <w:ind w:right="229"/>
              <w:spacing w:after="0"/>
              <w:rPr>
                <w:sz w:val="20"/>
                <w:szCs w:val="20"/>
                <w:color w:val="auto"/>
              </w:rPr>
            </w:pPr>
            <w:r>
              <w:rPr>
                <w:rFonts w:ascii="Arial" w:cs="Arial" w:eastAsia="Arial" w:hAnsi="Arial"/>
                <w:sz w:val="14"/>
                <w:szCs w:val="14"/>
                <w:b w:val="1"/>
                <w:bCs w:val="1"/>
                <w:color w:val="FFFFFF"/>
              </w:rPr>
              <w:t>John</w:t>
            </w:r>
          </w:p>
        </w:tc>
        <w:tc>
          <w:tcPr>
            <w:tcW w:w="1020" w:type="dxa"/>
            <w:vAlign w:val="bottom"/>
            <w:vMerge w:val="restart"/>
            <w:shd w:val="clear" w:color="auto" w:fill="052B82"/>
          </w:tcPr>
          <w:p>
            <w:pPr>
              <w:ind w:left="420"/>
              <w:spacing w:after="0"/>
              <w:rPr>
                <w:sz w:val="20"/>
                <w:szCs w:val="20"/>
                <w:color w:val="auto"/>
              </w:rPr>
            </w:pPr>
            <w:r>
              <w:rPr>
                <w:rFonts w:ascii="Arial" w:cs="Arial" w:eastAsia="Arial" w:hAnsi="Arial"/>
                <w:sz w:val="14"/>
                <w:szCs w:val="14"/>
                <w:b w:val="1"/>
                <w:bCs w:val="1"/>
                <w:color w:val="FFFFFF"/>
              </w:rPr>
              <w:t>Steve</w:t>
            </w:r>
          </w:p>
        </w:tc>
        <w:tc>
          <w:tcPr>
            <w:tcW w:w="0" w:type="dxa"/>
            <w:vAlign w:val="bottom"/>
          </w:tcPr>
          <w:p>
            <w:pPr>
              <w:spacing w:after="0"/>
              <w:rPr>
                <w:sz w:val="1"/>
                <w:szCs w:val="1"/>
                <w:color w:val="auto"/>
              </w:rPr>
            </w:pPr>
          </w:p>
        </w:tc>
      </w:tr>
      <w:tr>
        <w:trPr>
          <w:trHeight w:val="160"/>
        </w:trPr>
        <w:tc>
          <w:tcPr>
            <w:tcW w:w="3740" w:type="dxa"/>
            <w:vAlign w:val="bottom"/>
            <w:shd w:val="clear" w:color="auto" w:fill="052B82"/>
          </w:tcPr>
          <w:p>
            <w:pPr>
              <w:spacing w:after="0"/>
              <w:rPr>
                <w:sz w:val="13"/>
                <w:szCs w:val="13"/>
                <w:color w:val="auto"/>
              </w:rPr>
            </w:pPr>
          </w:p>
        </w:tc>
        <w:tc>
          <w:tcPr>
            <w:tcW w:w="1160" w:type="dxa"/>
            <w:vAlign w:val="bottom"/>
            <w:shd w:val="clear" w:color="auto" w:fill="052B82"/>
          </w:tcPr>
          <w:p>
            <w:pPr>
              <w:spacing w:after="0"/>
              <w:rPr>
                <w:sz w:val="13"/>
                <w:szCs w:val="13"/>
                <w:color w:val="auto"/>
              </w:rPr>
            </w:pPr>
          </w:p>
        </w:tc>
        <w:tc>
          <w:tcPr>
            <w:tcW w:w="1160" w:type="dxa"/>
            <w:vAlign w:val="bottom"/>
            <w:vMerge w:val="continue"/>
            <w:shd w:val="clear" w:color="auto" w:fill="052B82"/>
          </w:tcPr>
          <w:p>
            <w:pPr>
              <w:spacing w:after="0"/>
              <w:rPr>
                <w:sz w:val="13"/>
                <w:szCs w:val="13"/>
                <w:color w:val="auto"/>
              </w:rPr>
            </w:pPr>
          </w:p>
        </w:tc>
        <w:tc>
          <w:tcPr>
            <w:tcW w:w="112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Mahendra</w:t>
            </w:r>
          </w:p>
        </w:tc>
        <w:tc>
          <w:tcPr>
            <w:tcW w:w="860" w:type="dxa"/>
            <w:vAlign w:val="bottom"/>
            <w:vMerge w:val="continue"/>
            <w:shd w:val="clear" w:color="auto" w:fill="052B82"/>
          </w:tcPr>
          <w:p>
            <w:pPr>
              <w:spacing w:after="0"/>
              <w:rPr>
                <w:sz w:val="13"/>
                <w:szCs w:val="13"/>
                <w:color w:val="auto"/>
              </w:rPr>
            </w:pPr>
          </w:p>
        </w:tc>
        <w:tc>
          <w:tcPr>
            <w:tcW w:w="940" w:type="dxa"/>
            <w:vAlign w:val="bottom"/>
            <w:vMerge w:val="continue"/>
            <w:shd w:val="clear" w:color="auto" w:fill="052B82"/>
          </w:tcPr>
          <w:p>
            <w:pPr>
              <w:spacing w:after="0"/>
              <w:rPr>
                <w:sz w:val="13"/>
                <w:szCs w:val="13"/>
                <w:color w:val="auto"/>
              </w:rPr>
            </w:pPr>
          </w:p>
        </w:tc>
        <w:tc>
          <w:tcPr>
            <w:tcW w:w="102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Grant Date</w:t>
            </w:r>
          </w:p>
        </w:tc>
        <w:tc>
          <w:tcPr>
            <w:tcW w:w="1160" w:type="dxa"/>
            <w:vAlign w:val="bottom"/>
            <w:shd w:val="clear" w:color="auto" w:fill="052B82"/>
          </w:tcPr>
          <w:p>
            <w:pPr>
              <w:jc w:val="right"/>
              <w:ind w:right="9"/>
              <w:spacing w:after="0"/>
              <w:rPr>
                <w:sz w:val="20"/>
                <w:szCs w:val="20"/>
                <w:color w:val="auto"/>
              </w:rPr>
            </w:pPr>
            <w:r>
              <w:rPr>
                <w:rFonts w:ascii="Arial" w:cs="Arial" w:eastAsia="Arial" w:hAnsi="Arial"/>
                <w:sz w:val="14"/>
                <w:szCs w:val="14"/>
                <w:b w:val="1"/>
                <w:bCs w:val="1"/>
                <w:color w:val="FFFFFF"/>
              </w:rPr>
              <w:t>Vest Date</w:t>
            </w:r>
          </w:p>
        </w:tc>
        <w:tc>
          <w:tcPr>
            <w:tcW w:w="1160" w:type="dxa"/>
            <w:vAlign w:val="bottom"/>
            <w:shd w:val="clear" w:color="auto" w:fill="052B82"/>
          </w:tcPr>
          <w:p>
            <w:pPr>
              <w:jc w:val="right"/>
              <w:ind w:right="189"/>
              <w:spacing w:after="0"/>
              <w:rPr>
                <w:sz w:val="20"/>
                <w:szCs w:val="20"/>
                <w:color w:val="auto"/>
              </w:rPr>
            </w:pPr>
            <w:r>
              <w:rPr>
                <w:rFonts w:ascii="Arial" w:cs="Arial" w:eastAsia="Arial" w:hAnsi="Arial"/>
                <w:sz w:val="14"/>
                <w:szCs w:val="14"/>
                <w:b w:val="1"/>
                <w:bCs w:val="1"/>
                <w:color w:val="FFFFFF"/>
              </w:rPr>
              <w:t>Roche</w:t>
            </w:r>
          </w:p>
        </w:tc>
        <w:tc>
          <w:tcPr>
            <w:tcW w:w="1120" w:type="dxa"/>
            <w:vAlign w:val="bottom"/>
            <w:shd w:val="clear" w:color="auto" w:fill="052B82"/>
          </w:tcPr>
          <w:p>
            <w:pPr>
              <w:ind w:left="340"/>
              <w:spacing w:after="0"/>
              <w:rPr>
                <w:sz w:val="20"/>
                <w:szCs w:val="20"/>
                <w:color w:val="auto"/>
              </w:rPr>
            </w:pPr>
            <w:r>
              <w:rPr>
                <w:rFonts w:ascii="Arial" w:cs="Arial" w:eastAsia="Arial" w:hAnsi="Arial"/>
                <w:sz w:val="14"/>
                <w:szCs w:val="14"/>
                <w:b w:val="1"/>
                <w:bCs w:val="1"/>
                <w:color w:val="FFFFFF"/>
              </w:rPr>
              <w:t>-Rajah</w:t>
            </w:r>
          </w:p>
        </w:tc>
        <w:tc>
          <w:tcPr>
            <w:tcW w:w="86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Cotter</w:t>
            </w:r>
          </w:p>
        </w:tc>
        <w:tc>
          <w:tcPr>
            <w:tcW w:w="94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Hassett</w:t>
            </w:r>
          </w:p>
        </w:tc>
        <w:tc>
          <w:tcPr>
            <w:tcW w:w="102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Pietkiewicz</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3/12/2014</w:t>
            </w: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3/12/2019</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18,876</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2,898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4,408</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3740" w:type="dxa"/>
            <w:vAlign w:val="bottom"/>
          </w:tcPr>
          <w:p>
            <w:pPr>
              <w:ind w:left="20"/>
              <w:spacing w:after="0"/>
              <w:rPr>
                <w:sz w:val="20"/>
                <w:szCs w:val="20"/>
                <w:color w:val="auto"/>
              </w:rPr>
            </w:pPr>
            <w:r>
              <w:rPr>
                <w:rFonts w:ascii="Arial" w:cs="Arial" w:eastAsia="Arial" w:hAnsi="Arial"/>
                <w:sz w:val="14"/>
                <w:szCs w:val="14"/>
                <w:color w:val="auto"/>
              </w:rPr>
              <w:t>3/11/2015</w:t>
            </w:r>
          </w:p>
        </w:tc>
        <w:tc>
          <w:tcPr>
            <w:tcW w:w="1160" w:type="dxa"/>
            <w:vAlign w:val="bottom"/>
          </w:tcPr>
          <w:p>
            <w:pPr>
              <w:jc w:val="right"/>
              <w:spacing w:after="0"/>
              <w:rPr>
                <w:sz w:val="20"/>
                <w:szCs w:val="20"/>
                <w:color w:val="auto"/>
              </w:rPr>
            </w:pPr>
            <w:r>
              <w:rPr>
                <w:rFonts w:ascii="Arial" w:cs="Arial" w:eastAsia="Arial" w:hAnsi="Arial"/>
                <w:sz w:val="14"/>
                <w:szCs w:val="14"/>
                <w:color w:val="auto"/>
              </w:rPr>
              <w:t>3/11/2019</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22,954</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2,150</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4,386</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3/11/2020</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22,954</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2,150</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4,386</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7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3/9/2016</w:t>
            </w: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3/9/2019</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20,353</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1,738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4,074</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3/9/2020</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20,353</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1,737</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4,074</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3/9/2021</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20,353</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1,738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4,074</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3740" w:type="dxa"/>
            <w:vAlign w:val="bottom"/>
          </w:tcPr>
          <w:p>
            <w:pPr>
              <w:ind w:left="20"/>
              <w:spacing w:after="0"/>
              <w:rPr>
                <w:sz w:val="20"/>
                <w:szCs w:val="20"/>
                <w:color w:val="auto"/>
              </w:rPr>
            </w:pPr>
            <w:r>
              <w:rPr>
                <w:rFonts w:ascii="Arial" w:cs="Arial" w:eastAsia="Arial" w:hAnsi="Arial"/>
                <w:sz w:val="14"/>
                <w:szCs w:val="14"/>
                <w:color w:val="auto"/>
              </w:rPr>
              <w:t>10/17/2016</w:t>
            </w:r>
          </w:p>
        </w:tc>
        <w:tc>
          <w:tcPr>
            <w:tcW w:w="1160" w:type="dxa"/>
            <w:vAlign w:val="bottom"/>
          </w:tcPr>
          <w:p>
            <w:pPr>
              <w:jc w:val="right"/>
              <w:spacing w:after="0"/>
              <w:rPr>
                <w:sz w:val="20"/>
                <w:szCs w:val="20"/>
                <w:color w:val="auto"/>
              </w:rPr>
            </w:pPr>
            <w:r>
              <w:rPr>
                <w:rFonts w:ascii="Arial" w:cs="Arial" w:eastAsia="Arial" w:hAnsi="Arial"/>
                <w:sz w:val="14"/>
                <w:szCs w:val="14"/>
                <w:color w:val="auto"/>
              </w:rPr>
              <w:t>10/17/2019</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5,400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10/17/2020</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5,400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10/17/2021</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5,400</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7"/>
        </w:trPr>
        <w:tc>
          <w:tcPr>
            <w:tcW w:w="37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3/8/2017</w:t>
            </w: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3/8/2019</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22,871</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3,519</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3,910</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3/8/2020</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22,871</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3,519</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3,909</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3/8/2021</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22,871</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3,519</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3,910</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3/8/2022</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22,872</w:t>
            </w:r>
          </w:p>
        </w:tc>
        <w:tc>
          <w:tcPr>
            <w:tcW w:w="1120" w:type="dxa"/>
            <w:vAlign w:val="bottom"/>
            <w:shd w:val="clear" w:color="auto" w:fill="E8EDF4"/>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3,519</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3,910</w:t>
            </w:r>
          </w:p>
        </w:tc>
        <w:tc>
          <w:tcPr>
            <w:tcW w:w="1020" w:type="dxa"/>
            <w:vAlign w:val="bottom"/>
            <w:shd w:val="clear" w:color="auto" w:fill="E8EDF4"/>
          </w:tcPr>
          <w:p>
            <w:pPr>
              <w:ind w:left="7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3740" w:type="dxa"/>
            <w:vAlign w:val="bottom"/>
          </w:tcPr>
          <w:p>
            <w:pPr>
              <w:ind w:left="20"/>
              <w:spacing w:after="0"/>
              <w:rPr>
                <w:sz w:val="20"/>
                <w:szCs w:val="20"/>
                <w:color w:val="auto"/>
              </w:rPr>
            </w:pPr>
            <w:r>
              <w:rPr>
                <w:rFonts w:ascii="Arial" w:cs="Arial" w:eastAsia="Arial" w:hAnsi="Arial"/>
                <w:sz w:val="14"/>
                <w:szCs w:val="14"/>
                <w:color w:val="auto"/>
              </w:rPr>
              <w:t>6/15/2017</w:t>
            </w:r>
          </w:p>
        </w:tc>
        <w:tc>
          <w:tcPr>
            <w:tcW w:w="1160" w:type="dxa"/>
            <w:vAlign w:val="bottom"/>
          </w:tcPr>
          <w:p>
            <w:pPr>
              <w:jc w:val="right"/>
              <w:spacing w:after="0"/>
              <w:rPr>
                <w:sz w:val="20"/>
                <w:szCs w:val="20"/>
                <w:color w:val="auto"/>
              </w:rPr>
            </w:pPr>
            <w:r>
              <w:rPr>
                <w:rFonts w:ascii="Arial" w:cs="Arial" w:eastAsia="Arial" w:hAnsi="Arial"/>
                <w:sz w:val="14"/>
                <w:szCs w:val="14"/>
                <w:color w:val="auto"/>
              </w:rPr>
              <w:t>6/15/2019</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6/15/2020</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6/15/2021</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6/15/2022</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20" w:type="dxa"/>
            <w:vAlign w:val="bottom"/>
          </w:tcPr>
          <w:p>
            <w:pPr>
              <w:ind w:left="6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6,079</w:t>
            </w:r>
          </w:p>
        </w:tc>
        <w:tc>
          <w:tcPr>
            <w:tcW w:w="0" w:type="dxa"/>
            <w:vAlign w:val="bottom"/>
          </w:tcPr>
          <w:p>
            <w:pPr>
              <w:spacing w:after="0"/>
              <w:rPr>
                <w:sz w:val="1"/>
                <w:szCs w:val="1"/>
                <w:color w:val="auto"/>
              </w:rPr>
            </w:pPr>
          </w:p>
        </w:tc>
      </w:tr>
      <w:tr>
        <w:trPr>
          <w:trHeight w:val="267"/>
        </w:trPr>
        <w:tc>
          <w:tcPr>
            <w:tcW w:w="3740" w:type="dxa"/>
            <w:vAlign w:val="bottom"/>
            <w:shd w:val="clear" w:color="auto" w:fill="E8EDF4"/>
          </w:tcPr>
          <w:p>
            <w:pPr>
              <w:ind w:left="20"/>
              <w:spacing w:after="0"/>
              <w:rPr>
                <w:sz w:val="20"/>
                <w:szCs w:val="20"/>
                <w:color w:val="auto"/>
              </w:rPr>
            </w:pPr>
            <w:r>
              <w:rPr>
                <w:rFonts w:ascii="Arial" w:cs="Arial" w:eastAsia="Arial" w:hAnsi="Arial"/>
                <w:sz w:val="14"/>
                <w:szCs w:val="14"/>
                <w:color w:val="auto"/>
              </w:rPr>
              <w:t>3/29/2018</w:t>
            </w: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3/29/2019</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27,665</w:t>
            </w:r>
          </w:p>
        </w:tc>
        <w:tc>
          <w:tcPr>
            <w:tcW w:w="112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8,694</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5,138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5,138</w:t>
            </w:r>
          </w:p>
        </w:tc>
        <w:tc>
          <w:tcPr>
            <w:tcW w:w="10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3/29/2020</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27,665</w:t>
            </w:r>
          </w:p>
        </w:tc>
        <w:tc>
          <w:tcPr>
            <w:tcW w:w="112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8,695</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5,138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5,138</w:t>
            </w:r>
          </w:p>
        </w:tc>
        <w:tc>
          <w:tcPr>
            <w:tcW w:w="10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3/29/2021</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27,665</w:t>
            </w:r>
          </w:p>
        </w:tc>
        <w:tc>
          <w:tcPr>
            <w:tcW w:w="112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8,695</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5,138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5,138</w:t>
            </w:r>
          </w:p>
        </w:tc>
        <w:tc>
          <w:tcPr>
            <w:tcW w:w="10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160"/>
        </w:trPr>
        <w:tc>
          <w:tcPr>
            <w:tcW w:w="3740" w:type="dxa"/>
            <w:vAlign w:val="bottom"/>
            <w:shd w:val="clear" w:color="auto" w:fill="E8EDF4"/>
          </w:tcPr>
          <w:p>
            <w:pPr>
              <w:spacing w:after="0"/>
              <w:rPr>
                <w:sz w:val="13"/>
                <w:szCs w:val="13"/>
                <w:color w:val="auto"/>
              </w:rPr>
            </w:pPr>
          </w:p>
        </w:tc>
        <w:tc>
          <w:tcPr>
            <w:tcW w:w="116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3/29/2022</w:t>
            </w:r>
          </w:p>
        </w:tc>
        <w:tc>
          <w:tcPr>
            <w:tcW w:w="11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27,666</w:t>
            </w:r>
          </w:p>
        </w:tc>
        <w:tc>
          <w:tcPr>
            <w:tcW w:w="112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8,695</w:t>
            </w:r>
          </w:p>
        </w:tc>
        <w:tc>
          <w:tcPr>
            <w:tcW w:w="860" w:type="dxa"/>
            <w:vAlign w:val="bottom"/>
            <w:shd w:val="clear" w:color="auto" w:fill="E8EDF4"/>
          </w:tcPr>
          <w:p>
            <w:pPr>
              <w:jc w:val="right"/>
              <w:ind w:right="149"/>
              <w:spacing w:after="0"/>
              <w:rPr>
                <w:sz w:val="20"/>
                <w:szCs w:val="20"/>
                <w:color w:val="auto"/>
              </w:rPr>
            </w:pPr>
            <w:r>
              <w:rPr>
                <w:rFonts w:ascii="Arial" w:cs="Arial" w:eastAsia="Arial" w:hAnsi="Arial"/>
                <w:sz w:val="14"/>
                <w:szCs w:val="14"/>
                <w:color w:val="auto"/>
              </w:rPr>
              <w:t>5,138</w:t>
            </w:r>
          </w:p>
        </w:tc>
        <w:tc>
          <w:tcPr>
            <w:tcW w:w="940" w:type="dxa"/>
            <w:vAlign w:val="bottom"/>
            <w:shd w:val="clear" w:color="auto" w:fill="E8EDF4"/>
          </w:tcPr>
          <w:p>
            <w:pPr>
              <w:jc w:val="right"/>
              <w:ind w:right="129"/>
              <w:spacing w:after="0"/>
              <w:rPr>
                <w:sz w:val="20"/>
                <w:szCs w:val="20"/>
                <w:color w:val="auto"/>
              </w:rPr>
            </w:pPr>
            <w:r>
              <w:rPr>
                <w:rFonts w:ascii="Arial" w:cs="Arial" w:eastAsia="Arial" w:hAnsi="Arial"/>
                <w:sz w:val="14"/>
                <w:szCs w:val="14"/>
                <w:color w:val="auto"/>
              </w:rPr>
              <w:t>5,138</w:t>
            </w:r>
          </w:p>
        </w:tc>
        <w:tc>
          <w:tcPr>
            <w:tcW w:w="10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5,929</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700" w:hanging="433"/>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expiration date of each stock option award is ten years after its grant date.</w:t>
      </w:r>
    </w:p>
    <w:p>
      <w:pPr>
        <w:spacing w:after="0" w:line="113" w:lineRule="exact"/>
        <w:rPr>
          <w:rFonts w:ascii="Arial" w:cs="Arial" w:eastAsia="Arial" w:hAnsi="Arial"/>
          <w:sz w:val="18"/>
          <w:szCs w:val="18"/>
          <w:color w:val="auto"/>
        </w:rPr>
      </w:pPr>
    </w:p>
    <w:p>
      <w:pPr>
        <w:ind w:left="700" w:right="140" w:hanging="433"/>
        <w:spacing w:after="0" w:line="250"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time-based RSUs granted before March 2018 as part of the annual award cycle vest in one installment on the third anniversary of the grant date. The time-based RSUs granted in 2018 vest in four equal installments on the first, second, third and fourth anniversaries of the grant date.</w:t>
      </w:r>
    </w:p>
    <w:p>
      <w:pPr>
        <w:spacing w:after="0" w:line="74" w:lineRule="exact"/>
        <w:rPr>
          <w:rFonts w:ascii="Arial" w:cs="Arial" w:eastAsia="Arial" w:hAnsi="Arial"/>
          <w:sz w:val="18"/>
          <w:szCs w:val="18"/>
          <w:color w:val="auto"/>
        </w:rPr>
      </w:pPr>
    </w:p>
    <w:p>
      <w:pPr>
        <w:ind w:left="700" w:right="180" w:hanging="433"/>
        <w:spacing w:after="0" w:line="269"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market value was calculated based on $87.18, the closing price per share of our common stock on November 3, 2018, the last trading day of fiscal 2018.</w:t>
      </w:r>
    </w:p>
    <w:p>
      <w:pPr>
        <w:spacing w:after="0" w:line="56" w:lineRule="exact"/>
        <w:rPr>
          <w:rFonts w:ascii="Arial" w:cs="Arial" w:eastAsia="Arial" w:hAnsi="Arial"/>
          <w:sz w:val="18"/>
          <w:szCs w:val="18"/>
          <w:color w:val="auto"/>
        </w:rPr>
      </w:pPr>
    </w:p>
    <w:p>
      <w:pPr>
        <w:ind w:left="700" w:right="340" w:hanging="433"/>
        <w:spacing w:after="0" w:line="250"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awards granted on March 8, 2017, the number of shares, if any, earned under the performance-based RSU award will vest in one installment fourteen days after the third anniversary of the grant date. For the Linear Integration PRSUs granted on July 17, 2017 and October 16, 2017, the number of shares, if any, earned will vest in one installment on July 17, 2020.</w:t>
      </w:r>
    </w:p>
    <w:p>
      <w:pPr>
        <w:spacing w:after="0" w:line="74" w:lineRule="exact"/>
        <w:rPr>
          <w:rFonts w:ascii="Arial" w:cs="Arial" w:eastAsia="Arial" w:hAnsi="Arial"/>
          <w:sz w:val="18"/>
          <w:szCs w:val="18"/>
          <w:color w:val="auto"/>
        </w:rPr>
      </w:pPr>
    </w:p>
    <w:p>
      <w:pPr>
        <w:ind w:left="700" w:right="380" w:hanging="433"/>
        <w:spacing w:after="0" w:line="250" w:lineRule="auto"/>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the Linear Technology acquisition and in accordance with the terms of the merger agreement, the Company issued equity and cash awards to certain Linear Technology employees, including Mr. Pietkiewicz, in replacement of outstanding Linear Technology equity awards. These awards vest, subject to continued employment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Grant Date</w:t>
            </w:r>
          </w:p>
        </w:tc>
        <w:tc>
          <w:tcPr>
            <w:tcW w:w="36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Vest Date</w:t>
            </w:r>
          </w:p>
        </w:tc>
        <w:tc>
          <w:tcPr>
            <w:tcW w:w="780" w:type="dxa"/>
            <w:vAlign w:val="bottom"/>
            <w:shd w:val="clear" w:color="auto" w:fill="052B82"/>
          </w:tcPr>
          <w:p>
            <w:pPr>
              <w:ind w:left="60"/>
              <w:spacing w:after="0"/>
              <w:rPr>
                <w:sz w:val="20"/>
                <w:szCs w:val="20"/>
                <w:color w:val="auto"/>
              </w:rPr>
            </w:pPr>
            <w:r>
              <w:rPr>
                <w:rFonts w:ascii="Arial" w:cs="Arial" w:eastAsia="Arial" w:hAnsi="Arial"/>
                <w:sz w:val="14"/>
                <w:szCs w:val="14"/>
                <w:b w:val="1"/>
                <w:bCs w:val="1"/>
                <w:color w:val="FFFFFF"/>
              </w:rPr>
              <w:t>Shares(#)</w:t>
            </w:r>
          </w:p>
        </w:tc>
        <w:tc>
          <w:tcPr>
            <w:tcW w:w="1360" w:type="dxa"/>
            <w:vAlign w:val="bottom"/>
            <w:shd w:val="clear" w:color="auto" w:fill="052B82"/>
          </w:tcPr>
          <w:p>
            <w:pPr>
              <w:spacing w:after="0"/>
              <w:rPr>
                <w:sz w:val="14"/>
                <w:szCs w:val="14"/>
                <w:color w:val="auto"/>
              </w:rPr>
            </w:pPr>
          </w:p>
        </w:tc>
        <w:tc>
          <w:tcPr>
            <w:tcW w:w="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Cash($)</w:t>
            </w:r>
          </w:p>
        </w:tc>
      </w:tr>
      <w:tr>
        <w:trPr>
          <w:trHeight w:val="200"/>
        </w:trPr>
        <w:tc>
          <w:tcPr>
            <w:tcW w:w="2560" w:type="dxa"/>
            <w:vAlign w:val="bottom"/>
          </w:tcPr>
          <w:p>
            <w:pPr>
              <w:jc w:val="right"/>
              <w:ind w:right="800"/>
              <w:spacing w:after="0" w:line="201" w:lineRule="exact"/>
              <w:rPr>
                <w:sz w:val="20"/>
                <w:szCs w:val="20"/>
                <w:color w:val="auto"/>
              </w:rPr>
            </w:pPr>
            <w:r>
              <w:rPr>
                <w:rFonts w:ascii="Arial" w:cs="Arial" w:eastAsia="Arial" w:hAnsi="Arial"/>
                <w:sz w:val="18"/>
                <w:szCs w:val="18"/>
                <w:color w:val="auto"/>
              </w:rPr>
              <w:t>3/10/2017</w:t>
            </w: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7"/>
              </w:rPr>
              <w:t>1/21/2019</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1,323</w:t>
            </w:r>
          </w:p>
        </w:tc>
        <w:tc>
          <w:tcPr>
            <w:tcW w:w="2140" w:type="dxa"/>
            <w:vAlign w:val="bottom"/>
            <w:gridSpan w:val="2"/>
          </w:tcPr>
          <w:p>
            <w:pPr>
              <w:jc w:val="center"/>
              <w:ind w:left="1291"/>
              <w:spacing w:after="0" w:line="201" w:lineRule="exact"/>
              <w:rPr>
                <w:sz w:val="20"/>
                <w:szCs w:val="20"/>
                <w:color w:val="auto"/>
              </w:rPr>
            </w:pPr>
            <w:r>
              <w:rPr>
                <w:rFonts w:ascii="Arial" w:cs="Arial" w:eastAsia="Arial" w:hAnsi="Arial"/>
                <w:sz w:val="18"/>
                <w:szCs w:val="18"/>
                <w:color w:val="auto"/>
                <w:w w:val="98"/>
              </w:rPr>
              <w:t>262,200</w:t>
            </w:r>
          </w:p>
        </w:tc>
      </w:tr>
      <w:tr>
        <w:trPr>
          <w:trHeight w:val="200"/>
        </w:trPr>
        <w:tc>
          <w:tcPr>
            <w:tcW w:w="2560" w:type="dxa"/>
            <w:vAlign w:val="bottom"/>
            <w:shd w:val="clear" w:color="auto" w:fill="E8EDF4"/>
          </w:tcPr>
          <w:p>
            <w:pPr>
              <w:spacing w:after="0"/>
              <w:rPr>
                <w:sz w:val="17"/>
                <w:szCs w:val="17"/>
                <w:color w:val="auto"/>
              </w:rPr>
            </w:pPr>
          </w:p>
        </w:tc>
        <w:tc>
          <w:tcPr>
            <w:tcW w:w="3660" w:type="dxa"/>
            <w:vAlign w:val="bottom"/>
            <w:shd w:val="clear" w:color="auto" w:fill="E8EDF4"/>
          </w:tcPr>
          <w:p>
            <w:pPr>
              <w:jc w:val="center"/>
              <w:spacing w:after="0" w:line="201" w:lineRule="exact"/>
              <w:rPr>
                <w:sz w:val="20"/>
                <w:szCs w:val="20"/>
                <w:color w:val="auto"/>
              </w:rPr>
            </w:pPr>
            <w:r>
              <w:rPr>
                <w:rFonts w:ascii="Arial" w:cs="Arial" w:eastAsia="Arial" w:hAnsi="Arial"/>
                <w:sz w:val="18"/>
                <w:szCs w:val="18"/>
                <w:color w:val="auto"/>
                <w:w w:val="97"/>
              </w:rPr>
              <w:t>4/21/2019</w:t>
            </w:r>
          </w:p>
        </w:tc>
        <w:tc>
          <w:tcPr>
            <w:tcW w:w="780" w:type="dxa"/>
            <w:vAlign w:val="bottom"/>
            <w:shd w:val="clear" w:color="auto" w:fill="E8EDF4"/>
          </w:tcPr>
          <w:p>
            <w:pPr>
              <w:jc w:val="center"/>
              <w:spacing w:after="0" w:line="201" w:lineRule="exact"/>
              <w:rPr>
                <w:sz w:val="20"/>
                <w:szCs w:val="20"/>
                <w:color w:val="auto"/>
              </w:rPr>
            </w:pPr>
            <w:r>
              <w:rPr>
                <w:rFonts w:ascii="Arial" w:cs="Arial" w:eastAsia="Arial" w:hAnsi="Arial"/>
                <w:sz w:val="18"/>
                <w:szCs w:val="18"/>
                <w:color w:val="auto"/>
              </w:rPr>
              <w:t>1,393</w:t>
            </w:r>
          </w:p>
        </w:tc>
        <w:tc>
          <w:tcPr>
            <w:tcW w:w="2140" w:type="dxa"/>
            <w:vAlign w:val="bottom"/>
            <w:gridSpan w:val="2"/>
            <w:shd w:val="clear" w:color="auto" w:fill="E8EDF4"/>
          </w:tcPr>
          <w:p>
            <w:pPr>
              <w:jc w:val="center"/>
              <w:ind w:left="1291"/>
              <w:spacing w:after="0" w:line="201" w:lineRule="exact"/>
              <w:rPr>
                <w:sz w:val="20"/>
                <w:szCs w:val="20"/>
                <w:color w:val="auto"/>
              </w:rPr>
            </w:pPr>
            <w:r>
              <w:rPr>
                <w:rFonts w:ascii="Arial" w:cs="Arial" w:eastAsia="Arial" w:hAnsi="Arial"/>
                <w:sz w:val="18"/>
                <w:szCs w:val="18"/>
                <w:color w:val="auto"/>
                <w:w w:val="98"/>
              </w:rPr>
              <w:t>276,000</w:t>
            </w:r>
          </w:p>
        </w:tc>
      </w:tr>
      <w:tr>
        <w:trPr>
          <w:trHeight w:val="200"/>
        </w:trPr>
        <w:tc>
          <w:tcPr>
            <w:tcW w:w="2560" w:type="dxa"/>
            <w:vAlign w:val="bottom"/>
          </w:tcPr>
          <w:p>
            <w:pPr>
              <w:spacing w:after="0"/>
              <w:rPr>
                <w:sz w:val="17"/>
                <w:szCs w:val="17"/>
                <w:color w:val="auto"/>
              </w:rPr>
            </w:pP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7"/>
              </w:rPr>
              <w:t>7/21/2019</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5,969</w:t>
            </w:r>
          </w:p>
        </w:tc>
        <w:tc>
          <w:tcPr>
            <w:tcW w:w="1360" w:type="dxa"/>
            <w:vAlign w:val="bottom"/>
          </w:tcPr>
          <w:p>
            <w:pPr>
              <w:spacing w:after="0"/>
              <w:rPr>
                <w:sz w:val="17"/>
                <w:szCs w:val="17"/>
                <w:color w:val="auto"/>
              </w:rPr>
            </w:pPr>
          </w:p>
        </w:tc>
        <w:tc>
          <w:tcPr>
            <w:tcW w:w="7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r>
      <w:tr>
        <w:trPr>
          <w:trHeight w:val="200"/>
        </w:trPr>
        <w:tc>
          <w:tcPr>
            <w:tcW w:w="2560" w:type="dxa"/>
            <w:vAlign w:val="bottom"/>
            <w:shd w:val="clear" w:color="auto" w:fill="E8EDF4"/>
          </w:tcPr>
          <w:p>
            <w:pPr>
              <w:spacing w:after="0"/>
              <w:rPr>
                <w:sz w:val="17"/>
                <w:szCs w:val="17"/>
                <w:color w:val="auto"/>
              </w:rPr>
            </w:pPr>
          </w:p>
        </w:tc>
        <w:tc>
          <w:tcPr>
            <w:tcW w:w="3660" w:type="dxa"/>
            <w:vAlign w:val="bottom"/>
            <w:shd w:val="clear" w:color="auto" w:fill="E8EDF4"/>
          </w:tcPr>
          <w:p>
            <w:pPr>
              <w:jc w:val="center"/>
              <w:spacing w:after="0" w:line="201" w:lineRule="exact"/>
              <w:rPr>
                <w:sz w:val="20"/>
                <w:szCs w:val="20"/>
                <w:color w:val="auto"/>
              </w:rPr>
            </w:pPr>
            <w:r>
              <w:rPr>
                <w:rFonts w:ascii="Arial" w:cs="Arial" w:eastAsia="Arial" w:hAnsi="Arial"/>
                <w:sz w:val="18"/>
                <w:szCs w:val="18"/>
                <w:color w:val="auto"/>
                <w:w w:val="97"/>
              </w:rPr>
              <w:t>4/21/2020</w:t>
            </w:r>
          </w:p>
        </w:tc>
        <w:tc>
          <w:tcPr>
            <w:tcW w:w="780" w:type="dxa"/>
            <w:vAlign w:val="bottom"/>
            <w:shd w:val="clear" w:color="auto" w:fill="E8EDF4"/>
          </w:tcPr>
          <w:p>
            <w:pPr>
              <w:jc w:val="center"/>
              <w:spacing w:after="0" w:line="201" w:lineRule="exact"/>
              <w:rPr>
                <w:sz w:val="20"/>
                <w:szCs w:val="20"/>
                <w:color w:val="auto"/>
              </w:rPr>
            </w:pPr>
            <w:r>
              <w:rPr>
                <w:rFonts w:ascii="Arial" w:cs="Arial" w:eastAsia="Arial" w:hAnsi="Arial"/>
                <w:sz w:val="18"/>
                <w:szCs w:val="18"/>
                <w:color w:val="auto"/>
              </w:rPr>
              <w:t>1,392</w:t>
            </w:r>
          </w:p>
        </w:tc>
        <w:tc>
          <w:tcPr>
            <w:tcW w:w="2140" w:type="dxa"/>
            <w:vAlign w:val="bottom"/>
            <w:gridSpan w:val="2"/>
            <w:shd w:val="clear" w:color="auto" w:fill="E8EDF4"/>
          </w:tcPr>
          <w:p>
            <w:pPr>
              <w:jc w:val="center"/>
              <w:ind w:left="1291"/>
              <w:spacing w:after="0" w:line="201" w:lineRule="exact"/>
              <w:rPr>
                <w:sz w:val="20"/>
                <w:szCs w:val="20"/>
                <w:color w:val="auto"/>
              </w:rPr>
            </w:pPr>
            <w:r>
              <w:rPr>
                <w:rFonts w:ascii="Arial" w:cs="Arial" w:eastAsia="Arial" w:hAnsi="Arial"/>
                <w:sz w:val="18"/>
                <w:szCs w:val="18"/>
                <w:color w:val="auto"/>
                <w:w w:val="98"/>
              </w:rPr>
              <w:t>276,000</w:t>
            </w:r>
          </w:p>
        </w:tc>
      </w:tr>
      <w:tr>
        <w:trPr>
          <w:trHeight w:val="200"/>
        </w:trPr>
        <w:tc>
          <w:tcPr>
            <w:tcW w:w="2560" w:type="dxa"/>
            <w:vAlign w:val="bottom"/>
          </w:tcPr>
          <w:p>
            <w:pPr>
              <w:spacing w:after="0"/>
              <w:rPr>
                <w:sz w:val="17"/>
                <w:szCs w:val="17"/>
                <w:color w:val="auto"/>
              </w:rPr>
            </w:pPr>
          </w:p>
        </w:tc>
        <w:tc>
          <w:tcPr>
            <w:tcW w:w="3660" w:type="dxa"/>
            <w:vAlign w:val="bottom"/>
          </w:tcPr>
          <w:p>
            <w:pPr>
              <w:jc w:val="center"/>
              <w:spacing w:after="0" w:line="201" w:lineRule="exact"/>
              <w:rPr>
                <w:sz w:val="20"/>
                <w:szCs w:val="20"/>
                <w:color w:val="auto"/>
              </w:rPr>
            </w:pPr>
            <w:r>
              <w:rPr>
                <w:rFonts w:ascii="Arial" w:cs="Arial" w:eastAsia="Arial" w:hAnsi="Arial"/>
                <w:sz w:val="18"/>
                <w:szCs w:val="18"/>
                <w:color w:val="auto"/>
                <w:w w:val="97"/>
              </w:rPr>
              <w:t>7/21/2020</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5,968</w:t>
            </w:r>
          </w:p>
        </w:tc>
        <w:tc>
          <w:tcPr>
            <w:tcW w:w="1360" w:type="dxa"/>
            <w:vAlign w:val="bottom"/>
          </w:tcPr>
          <w:p>
            <w:pPr>
              <w:spacing w:after="0"/>
              <w:rPr>
                <w:sz w:val="17"/>
                <w:szCs w:val="17"/>
                <w:color w:val="auto"/>
              </w:rPr>
            </w:pPr>
          </w:p>
        </w:tc>
        <w:tc>
          <w:tcPr>
            <w:tcW w:w="780" w:type="dxa"/>
            <w:vAlign w:val="bottom"/>
          </w:tcPr>
          <w:p>
            <w:pPr>
              <w:ind w:left="260"/>
              <w:spacing w:after="0" w:line="201" w:lineRule="exact"/>
              <w:rPr>
                <w:sz w:val="20"/>
                <w:szCs w:val="20"/>
                <w:color w:val="auto"/>
              </w:rPr>
            </w:pPr>
            <w:r>
              <w:rPr>
                <w:rFonts w:ascii="Arial" w:cs="Arial" w:eastAsia="Arial" w:hAnsi="Arial"/>
                <w:sz w:val="18"/>
                <w:szCs w:val="18"/>
                <w:color w:val="auto"/>
              </w:rPr>
              <w:t>—</w:t>
            </w:r>
          </w:p>
        </w:tc>
      </w:tr>
      <w:tr>
        <w:trPr>
          <w:trHeight w:val="207"/>
        </w:trPr>
        <w:tc>
          <w:tcPr>
            <w:tcW w:w="2560" w:type="dxa"/>
            <w:vAlign w:val="bottom"/>
            <w:tcBorders>
              <w:bottom w:val="single" w:sz="8" w:color="E8EDF4"/>
            </w:tcBorders>
            <w:shd w:val="clear" w:color="auto" w:fill="E8EDF4"/>
          </w:tcPr>
          <w:p>
            <w:pPr>
              <w:spacing w:after="0"/>
              <w:rPr>
                <w:sz w:val="17"/>
                <w:szCs w:val="17"/>
                <w:color w:val="auto"/>
              </w:rPr>
            </w:pPr>
          </w:p>
        </w:tc>
        <w:tc>
          <w:tcPr>
            <w:tcW w:w="3660" w:type="dxa"/>
            <w:vAlign w:val="bottom"/>
            <w:tcBorders>
              <w:bottom w:val="single" w:sz="8" w:color="E8EDF4"/>
            </w:tcBorders>
            <w:shd w:val="clear" w:color="auto" w:fill="E8EDF4"/>
          </w:tcPr>
          <w:p>
            <w:pPr>
              <w:jc w:val="center"/>
              <w:spacing w:after="0" w:line="201" w:lineRule="exact"/>
              <w:rPr>
                <w:sz w:val="20"/>
                <w:szCs w:val="20"/>
                <w:color w:val="auto"/>
              </w:rPr>
            </w:pPr>
            <w:r>
              <w:rPr>
                <w:rFonts w:ascii="Arial" w:cs="Arial" w:eastAsia="Arial" w:hAnsi="Arial"/>
                <w:sz w:val="18"/>
                <w:szCs w:val="18"/>
                <w:color w:val="auto"/>
                <w:w w:val="97"/>
              </w:rPr>
              <w:t>7/21/2021</w:t>
            </w:r>
          </w:p>
        </w:tc>
        <w:tc>
          <w:tcPr>
            <w:tcW w:w="780" w:type="dxa"/>
            <w:vAlign w:val="bottom"/>
            <w:tcBorders>
              <w:bottom w:val="single" w:sz="8" w:color="auto"/>
            </w:tcBorders>
            <w:shd w:val="clear" w:color="auto" w:fill="E8EDF4"/>
          </w:tcPr>
          <w:p>
            <w:pPr>
              <w:jc w:val="center"/>
              <w:spacing w:after="0" w:line="201" w:lineRule="exact"/>
              <w:rPr>
                <w:sz w:val="20"/>
                <w:szCs w:val="20"/>
                <w:color w:val="auto"/>
              </w:rPr>
            </w:pPr>
            <w:r>
              <w:rPr>
                <w:rFonts w:ascii="Arial" w:cs="Arial" w:eastAsia="Arial" w:hAnsi="Arial"/>
                <w:sz w:val="18"/>
                <w:szCs w:val="18"/>
                <w:color w:val="auto"/>
              </w:rPr>
              <w:t>5,968</w:t>
            </w:r>
          </w:p>
        </w:tc>
        <w:tc>
          <w:tcPr>
            <w:tcW w:w="1360" w:type="dxa"/>
            <w:vAlign w:val="bottom"/>
            <w:tcBorders>
              <w:bottom w:val="single" w:sz="8" w:color="E8EDF4"/>
            </w:tcBorders>
            <w:shd w:val="clear" w:color="auto" w:fill="E8EDF4"/>
          </w:tcPr>
          <w:p>
            <w:pPr>
              <w:spacing w:after="0"/>
              <w:rPr>
                <w:sz w:val="17"/>
                <w:szCs w:val="17"/>
                <w:color w:val="auto"/>
              </w:rPr>
            </w:pPr>
          </w:p>
        </w:tc>
        <w:tc>
          <w:tcPr>
            <w:tcW w:w="780" w:type="dxa"/>
            <w:vAlign w:val="bottom"/>
            <w:tcBorders>
              <w:bottom w:val="single" w:sz="8" w:color="auto"/>
            </w:tcBorders>
            <w:shd w:val="clear" w:color="auto" w:fill="E8EDF4"/>
          </w:tcPr>
          <w:p>
            <w:pPr>
              <w:ind w:left="260"/>
              <w:spacing w:after="0" w:line="201" w:lineRule="exact"/>
              <w:rPr>
                <w:sz w:val="20"/>
                <w:szCs w:val="20"/>
                <w:color w:val="auto"/>
              </w:rPr>
            </w:pPr>
            <w:r>
              <w:rPr>
                <w:rFonts w:ascii="Arial" w:cs="Arial" w:eastAsia="Arial" w:hAnsi="Arial"/>
                <w:sz w:val="18"/>
                <w:szCs w:val="18"/>
                <w:color w:val="auto"/>
              </w:rPr>
              <w:t>—</w:t>
            </w:r>
          </w:p>
        </w:tc>
      </w:tr>
      <w:tr>
        <w:trPr>
          <w:trHeight w:val="251"/>
        </w:trPr>
        <w:tc>
          <w:tcPr>
            <w:tcW w:w="2560" w:type="dxa"/>
            <w:vAlign w:val="bottom"/>
          </w:tcPr>
          <w:p>
            <w:pPr>
              <w:spacing w:after="0"/>
              <w:rPr>
                <w:sz w:val="21"/>
                <w:szCs w:val="21"/>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Total:</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8"/>
              </w:rPr>
              <w:t>22,013</w:t>
            </w:r>
          </w:p>
        </w:tc>
        <w:tc>
          <w:tcPr>
            <w:tcW w:w="2140" w:type="dxa"/>
            <w:vAlign w:val="bottom"/>
            <w:gridSpan w:val="2"/>
          </w:tcPr>
          <w:p>
            <w:pPr>
              <w:jc w:val="center"/>
              <w:ind w:left="1291"/>
              <w:spacing w:after="0"/>
              <w:rPr>
                <w:sz w:val="20"/>
                <w:szCs w:val="20"/>
                <w:color w:val="auto"/>
              </w:rPr>
            </w:pPr>
            <w:r>
              <w:rPr>
                <w:rFonts w:ascii="Arial" w:cs="Arial" w:eastAsia="Arial" w:hAnsi="Arial"/>
                <w:sz w:val="18"/>
                <w:szCs w:val="18"/>
                <w:b w:val="1"/>
                <w:bCs w:val="1"/>
                <w:color w:val="auto"/>
                <w:w w:val="98"/>
              </w:rPr>
              <w:t>814,200</w:t>
            </w:r>
          </w:p>
        </w:tc>
      </w:tr>
    </w:tbl>
    <w:p>
      <w:pPr>
        <w:spacing w:after="0" w:line="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61</w:t>
      </w:r>
    </w:p>
    <w:p>
      <w:pPr>
        <w:sectPr>
          <w:pgSz w:w="11900" w:h="16838" w:orient="portrait"/>
          <w:cols w:equalWidth="0" w:num="1">
            <w:col w:w="11160"/>
          </w:cols>
          <w:pgMar w:left="240" w:top="453"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OPTION EXERCISES AND STOCK VESTED DURING FISCAL 2018</w:t>
      </w:r>
    </w:p>
    <w:p>
      <w:pPr>
        <w:spacing w:after="0" w:line="102" w:lineRule="exact"/>
        <w:rPr>
          <w:sz w:val="20"/>
          <w:szCs w:val="20"/>
          <w:color w:val="auto"/>
        </w:rPr>
      </w:pPr>
    </w:p>
    <w:p>
      <w:pPr>
        <w:ind w:left="260" w:right="20" w:firstLine="435"/>
        <w:spacing w:after="0" w:line="269" w:lineRule="auto"/>
        <w:rPr>
          <w:sz w:val="20"/>
          <w:szCs w:val="20"/>
          <w:color w:val="auto"/>
        </w:rPr>
      </w:pPr>
      <w:r>
        <w:rPr>
          <w:rFonts w:ascii="Arial" w:cs="Arial" w:eastAsia="Arial" w:hAnsi="Arial"/>
          <w:sz w:val="18"/>
          <w:szCs w:val="18"/>
          <w:color w:val="auto"/>
        </w:rPr>
        <w:t>The following table provides information on the aggregate value realized by each named executive officer upon the exercise of stock options and the vesting of restricted stock units/awards, time-based RSUs and performance-based RSUs during fiscal 2018:</w:t>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020" w:type="dxa"/>
            <w:vAlign w:val="bottom"/>
            <w:shd w:val="clear" w:color="auto" w:fill="052B82"/>
          </w:tcPr>
          <w:p>
            <w:pPr>
              <w:spacing w:after="0"/>
              <w:rPr>
                <w:sz w:val="14"/>
                <w:szCs w:val="14"/>
                <w:color w:val="auto"/>
              </w:rPr>
            </w:pPr>
          </w:p>
        </w:tc>
        <w:tc>
          <w:tcPr>
            <w:tcW w:w="222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Option Awards</w:t>
            </w:r>
          </w:p>
        </w:tc>
        <w:tc>
          <w:tcPr>
            <w:tcW w:w="1260" w:type="dxa"/>
            <w:vAlign w:val="bottom"/>
            <w:vMerge w:val="restart"/>
            <w:shd w:val="clear" w:color="auto" w:fill="052B82"/>
          </w:tcPr>
          <w:p>
            <w:pPr>
              <w:jc w:val="right"/>
              <w:ind w:right="198"/>
              <w:spacing w:after="0"/>
              <w:rPr>
                <w:sz w:val="20"/>
                <w:szCs w:val="20"/>
                <w:color w:val="auto"/>
              </w:rPr>
            </w:pPr>
            <w:r>
              <w:rPr>
                <w:rFonts w:ascii="Arial" w:cs="Arial" w:eastAsia="Arial" w:hAnsi="Arial"/>
                <w:sz w:val="14"/>
                <w:szCs w:val="14"/>
                <w:b w:val="1"/>
                <w:bCs w:val="1"/>
                <w:color w:val="FFFFFF"/>
                <w:w w:val="97"/>
              </w:rPr>
              <w:t>Value Realized</w:t>
            </w:r>
          </w:p>
        </w:tc>
        <w:tc>
          <w:tcPr>
            <w:tcW w:w="2200" w:type="dxa"/>
            <w:vAlign w:val="bottom"/>
            <w:shd w:val="clear" w:color="auto" w:fill="052B82"/>
          </w:tcPr>
          <w:p>
            <w:pPr>
              <w:jc w:val="right"/>
              <w:spacing w:after="0"/>
              <w:rPr>
                <w:sz w:val="20"/>
                <w:szCs w:val="20"/>
                <w:color w:val="auto"/>
              </w:rPr>
            </w:pPr>
            <w:r>
              <w:rPr>
                <w:rFonts w:ascii="Arial" w:cs="Arial" w:eastAsia="Arial" w:hAnsi="Arial"/>
                <w:sz w:val="14"/>
                <w:szCs w:val="14"/>
                <w:b w:val="1"/>
                <w:bCs w:val="1"/>
                <w:color w:val="FFFFFF"/>
              </w:rPr>
              <w:t>Stock Awards</w:t>
            </w:r>
          </w:p>
        </w:tc>
        <w:tc>
          <w:tcPr>
            <w:tcW w:w="1300" w:type="dxa"/>
            <w:vAlign w:val="bottom"/>
            <w:vMerge w:val="restart"/>
            <w:shd w:val="clear" w:color="auto" w:fill="052B82"/>
          </w:tcPr>
          <w:p>
            <w:pPr>
              <w:jc w:val="center"/>
              <w:ind w:right="238"/>
              <w:spacing w:after="0"/>
              <w:rPr>
                <w:sz w:val="20"/>
                <w:szCs w:val="20"/>
                <w:color w:val="auto"/>
              </w:rPr>
            </w:pPr>
            <w:r>
              <w:rPr>
                <w:rFonts w:ascii="Arial" w:cs="Arial" w:eastAsia="Arial" w:hAnsi="Arial"/>
                <w:sz w:val="14"/>
                <w:szCs w:val="14"/>
                <w:b w:val="1"/>
                <w:bCs w:val="1"/>
                <w:color w:val="FFFFFF"/>
                <w:w w:val="99"/>
              </w:rPr>
              <w:t>Value Realized</w:t>
            </w:r>
          </w:p>
        </w:tc>
        <w:tc>
          <w:tcPr>
            <w:tcW w:w="0" w:type="dxa"/>
            <w:vAlign w:val="bottom"/>
          </w:tcPr>
          <w:p>
            <w:pPr>
              <w:spacing w:after="0"/>
              <w:rPr>
                <w:sz w:val="1"/>
                <w:szCs w:val="1"/>
                <w:color w:val="auto"/>
              </w:rPr>
            </w:pPr>
          </w:p>
        </w:tc>
      </w:tr>
      <w:tr>
        <w:trPr>
          <w:trHeight w:val="158"/>
        </w:trPr>
        <w:tc>
          <w:tcPr>
            <w:tcW w:w="3020" w:type="dxa"/>
            <w:vAlign w:val="bottom"/>
            <w:shd w:val="clear" w:color="auto" w:fill="052B82"/>
          </w:tcPr>
          <w:p>
            <w:pPr>
              <w:spacing w:after="0"/>
              <w:rPr>
                <w:sz w:val="13"/>
                <w:szCs w:val="13"/>
                <w:color w:val="auto"/>
              </w:rPr>
            </w:pPr>
          </w:p>
        </w:tc>
        <w:tc>
          <w:tcPr>
            <w:tcW w:w="2220" w:type="dxa"/>
            <w:vAlign w:val="bottom"/>
            <w:vMerge w:val="restart"/>
            <w:shd w:val="clear" w:color="auto" w:fill="052B82"/>
          </w:tcPr>
          <w:p>
            <w:pPr>
              <w:jc w:val="right"/>
              <w:ind w:right="578"/>
              <w:spacing w:after="0"/>
              <w:rPr>
                <w:sz w:val="20"/>
                <w:szCs w:val="20"/>
                <w:color w:val="auto"/>
              </w:rPr>
            </w:pPr>
            <w:r>
              <w:rPr>
                <w:rFonts w:ascii="Arial" w:cs="Arial" w:eastAsia="Arial" w:hAnsi="Arial"/>
                <w:sz w:val="14"/>
                <w:szCs w:val="14"/>
                <w:b w:val="1"/>
                <w:bCs w:val="1"/>
                <w:color w:val="FFFFFF"/>
              </w:rPr>
              <w:t>Number of Shares</w:t>
            </w:r>
          </w:p>
        </w:tc>
        <w:tc>
          <w:tcPr>
            <w:tcW w:w="1260" w:type="dxa"/>
            <w:vAlign w:val="bottom"/>
            <w:vMerge w:val="continue"/>
            <w:shd w:val="clear" w:color="auto" w:fill="052B82"/>
          </w:tcPr>
          <w:p>
            <w:pPr>
              <w:spacing w:after="0"/>
              <w:rPr>
                <w:sz w:val="13"/>
                <w:szCs w:val="13"/>
                <w:color w:val="auto"/>
              </w:rPr>
            </w:pPr>
          </w:p>
        </w:tc>
        <w:tc>
          <w:tcPr>
            <w:tcW w:w="2200" w:type="dxa"/>
            <w:vAlign w:val="bottom"/>
            <w:vMerge w:val="restart"/>
            <w:shd w:val="clear" w:color="auto" w:fill="052B82"/>
          </w:tcPr>
          <w:p>
            <w:pPr>
              <w:jc w:val="right"/>
              <w:ind w:right="538"/>
              <w:spacing w:after="0"/>
              <w:rPr>
                <w:sz w:val="20"/>
                <w:szCs w:val="20"/>
                <w:color w:val="auto"/>
              </w:rPr>
            </w:pPr>
            <w:r>
              <w:rPr>
                <w:rFonts w:ascii="Arial" w:cs="Arial" w:eastAsia="Arial" w:hAnsi="Arial"/>
                <w:sz w:val="14"/>
                <w:szCs w:val="14"/>
                <w:b w:val="1"/>
                <w:bCs w:val="1"/>
                <w:color w:val="FFFFFF"/>
              </w:rPr>
              <w:t>Number of Shares</w:t>
            </w:r>
          </w:p>
        </w:tc>
        <w:tc>
          <w:tcPr>
            <w:tcW w:w="1300" w:type="dxa"/>
            <w:vAlign w:val="bottom"/>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052B82"/>
          </w:tcPr>
          <w:p>
            <w:pPr>
              <w:spacing w:after="0"/>
              <w:rPr>
                <w:sz w:val="13"/>
                <w:szCs w:val="13"/>
                <w:color w:val="auto"/>
              </w:rPr>
            </w:pPr>
          </w:p>
        </w:tc>
        <w:tc>
          <w:tcPr>
            <w:tcW w:w="2220" w:type="dxa"/>
            <w:vAlign w:val="bottom"/>
            <w:vMerge w:val="continue"/>
            <w:shd w:val="clear" w:color="auto" w:fill="052B82"/>
          </w:tcPr>
          <w:p>
            <w:pPr>
              <w:spacing w:after="0"/>
              <w:rPr>
                <w:sz w:val="13"/>
                <w:szCs w:val="13"/>
                <w:color w:val="auto"/>
              </w:rPr>
            </w:pPr>
          </w:p>
        </w:tc>
        <w:tc>
          <w:tcPr>
            <w:tcW w:w="1260" w:type="dxa"/>
            <w:vAlign w:val="bottom"/>
            <w:shd w:val="clear" w:color="auto" w:fill="052B82"/>
          </w:tcPr>
          <w:p>
            <w:pPr>
              <w:jc w:val="right"/>
              <w:ind w:right="278"/>
              <w:spacing w:after="0"/>
              <w:rPr>
                <w:sz w:val="20"/>
                <w:szCs w:val="20"/>
                <w:color w:val="auto"/>
              </w:rPr>
            </w:pPr>
            <w:r>
              <w:rPr>
                <w:rFonts w:ascii="Arial" w:cs="Arial" w:eastAsia="Arial" w:hAnsi="Arial"/>
                <w:sz w:val="14"/>
                <w:szCs w:val="14"/>
                <w:b w:val="1"/>
                <w:bCs w:val="1"/>
                <w:color w:val="FFFFFF"/>
              </w:rPr>
              <w:t>on Exercise</w:t>
            </w:r>
          </w:p>
        </w:tc>
        <w:tc>
          <w:tcPr>
            <w:tcW w:w="2200" w:type="dxa"/>
            <w:vAlign w:val="bottom"/>
            <w:vMerge w:val="continue"/>
            <w:shd w:val="clear" w:color="auto" w:fill="052B82"/>
          </w:tcPr>
          <w:p>
            <w:pPr>
              <w:spacing w:after="0"/>
              <w:rPr>
                <w:sz w:val="13"/>
                <w:szCs w:val="13"/>
                <w:color w:val="auto"/>
              </w:rPr>
            </w:pPr>
          </w:p>
        </w:tc>
        <w:tc>
          <w:tcPr>
            <w:tcW w:w="1300" w:type="dxa"/>
            <w:vAlign w:val="bottom"/>
            <w:shd w:val="clear" w:color="auto" w:fill="052B82"/>
          </w:tcPr>
          <w:p>
            <w:pPr>
              <w:jc w:val="center"/>
              <w:ind w:right="218"/>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189"/>
        </w:trPr>
        <w:tc>
          <w:tcPr>
            <w:tcW w:w="302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Officer Name</w:t>
            </w:r>
          </w:p>
        </w:tc>
        <w:tc>
          <w:tcPr>
            <w:tcW w:w="2220" w:type="dxa"/>
            <w:vAlign w:val="bottom"/>
            <w:shd w:val="clear" w:color="auto" w:fill="052B82"/>
          </w:tcPr>
          <w:p>
            <w:pPr>
              <w:jc w:val="right"/>
              <w:ind w:right="458"/>
              <w:spacing w:after="0"/>
              <w:rPr>
                <w:sz w:val="20"/>
                <w:szCs w:val="20"/>
                <w:color w:val="auto"/>
              </w:rPr>
            </w:pPr>
            <w:r>
              <w:rPr>
                <w:rFonts w:ascii="Arial" w:cs="Arial" w:eastAsia="Arial" w:hAnsi="Arial"/>
                <w:sz w:val="14"/>
                <w:szCs w:val="14"/>
                <w:b w:val="1"/>
                <w:bCs w:val="1"/>
                <w:color w:val="FFFFFF"/>
              </w:rPr>
              <w:t>Acquired on Exercise</w:t>
            </w:r>
          </w:p>
        </w:tc>
        <w:tc>
          <w:tcPr>
            <w:tcW w:w="1260" w:type="dxa"/>
            <w:vAlign w:val="bottom"/>
            <w:shd w:val="clear" w:color="auto" w:fill="052B82"/>
          </w:tcPr>
          <w:p>
            <w:pPr>
              <w:jc w:val="right"/>
              <w:ind w:right="518"/>
              <w:spacing w:after="0"/>
              <w:rPr>
                <w:sz w:val="20"/>
                <w:szCs w:val="20"/>
                <w:color w:val="auto"/>
              </w:rPr>
            </w:pPr>
            <w:r>
              <w:rPr>
                <w:rFonts w:ascii="Arial" w:cs="Arial" w:eastAsia="Arial" w:hAnsi="Arial"/>
                <w:sz w:val="14"/>
                <w:szCs w:val="14"/>
                <w:b w:val="1"/>
                <w:bCs w:val="1"/>
                <w:color w:val="FFFFFF"/>
              </w:rPr>
              <w:t>($)(1)</w:t>
            </w:r>
          </w:p>
        </w:tc>
        <w:tc>
          <w:tcPr>
            <w:tcW w:w="2200" w:type="dxa"/>
            <w:vAlign w:val="bottom"/>
            <w:shd w:val="clear" w:color="auto" w:fill="052B82"/>
          </w:tcPr>
          <w:p>
            <w:pPr>
              <w:jc w:val="right"/>
              <w:ind w:right="458"/>
              <w:spacing w:after="0"/>
              <w:rPr>
                <w:sz w:val="20"/>
                <w:szCs w:val="20"/>
                <w:color w:val="auto"/>
              </w:rPr>
            </w:pPr>
            <w:r>
              <w:rPr>
                <w:rFonts w:ascii="Arial" w:cs="Arial" w:eastAsia="Arial" w:hAnsi="Arial"/>
                <w:sz w:val="14"/>
                <w:szCs w:val="14"/>
                <w:b w:val="1"/>
                <w:bCs w:val="1"/>
                <w:color w:val="FFFFFF"/>
              </w:rPr>
              <w:t>Acquired on Vesting</w:t>
            </w:r>
          </w:p>
        </w:tc>
        <w:tc>
          <w:tcPr>
            <w:tcW w:w="1300" w:type="dxa"/>
            <w:vAlign w:val="bottom"/>
            <w:shd w:val="clear" w:color="auto" w:fill="052B82"/>
          </w:tcPr>
          <w:p>
            <w:pPr>
              <w:jc w:val="center"/>
              <w:ind w:right="238"/>
              <w:spacing w:after="0"/>
              <w:rPr>
                <w:sz w:val="20"/>
                <w:szCs w:val="20"/>
                <w:color w:val="auto"/>
              </w:rPr>
            </w:pPr>
            <w:r>
              <w:rPr>
                <w:rFonts w:ascii="Arial" w:cs="Arial" w:eastAsia="Arial" w:hAnsi="Arial"/>
                <w:sz w:val="14"/>
                <w:szCs w:val="14"/>
                <w:b w:val="1"/>
                <w:bCs w:val="1"/>
                <w:color w:val="FFFFFF"/>
                <w:w w:val="99"/>
              </w:rPr>
              <w:t>($)(2)</w:t>
            </w:r>
          </w:p>
        </w:tc>
        <w:tc>
          <w:tcPr>
            <w:tcW w:w="0" w:type="dxa"/>
            <w:vAlign w:val="bottom"/>
          </w:tcPr>
          <w:p>
            <w:pPr>
              <w:spacing w:after="0"/>
              <w:rPr>
                <w:sz w:val="1"/>
                <w:szCs w:val="1"/>
                <w:color w:val="auto"/>
              </w:rPr>
            </w:pPr>
          </w:p>
        </w:tc>
      </w:tr>
      <w:tr>
        <w:trPr>
          <w:trHeight w:val="283"/>
        </w:trPr>
        <w:tc>
          <w:tcPr>
            <w:tcW w:w="3020" w:type="dxa"/>
            <w:vAlign w:val="bottom"/>
          </w:tcPr>
          <w:p>
            <w:pPr>
              <w:ind w:left="40"/>
              <w:spacing w:after="0"/>
              <w:rPr>
                <w:sz w:val="20"/>
                <w:szCs w:val="20"/>
                <w:color w:val="auto"/>
              </w:rPr>
            </w:pPr>
            <w:r>
              <w:rPr>
                <w:rFonts w:ascii="Arial" w:cs="Arial" w:eastAsia="Arial" w:hAnsi="Arial"/>
                <w:sz w:val="18"/>
                <w:szCs w:val="18"/>
                <w:color w:val="auto"/>
              </w:rPr>
              <w:t>Vincent Roche</w:t>
            </w:r>
          </w:p>
        </w:tc>
        <w:tc>
          <w:tcPr>
            <w:tcW w:w="2220" w:type="dxa"/>
            <w:vAlign w:val="bottom"/>
          </w:tcPr>
          <w:p>
            <w:pPr>
              <w:jc w:val="right"/>
              <w:ind w:right="458"/>
              <w:spacing w:after="0"/>
              <w:rPr>
                <w:sz w:val="20"/>
                <w:szCs w:val="20"/>
                <w:color w:val="auto"/>
              </w:rPr>
            </w:pPr>
            <w:r>
              <w:rPr>
                <w:rFonts w:ascii="Arial" w:cs="Arial" w:eastAsia="Arial" w:hAnsi="Arial"/>
                <w:sz w:val="18"/>
                <w:szCs w:val="18"/>
                <w:color w:val="auto"/>
              </w:rPr>
              <w:t>190,000</w:t>
            </w:r>
          </w:p>
        </w:tc>
        <w:tc>
          <w:tcPr>
            <w:tcW w:w="1260" w:type="dxa"/>
            <w:vAlign w:val="bottom"/>
          </w:tcPr>
          <w:p>
            <w:pPr>
              <w:jc w:val="right"/>
              <w:ind w:right="178"/>
              <w:spacing w:after="0"/>
              <w:rPr>
                <w:sz w:val="20"/>
                <w:szCs w:val="20"/>
                <w:color w:val="auto"/>
              </w:rPr>
            </w:pPr>
            <w:r>
              <w:rPr>
                <w:rFonts w:ascii="Arial" w:cs="Arial" w:eastAsia="Arial" w:hAnsi="Arial"/>
                <w:sz w:val="18"/>
                <w:szCs w:val="18"/>
                <w:color w:val="auto"/>
              </w:rPr>
              <w:t>8,461,851</w:t>
            </w:r>
          </w:p>
        </w:tc>
        <w:tc>
          <w:tcPr>
            <w:tcW w:w="2200" w:type="dxa"/>
            <w:vAlign w:val="bottom"/>
          </w:tcPr>
          <w:p>
            <w:pPr>
              <w:jc w:val="right"/>
              <w:ind w:right="458"/>
              <w:spacing w:after="0"/>
              <w:rPr>
                <w:sz w:val="20"/>
                <w:szCs w:val="20"/>
                <w:color w:val="auto"/>
              </w:rPr>
            </w:pPr>
            <w:r>
              <w:rPr>
                <w:rFonts w:ascii="Arial" w:cs="Arial" w:eastAsia="Arial" w:hAnsi="Arial"/>
                <w:sz w:val="18"/>
                <w:szCs w:val="18"/>
                <w:color w:val="auto"/>
              </w:rPr>
              <w:t>45,325</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4,295,993</w:t>
            </w: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4"/>
        </w:trPr>
        <w:tc>
          <w:tcPr>
            <w:tcW w:w="3020" w:type="dxa"/>
            <w:vAlign w:val="bottom"/>
            <w:tcBorders>
              <w:bottom w:val="single" w:sz="8" w:color="E8EDF4"/>
            </w:tcBorders>
            <w:shd w:val="clear" w:color="auto" w:fill="E8EDF4"/>
          </w:tcPr>
          <w:p>
            <w:pPr>
              <w:ind w:left="40"/>
              <w:spacing w:after="0"/>
              <w:rPr>
                <w:sz w:val="20"/>
                <w:szCs w:val="20"/>
                <w:color w:val="auto"/>
              </w:rPr>
            </w:pPr>
            <w:r>
              <w:rPr>
                <w:rFonts w:ascii="Arial" w:cs="Arial" w:eastAsia="Arial" w:hAnsi="Arial"/>
                <w:sz w:val="18"/>
                <w:szCs w:val="18"/>
                <w:color w:val="auto"/>
              </w:rPr>
              <w:t>Prashanth Mahendra-Rajah</w:t>
            </w:r>
          </w:p>
        </w:tc>
        <w:tc>
          <w:tcPr>
            <w:tcW w:w="2220" w:type="dxa"/>
            <w:vAlign w:val="bottom"/>
            <w:tcBorders>
              <w:bottom w:val="single" w:sz="8" w:color="E8EDF4"/>
            </w:tcBorders>
            <w:shd w:val="clear" w:color="auto" w:fill="E8EDF4"/>
          </w:tcPr>
          <w:p>
            <w:pPr>
              <w:jc w:val="right"/>
              <w:ind w:right="55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8EDF4"/>
            </w:tcBorders>
            <w:shd w:val="clear" w:color="auto" w:fill="E8EDF4"/>
          </w:tcPr>
          <w:p>
            <w:pPr>
              <w:jc w:val="right"/>
              <w:ind w:right="278"/>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E8EDF4"/>
            </w:tcBorders>
            <w:shd w:val="clear" w:color="auto" w:fill="E8EDF4"/>
          </w:tcPr>
          <w:p>
            <w:pPr>
              <w:jc w:val="right"/>
              <w:ind w:right="458"/>
              <w:spacing w:after="0"/>
              <w:rPr>
                <w:sz w:val="20"/>
                <w:szCs w:val="20"/>
                <w:color w:val="auto"/>
              </w:rPr>
            </w:pPr>
            <w:r>
              <w:rPr>
                <w:rFonts w:ascii="Arial" w:cs="Arial" w:eastAsia="Arial" w:hAnsi="Arial"/>
                <w:sz w:val="18"/>
                <w:szCs w:val="18"/>
                <w:color w:val="auto"/>
              </w:rPr>
              <w:t>7,918</w:t>
            </w:r>
          </w:p>
        </w:tc>
        <w:tc>
          <w:tcPr>
            <w:tcW w:w="1300" w:type="dxa"/>
            <w:vAlign w:val="bottom"/>
            <w:tcBorders>
              <w:bottom w:val="single" w:sz="8" w:color="E8EDF4"/>
            </w:tcBorders>
            <w:shd w:val="clear" w:color="auto" w:fill="E8EDF4"/>
          </w:tcPr>
          <w:p>
            <w:pPr>
              <w:jc w:val="right"/>
              <w:ind w:right="218"/>
              <w:spacing w:after="0"/>
              <w:rPr>
                <w:sz w:val="20"/>
                <w:szCs w:val="20"/>
                <w:color w:val="auto"/>
              </w:rPr>
            </w:pPr>
            <w:r>
              <w:rPr>
                <w:rFonts w:ascii="Arial" w:cs="Arial" w:eastAsia="Arial" w:hAnsi="Arial"/>
                <w:sz w:val="18"/>
                <w:szCs w:val="18"/>
                <w:color w:val="auto"/>
              </w:rPr>
              <w:t>679,048</w:t>
            </w:r>
          </w:p>
        </w:tc>
        <w:tc>
          <w:tcPr>
            <w:tcW w:w="0" w:type="dxa"/>
            <w:vAlign w:val="bottom"/>
          </w:tcPr>
          <w:p>
            <w:pPr>
              <w:spacing w:after="0"/>
              <w:rPr>
                <w:sz w:val="1"/>
                <w:szCs w:val="1"/>
                <w:color w:val="auto"/>
              </w:rPr>
            </w:pPr>
          </w:p>
        </w:tc>
      </w:tr>
      <w:tr>
        <w:trPr>
          <w:trHeight w:val="336"/>
        </w:trPr>
        <w:tc>
          <w:tcPr>
            <w:tcW w:w="3020" w:type="dxa"/>
            <w:vAlign w:val="bottom"/>
          </w:tcPr>
          <w:p>
            <w:pPr>
              <w:ind w:left="40"/>
              <w:spacing w:after="0"/>
              <w:rPr>
                <w:sz w:val="20"/>
                <w:szCs w:val="20"/>
                <w:color w:val="auto"/>
              </w:rPr>
            </w:pPr>
            <w:r>
              <w:rPr>
                <w:rFonts w:ascii="Arial" w:cs="Arial" w:eastAsia="Arial" w:hAnsi="Arial"/>
                <w:sz w:val="18"/>
                <w:szCs w:val="18"/>
                <w:color w:val="auto"/>
              </w:rPr>
              <w:t>Martin Cotter</w:t>
            </w:r>
          </w:p>
        </w:tc>
        <w:tc>
          <w:tcPr>
            <w:tcW w:w="2220" w:type="dxa"/>
            <w:vAlign w:val="bottom"/>
          </w:tcPr>
          <w:p>
            <w:pPr>
              <w:jc w:val="right"/>
              <w:ind w:right="458"/>
              <w:spacing w:after="0"/>
              <w:rPr>
                <w:sz w:val="20"/>
                <w:szCs w:val="20"/>
                <w:color w:val="auto"/>
              </w:rPr>
            </w:pPr>
            <w:r>
              <w:rPr>
                <w:rFonts w:ascii="Arial" w:cs="Arial" w:eastAsia="Arial" w:hAnsi="Arial"/>
                <w:sz w:val="18"/>
                <w:szCs w:val="18"/>
                <w:color w:val="auto"/>
              </w:rPr>
              <w:t>6,270</w:t>
            </w:r>
          </w:p>
        </w:tc>
        <w:tc>
          <w:tcPr>
            <w:tcW w:w="1260" w:type="dxa"/>
            <w:vAlign w:val="bottom"/>
          </w:tcPr>
          <w:p>
            <w:pPr>
              <w:jc w:val="right"/>
              <w:ind w:right="178"/>
              <w:spacing w:after="0"/>
              <w:rPr>
                <w:sz w:val="20"/>
                <w:szCs w:val="20"/>
                <w:color w:val="auto"/>
              </w:rPr>
            </w:pPr>
            <w:r>
              <w:rPr>
                <w:rFonts w:ascii="Arial" w:cs="Arial" w:eastAsia="Arial" w:hAnsi="Arial"/>
                <w:sz w:val="18"/>
                <w:szCs w:val="18"/>
                <w:color w:val="auto"/>
              </w:rPr>
              <w:t>428,232</w:t>
            </w:r>
          </w:p>
        </w:tc>
        <w:tc>
          <w:tcPr>
            <w:tcW w:w="2200" w:type="dxa"/>
            <w:vAlign w:val="bottom"/>
          </w:tcPr>
          <w:p>
            <w:pPr>
              <w:jc w:val="right"/>
              <w:ind w:right="458"/>
              <w:spacing w:after="0"/>
              <w:rPr>
                <w:sz w:val="20"/>
                <w:szCs w:val="20"/>
                <w:color w:val="auto"/>
              </w:rPr>
            </w:pPr>
            <w:r>
              <w:rPr>
                <w:rFonts w:ascii="Arial" w:cs="Arial" w:eastAsia="Arial" w:hAnsi="Arial"/>
                <w:sz w:val="18"/>
                <w:szCs w:val="18"/>
                <w:color w:val="auto"/>
              </w:rPr>
              <w:t>2,075</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198,225</w:t>
            </w: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4"/>
        </w:trPr>
        <w:tc>
          <w:tcPr>
            <w:tcW w:w="3020" w:type="dxa"/>
            <w:vAlign w:val="bottom"/>
            <w:tcBorders>
              <w:bottom w:val="single" w:sz="8" w:color="E8EDF4"/>
            </w:tcBorders>
            <w:shd w:val="clear" w:color="auto" w:fill="E8EDF4"/>
          </w:tcPr>
          <w:p>
            <w:pPr>
              <w:ind w:left="40"/>
              <w:spacing w:after="0"/>
              <w:rPr>
                <w:sz w:val="20"/>
                <w:szCs w:val="20"/>
                <w:color w:val="auto"/>
              </w:rPr>
            </w:pPr>
            <w:r>
              <w:rPr>
                <w:rFonts w:ascii="Arial" w:cs="Arial" w:eastAsia="Arial" w:hAnsi="Arial"/>
                <w:sz w:val="18"/>
                <w:szCs w:val="18"/>
                <w:color w:val="auto"/>
              </w:rPr>
              <w:t>John Hassett</w:t>
            </w:r>
          </w:p>
        </w:tc>
        <w:tc>
          <w:tcPr>
            <w:tcW w:w="2220" w:type="dxa"/>
            <w:vAlign w:val="bottom"/>
            <w:tcBorders>
              <w:bottom w:val="single" w:sz="8" w:color="E8EDF4"/>
            </w:tcBorders>
            <w:shd w:val="clear" w:color="auto" w:fill="E8EDF4"/>
          </w:tcPr>
          <w:p>
            <w:pPr>
              <w:jc w:val="right"/>
              <w:ind w:right="458"/>
              <w:spacing w:after="0"/>
              <w:rPr>
                <w:sz w:val="20"/>
                <w:szCs w:val="20"/>
                <w:color w:val="auto"/>
              </w:rPr>
            </w:pPr>
            <w:r>
              <w:rPr>
                <w:rFonts w:ascii="Arial" w:cs="Arial" w:eastAsia="Arial" w:hAnsi="Arial"/>
                <w:sz w:val="18"/>
                <w:szCs w:val="18"/>
                <w:color w:val="auto"/>
              </w:rPr>
              <w:t>47,550</w:t>
            </w:r>
          </w:p>
        </w:tc>
        <w:tc>
          <w:tcPr>
            <w:tcW w:w="1260" w:type="dxa"/>
            <w:vAlign w:val="bottom"/>
            <w:tcBorders>
              <w:bottom w:val="single" w:sz="8" w:color="E8EDF4"/>
            </w:tcBorders>
            <w:shd w:val="clear" w:color="auto" w:fill="E8EDF4"/>
          </w:tcPr>
          <w:p>
            <w:pPr>
              <w:jc w:val="right"/>
              <w:ind w:right="178"/>
              <w:spacing w:after="0"/>
              <w:rPr>
                <w:sz w:val="20"/>
                <w:szCs w:val="20"/>
                <w:color w:val="auto"/>
              </w:rPr>
            </w:pPr>
            <w:r>
              <w:rPr>
                <w:rFonts w:ascii="Arial" w:cs="Arial" w:eastAsia="Arial" w:hAnsi="Arial"/>
                <w:sz w:val="18"/>
                <w:szCs w:val="18"/>
                <w:color w:val="auto"/>
              </w:rPr>
              <w:t>2,299,574</w:t>
            </w:r>
          </w:p>
        </w:tc>
        <w:tc>
          <w:tcPr>
            <w:tcW w:w="2200" w:type="dxa"/>
            <w:vAlign w:val="bottom"/>
            <w:tcBorders>
              <w:bottom w:val="single" w:sz="8" w:color="E8EDF4"/>
            </w:tcBorders>
            <w:shd w:val="clear" w:color="auto" w:fill="E8EDF4"/>
          </w:tcPr>
          <w:p>
            <w:pPr>
              <w:jc w:val="right"/>
              <w:ind w:right="458"/>
              <w:spacing w:after="0"/>
              <w:rPr>
                <w:sz w:val="20"/>
                <w:szCs w:val="20"/>
                <w:color w:val="auto"/>
              </w:rPr>
            </w:pPr>
            <w:r>
              <w:rPr>
                <w:rFonts w:ascii="Arial" w:cs="Arial" w:eastAsia="Arial" w:hAnsi="Arial"/>
                <w:sz w:val="18"/>
                <w:szCs w:val="18"/>
                <w:color w:val="auto"/>
              </w:rPr>
              <w:t>4,230</w:t>
            </w:r>
          </w:p>
        </w:tc>
        <w:tc>
          <w:tcPr>
            <w:tcW w:w="1300" w:type="dxa"/>
            <w:vAlign w:val="bottom"/>
            <w:tcBorders>
              <w:bottom w:val="single" w:sz="8" w:color="E8EDF4"/>
            </w:tcBorders>
            <w:shd w:val="clear" w:color="auto" w:fill="E8EDF4"/>
          </w:tcPr>
          <w:p>
            <w:pPr>
              <w:jc w:val="right"/>
              <w:ind w:right="218"/>
              <w:spacing w:after="0"/>
              <w:rPr>
                <w:sz w:val="20"/>
                <w:szCs w:val="20"/>
                <w:color w:val="auto"/>
              </w:rPr>
            </w:pPr>
            <w:r>
              <w:rPr>
                <w:rFonts w:ascii="Arial" w:cs="Arial" w:eastAsia="Arial" w:hAnsi="Arial"/>
                <w:sz w:val="18"/>
                <w:szCs w:val="18"/>
                <w:color w:val="auto"/>
              </w:rPr>
              <w:t>404,092</w:t>
            </w:r>
          </w:p>
        </w:tc>
        <w:tc>
          <w:tcPr>
            <w:tcW w:w="0" w:type="dxa"/>
            <w:vAlign w:val="bottom"/>
          </w:tcPr>
          <w:p>
            <w:pPr>
              <w:spacing w:after="0"/>
              <w:rPr>
                <w:sz w:val="1"/>
                <w:szCs w:val="1"/>
                <w:color w:val="auto"/>
              </w:rPr>
            </w:pPr>
          </w:p>
        </w:tc>
      </w:tr>
      <w:tr>
        <w:trPr>
          <w:trHeight w:val="336"/>
        </w:trPr>
        <w:tc>
          <w:tcPr>
            <w:tcW w:w="3020" w:type="dxa"/>
            <w:vAlign w:val="bottom"/>
          </w:tcPr>
          <w:p>
            <w:pPr>
              <w:ind w:left="40"/>
              <w:spacing w:after="0"/>
              <w:rPr>
                <w:sz w:val="20"/>
                <w:szCs w:val="20"/>
                <w:color w:val="auto"/>
              </w:rPr>
            </w:pPr>
            <w:r>
              <w:rPr>
                <w:rFonts w:ascii="Arial" w:cs="Arial" w:eastAsia="Arial" w:hAnsi="Arial"/>
                <w:sz w:val="18"/>
                <w:szCs w:val="18"/>
                <w:color w:val="auto"/>
              </w:rPr>
              <w:t>Steve Pietkiewicz (3)</w:t>
            </w:r>
          </w:p>
        </w:tc>
        <w:tc>
          <w:tcPr>
            <w:tcW w:w="2220" w:type="dxa"/>
            <w:vAlign w:val="bottom"/>
          </w:tcPr>
          <w:p>
            <w:pPr>
              <w:jc w:val="right"/>
              <w:ind w:right="55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458"/>
              <w:spacing w:after="0"/>
              <w:rPr>
                <w:sz w:val="20"/>
                <w:szCs w:val="20"/>
                <w:color w:val="auto"/>
              </w:rPr>
            </w:pPr>
            <w:r>
              <w:rPr>
                <w:rFonts w:ascii="Arial" w:cs="Arial" w:eastAsia="Arial" w:hAnsi="Arial"/>
                <w:sz w:val="18"/>
                <w:szCs w:val="18"/>
                <w:color w:val="auto"/>
              </w:rPr>
              <w:t>12,618</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1,176,493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-1450340</wp:posOffset>
            </wp:positionV>
            <wp:extent cx="40944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9448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108585</wp:posOffset>
            </wp:positionV>
            <wp:extent cx="686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82" w:lineRule="exact"/>
        <w:rPr>
          <w:sz w:val="20"/>
          <w:szCs w:val="20"/>
          <w:color w:val="auto"/>
        </w:rPr>
      </w:pPr>
    </w:p>
    <w:p>
      <w:pPr>
        <w:ind w:left="700" w:right="240" w:hanging="433"/>
        <w:spacing w:after="0" w:line="269"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Value realized represents the difference between the closing price per share of our common stock on the date of exercise and the exercise price per share, multiplied by the number of shares acquired on exercise.</w:t>
      </w:r>
    </w:p>
    <w:p>
      <w:pPr>
        <w:spacing w:after="0" w:line="56" w:lineRule="exact"/>
        <w:rPr>
          <w:rFonts w:ascii="Arial" w:cs="Arial" w:eastAsia="Arial" w:hAnsi="Arial"/>
          <w:sz w:val="18"/>
          <w:szCs w:val="18"/>
          <w:color w:val="auto"/>
        </w:rPr>
      </w:pPr>
    </w:p>
    <w:p>
      <w:pPr>
        <w:ind w:left="700" w:right="220" w:hanging="433"/>
        <w:spacing w:after="0" w:line="269"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Value realized represents the closing price per share of our common stock on the vesting date, multiplied by the number of shares vested.</w:t>
      </w:r>
    </w:p>
    <w:p>
      <w:pPr>
        <w:spacing w:after="0" w:line="56" w:lineRule="exact"/>
        <w:rPr>
          <w:rFonts w:ascii="Arial" w:cs="Arial" w:eastAsia="Arial" w:hAnsi="Arial"/>
          <w:sz w:val="18"/>
          <w:szCs w:val="18"/>
          <w:color w:val="auto"/>
        </w:rPr>
      </w:pPr>
    </w:p>
    <w:p>
      <w:pPr>
        <w:ind w:left="700" w:right="20" w:hanging="433"/>
        <w:spacing w:after="0" w:line="250" w:lineRule="auto"/>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addition to the amounts reflected in the table, during fiscal 2018 Mr. Pietkiewicz received $630,200 upon the vesting of cash awards, which were granted by the Company in connection with the Linear Technology acquisition, and in accordance with the terms of the merger agreement, in replacement of outstanding Linear Technology equity awards.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NON-QUALIFIED DEFERRED COMPENSATION PLAN</w:t>
      </w:r>
    </w:p>
    <w:p>
      <w:pPr>
        <w:spacing w:after="0" w:line="102" w:lineRule="exact"/>
        <w:rPr>
          <w:sz w:val="20"/>
          <w:szCs w:val="20"/>
          <w:color w:val="auto"/>
        </w:rPr>
      </w:pPr>
    </w:p>
    <w:p>
      <w:pPr>
        <w:ind w:left="260" w:right="120" w:firstLine="435"/>
        <w:spacing w:after="0" w:line="263" w:lineRule="auto"/>
        <w:rPr>
          <w:sz w:val="20"/>
          <w:szCs w:val="20"/>
          <w:color w:val="auto"/>
        </w:rPr>
      </w:pPr>
      <w:r>
        <w:rPr>
          <w:rFonts w:ascii="Arial" w:cs="Arial" w:eastAsia="Arial" w:hAnsi="Arial"/>
          <w:sz w:val="17"/>
          <w:szCs w:val="17"/>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158" w:lineRule="exact"/>
        <w:rPr>
          <w:sz w:val="20"/>
          <w:szCs w:val="20"/>
          <w:color w:val="auto"/>
        </w:rPr>
      </w:pPr>
    </w:p>
    <w:p>
      <w:pPr>
        <w:ind w:left="260" w:firstLine="435"/>
        <w:spacing w:after="0" w:line="238" w:lineRule="auto"/>
        <w:rPr>
          <w:sz w:val="20"/>
          <w:szCs w:val="20"/>
          <w:color w:val="auto"/>
        </w:rPr>
      </w:pPr>
      <w:r>
        <w:rPr>
          <w:rFonts w:ascii="Arial" w:cs="Arial" w:eastAsia="Arial" w:hAnsi="Arial"/>
          <w:sz w:val="18"/>
          <w:szCs w:val="18"/>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179" w:lineRule="exact"/>
        <w:rPr>
          <w:sz w:val="20"/>
          <w:szCs w:val="20"/>
          <w:color w:val="auto"/>
        </w:rPr>
      </w:pPr>
    </w:p>
    <w:p>
      <w:pPr>
        <w:ind w:left="260" w:firstLine="435"/>
        <w:spacing w:after="0" w:line="256" w:lineRule="auto"/>
        <w:rPr>
          <w:sz w:val="20"/>
          <w:szCs w:val="20"/>
          <w:color w:val="auto"/>
        </w:rPr>
      </w:pPr>
      <w:r>
        <w:rPr>
          <w:rFonts w:ascii="Arial" w:cs="Arial" w:eastAsia="Arial" w:hAnsi="Arial"/>
          <w:sz w:val="17"/>
          <w:szCs w:val="17"/>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NEOs and key employees will be delayed six months and as otherwise required by relevant tax regulations.</w:t>
      </w:r>
    </w:p>
    <w:p>
      <w:pPr>
        <w:spacing w:after="0" w:line="125" w:lineRule="exact"/>
        <w:rPr>
          <w:sz w:val="20"/>
          <w:szCs w:val="20"/>
          <w:color w:val="auto"/>
        </w:rPr>
      </w:pPr>
    </w:p>
    <w:p>
      <w:pPr>
        <w:ind w:left="660" w:hanging="393"/>
        <w:spacing w:after="0"/>
        <w:tabs>
          <w:tab w:leader="none" w:pos="660" w:val="left"/>
        </w:tabs>
        <w:numPr>
          <w:ilvl w:val="0"/>
          <w:numId w:val="10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20"/>
          </w:cols>
          <w:pgMar w:left="240" w:top="454" w:right="5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20" w:firstLine="435"/>
        <w:spacing w:after="0" w:line="250" w:lineRule="auto"/>
        <w:rPr>
          <w:sz w:val="20"/>
          <w:szCs w:val="20"/>
          <w:color w:val="auto"/>
        </w:rPr>
      </w:pPr>
      <w:r>
        <w:rPr>
          <w:rFonts w:ascii="Arial" w:cs="Arial" w:eastAsia="Arial" w:hAnsi="Arial"/>
          <w:sz w:val="18"/>
          <w:szCs w:val="18"/>
          <w:color w:val="auto"/>
        </w:rPr>
        <w:t>Mr. Pietkiewicz did not participate in the DCP in fiscal 2017 or fiscal 2018 because the DCP was not available to legacy Linear Technology employees during that time. The following table shows the non-qualified deferred compensation activity for the NEOs during fiscal 2018:</w:t>
      </w: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Non-Qualified Deferred Compensation for Fiscal 2018</w:t>
      </w:r>
    </w:p>
    <w:p>
      <w:pPr>
        <w:spacing w:after="0" w:line="242"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840" w:type="dxa"/>
            <w:vAlign w:val="bottom"/>
            <w:shd w:val="clear" w:color="auto" w:fill="052B82"/>
          </w:tcPr>
          <w:p>
            <w:pPr>
              <w:spacing w:after="0"/>
              <w:rPr>
                <w:sz w:val="14"/>
                <w:szCs w:val="14"/>
                <w:color w:val="auto"/>
              </w:rPr>
            </w:pPr>
          </w:p>
        </w:tc>
        <w:tc>
          <w:tcPr>
            <w:tcW w:w="1960" w:type="dxa"/>
            <w:vAlign w:val="bottom"/>
            <w:shd w:val="clear" w:color="auto" w:fill="052B82"/>
          </w:tcPr>
          <w:p>
            <w:pPr>
              <w:jc w:val="center"/>
              <w:ind w:left="279"/>
              <w:spacing w:after="0"/>
              <w:rPr>
                <w:sz w:val="20"/>
                <w:szCs w:val="20"/>
                <w:color w:val="auto"/>
              </w:rPr>
            </w:pPr>
            <w:r>
              <w:rPr>
                <w:rFonts w:ascii="Arial" w:cs="Arial" w:eastAsia="Arial" w:hAnsi="Arial"/>
                <w:sz w:val="14"/>
                <w:szCs w:val="14"/>
                <w:b w:val="1"/>
                <w:bCs w:val="1"/>
                <w:color w:val="FFFFFF"/>
              </w:rPr>
              <w:t>Executive</w:t>
            </w:r>
          </w:p>
        </w:tc>
        <w:tc>
          <w:tcPr>
            <w:tcW w:w="1620" w:type="dxa"/>
            <w:vAlign w:val="bottom"/>
            <w:shd w:val="clear" w:color="auto" w:fill="052B82"/>
          </w:tcPr>
          <w:p>
            <w:pPr>
              <w:jc w:val="right"/>
              <w:ind w:right="199"/>
              <w:spacing w:after="0"/>
              <w:rPr>
                <w:sz w:val="20"/>
                <w:szCs w:val="20"/>
                <w:color w:val="auto"/>
              </w:rPr>
            </w:pPr>
            <w:r>
              <w:rPr>
                <w:rFonts w:ascii="Arial" w:cs="Arial" w:eastAsia="Arial" w:hAnsi="Arial"/>
                <w:sz w:val="14"/>
                <w:szCs w:val="14"/>
                <w:b w:val="1"/>
                <w:bCs w:val="1"/>
                <w:color w:val="FFFFFF"/>
              </w:rPr>
              <w:t>Analog Devices</w:t>
            </w:r>
          </w:p>
        </w:tc>
        <w:tc>
          <w:tcPr>
            <w:tcW w:w="13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c>
          <w:tcPr>
            <w:tcW w:w="1600" w:type="dxa"/>
            <w:vAlign w:val="bottom"/>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60"/>
        </w:trPr>
        <w:tc>
          <w:tcPr>
            <w:tcW w:w="2840" w:type="dxa"/>
            <w:vAlign w:val="bottom"/>
            <w:shd w:val="clear" w:color="auto" w:fill="052B82"/>
          </w:tcPr>
          <w:p>
            <w:pPr>
              <w:spacing w:after="0"/>
              <w:rPr>
                <w:sz w:val="13"/>
                <w:szCs w:val="13"/>
                <w:color w:val="auto"/>
              </w:rPr>
            </w:pPr>
          </w:p>
        </w:tc>
        <w:tc>
          <w:tcPr>
            <w:tcW w:w="1960" w:type="dxa"/>
            <w:vAlign w:val="bottom"/>
            <w:shd w:val="clear" w:color="auto" w:fill="052B82"/>
          </w:tcPr>
          <w:p>
            <w:pPr>
              <w:jc w:val="center"/>
              <w:ind w:left="259"/>
              <w:spacing w:after="0"/>
              <w:rPr>
                <w:sz w:val="20"/>
                <w:szCs w:val="20"/>
                <w:color w:val="auto"/>
              </w:rPr>
            </w:pPr>
            <w:r>
              <w:rPr>
                <w:rFonts w:ascii="Arial" w:cs="Arial" w:eastAsia="Arial" w:hAnsi="Arial"/>
                <w:sz w:val="14"/>
                <w:szCs w:val="14"/>
                <w:b w:val="1"/>
                <w:bCs w:val="1"/>
                <w:color w:val="FFFFFF"/>
              </w:rPr>
              <w:t>Contributions in</w:t>
            </w:r>
          </w:p>
        </w:tc>
        <w:tc>
          <w:tcPr>
            <w:tcW w:w="1620" w:type="dxa"/>
            <w:vAlign w:val="bottom"/>
            <w:shd w:val="clear" w:color="auto" w:fill="052B82"/>
          </w:tcPr>
          <w:p>
            <w:pPr>
              <w:jc w:val="right"/>
              <w:ind w:right="179"/>
              <w:spacing w:after="0"/>
              <w:rPr>
                <w:sz w:val="20"/>
                <w:szCs w:val="20"/>
                <w:color w:val="auto"/>
              </w:rPr>
            </w:pPr>
            <w:r>
              <w:rPr>
                <w:rFonts w:ascii="Arial" w:cs="Arial" w:eastAsia="Arial" w:hAnsi="Arial"/>
                <w:sz w:val="14"/>
                <w:szCs w:val="14"/>
                <w:b w:val="1"/>
                <w:bCs w:val="1"/>
                <w:color w:val="FFFFFF"/>
              </w:rPr>
              <w:t>Contributions in</w:t>
            </w:r>
          </w:p>
        </w:tc>
        <w:tc>
          <w:tcPr>
            <w:tcW w:w="13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Earnings in</w:t>
            </w:r>
          </w:p>
        </w:tc>
        <w:tc>
          <w:tcPr>
            <w:tcW w:w="1600" w:type="dxa"/>
            <w:vAlign w:val="bottom"/>
            <w:vMerge w:val="continue"/>
            <w:shd w:val="clear" w:color="auto" w:fill="052B82"/>
          </w:tcPr>
          <w:p>
            <w:pPr>
              <w:spacing w:after="0"/>
              <w:rPr>
                <w:sz w:val="13"/>
                <w:szCs w:val="13"/>
                <w:color w:val="auto"/>
              </w:rPr>
            </w:pP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Balance at Last</w:t>
            </w:r>
          </w:p>
        </w:tc>
        <w:tc>
          <w:tcPr>
            <w:tcW w:w="0" w:type="dxa"/>
            <w:vAlign w:val="bottom"/>
          </w:tcPr>
          <w:p>
            <w:pPr>
              <w:spacing w:after="0"/>
              <w:rPr>
                <w:sz w:val="1"/>
                <w:szCs w:val="1"/>
                <w:color w:val="auto"/>
              </w:rPr>
            </w:pPr>
          </w:p>
        </w:tc>
      </w:tr>
      <w:tr>
        <w:trPr>
          <w:trHeight w:val="160"/>
        </w:trPr>
        <w:tc>
          <w:tcPr>
            <w:tcW w:w="2840" w:type="dxa"/>
            <w:vAlign w:val="bottom"/>
            <w:shd w:val="clear" w:color="auto" w:fill="052B82"/>
          </w:tcPr>
          <w:p>
            <w:pPr>
              <w:spacing w:after="0"/>
              <w:rPr>
                <w:sz w:val="13"/>
                <w:szCs w:val="13"/>
                <w:color w:val="auto"/>
              </w:rPr>
            </w:pPr>
          </w:p>
        </w:tc>
        <w:tc>
          <w:tcPr>
            <w:tcW w:w="1960" w:type="dxa"/>
            <w:vAlign w:val="bottom"/>
            <w:shd w:val="clear" w:color="auto" w:fill="052B82"/>
          </w:tcPr>
          <w:p>
            <w:pPr>
              <w:jc w:val="center"/>
              <w:ind w:left="279"/>
              <w:spacing w:after="0"/>
              <w:rPr>
                <w:sz w:val="20"/>
                <w:szCs w:val="20"/>
                <w:color w:val="auto"/>
              </w:rPr>
            </w:pPr>
            <w:r>
              <w:rPr>
                <w:rFonts w:ascii="Arial" w:cs="Arial" w:eastAsia="Arial" w:hAnsi="Arial"/>
                <w:sz w:val="14"/>
                <w:szCs w:val="14"/>
                <w:b w:val="1"/>
                <w:bCs w:val="1"/>
                <w:color w:val="FFFFFF"/>
              </w:rPr>
              <w:t>Last Fiscal Year</w:t>
            </w:r>
          </w:p>
        </w:tc>
        <w:tc>
          <w:tcPr>
            <w:tcW w:w="1620" w:type="dxa"/>
            <w:vAlign w:val="bottom"/>
            <w:shd w:val="clear" w:color="auto" w:fill="052B82"/>
          </w:tcPr>
          <w:p>
            <w:pPr>
              <w:jc w:val="right"/>
              <w:ind w:right="179"/>
              <w:spacing w:after="0"/>
              <w:rPr>
                <w:sz w:val="20"/>
                <w:szCs w:val="20"/>
                <w:color w:val="auto"/>
              </w:rPr>
            </w:pPr>
            <w:r>
              <w:rPr>
                <w:rFonts w:ascii="Arial" w:cs="Arial" w:eastAsia="Arial" w:hAnsi="Arial"/>
                <w:sz w:val="14"/>
                <w:szCs w:val="14"/>
                <w:b w:val="1"/>
                <w:bCs w:val="1"/>
                <w:color w:val="FFFFFF"/>
              </w:rPr>
              <w:t>Last Fiscal Year</w:t>
            </w:r>
          </w:p>
        </w:tc>
        <w:tc>
          <w:tcPr>
            <w:tcW w:w="13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Last Fiscal</w:t>
            </w: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Withdrawals/</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Fiscal Year</w:t>
            </w:r>
          </w:p>
        </w:tc>
        <w:tc>
          <w:tcPr>
            <w:tcW w:w="0" w:type="dxa"/>
            <w:vAlign w:val="bottom"/>
          </w:tcPr>
          <w:p>
            <w:pPr>
              <w:spacing w:after="0"/>
              <w:rPr>
                <w:sz w:val="1"/>
                <w:szCs w:val="1"/>
                <w:color w:val="auto"/>
              </w:rPr>
            </w:pPr>
          </w:p>
        </w:tc>
      </w:tr>
      <w:tr>
        <w:trPr>
          <w:trHeight w:val="189"/>
        </w:trPr>
        <w:tc>
          <w:tcPr>
            <w:tcW w:w="284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960" w:type="dxa"/>
            <w:vAlign w:val="bottom"/>
            <w:shd w:val="clear" w:color="auto" w:fill="052B82"/>
          </w:tcPr>
          <w:p>
            <w:pPr>
              <w:jc w:val="center"/>
              <w:ind w:left="279"/>
              <w:spacing w:after="0"/>
              <w:rPr>
                <w:sz w:val="20"/>
                <w:szCs w:val="20"/>
                <w:color w:val="auto"/>
              </w:rPr>
            </w:pPr>
            <w:r>
              <w:rPr>
                <w:rFonts w:ascii="Arial" w:cs="Arial" w:eastAsia="Arial" w:hAnsi="Arial"/>
                <w:sz w:val="14"/>
                <w:szCs w:val="14"/>
                <w:b w:val="1"/>
                <w:bCs w:val="1"/>
                <w:color w:val="FFFFFF"/>
                <w:w w:val="93"/>
              </w:rPr>
              <w:t>($)</w:t>
            </w:r>
          </w:p>
        </w:tc>
        <w:tc>
          <w:tcPr>
            <w:tcW w:w="1620" w:type="dxa"/>
            <w:vAlign w:val="bottom"/>
            <w:shd w:val="clear" w:color="auto" w:fill="052B82"/>
          </w:tcPr>
          <w:p>
            <w:pPr>
              <w:jc w:val="right"/>
              <w:ind w:right="559"/>
              <w:spacing w:after="0"/>
              <w:rPr>
                <w:sz w:val="20"/>
                <w:szCs w:val="20"/>
                <w:color w:val="auto"/>
              </w:rPr>
            </w:pPr>
            <w:r>
              <w:rPr>
                <w:rFonts w:ascii="Arial" w:cs="Arial" w:eastAsia="Arial" w:hAnsi="Arial"/>
                <w:sz w:val="14"/>
                <w:szCs w:val="14"/>
                <w:b w:val="1"/>
                <w:bCs w:val="1"/>
                <w:color w:val="FFFFFF"/>
              </w:rPr>
              <w:t>($)(1)</w:t>
            </w:r>
          </w:p>
        </w:tc>
        <w:tc>
          <w:tcPr>
            <w:tcW w:w="13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Year ($)(2)</w:t>
            </w:r>
          </w:p>
        </w:tc>
        <w:tc>
          <w:tcPr>
            <w:tcW w:w="160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Distributions ($)</w:t>
            </w:r>
          </w:p>
        </w:tc>
        <w:tc>
          <w:tcPr>
            <w:tcW w:w="156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End ($)(3)</w:t>
            </w:r>
          </w:p>
        </w:tc>
        <w:tc>
          <w:tcPr>
            <w:tcW w:w="0" w:type="dxa"/>
            <w:vAlign w:val="bottom"/>
          </w:tcPr>
          <w:p>
            <w:pPr>
              <w:spacing w:after="0"/>
              <w:rPr>
                <w:sz w:val="1"/>
                <w:szCs w:val="1"/>
                <w:color w:val="auto"/>
              </w:rPr>
            </w:pPr>
          </w:p>
        </w:tc>
      </w:tr>
      <w:tr>
        <w:trPr>
          <w:trHeight w:val="200"/>
        </w:trPr>
        <w:tc>
          <w:tcPr>
            <w:tcW w:w="2840" w:type="dxa"/>
            <w:vAlign w:val="bottom"/>
          </w:tcPr>
          <w:p>
            <w:pPr>
              <w:ind w:left="40"/>
              <w:spacing w:after="0" w:line="201" w:lineRule="exact"/>
              <w:rPr>
                <w:sz w:val="20"/>
                <w:szCs w:val="20"/>
                <w:color w:val="auto"/>
              </w:rPr>
            </w:pPr>
            <w:r>
              <w:rPr>
                <w:rFonts w:ascii="Arial" w:cs="Arial" w:eastAsia="Arial" w:hAnsi="Arial"/>
                <w:sz w:val="18"/>
                <w:szCs w:val="18"/>
                <w:color w:val="auto"/>
              </w:rPr>
              <w:t>Vincent Roche</w:t>
            </w:r>
          </w:p>
        </w:tc>
        <w:tc>
          <w:tcPr>
            <w:tcW w:w="1960" w:type="dxa"/>
            <w:vAlign w:val="bottom"/>
          </w:tcPr>
          <w:p>
            <w:pPr>
              <w:jc w:val="right"/>
              <w:ind w:right="159"/>
              <w:spacing w:after="0" w:line="201" w:lineRule="exact"/>
              <w:rPr>
                <w:sz w:val="20"/>
                <w:szCs w:val="20"/>
                <w:color w:val="auto"/>
              </w:rPr>
            </w:pPr>
            <w:r>
              <w:rPr>
                <w:rFonts w:ascii="Arial" w:cs="Arial" w:eastAsia="Arial" w:hAnsi="Arial"/>
                <w:sz w:val="18"/>
                <w:szCs w:val="18"/>
                <w:color w:val="auto"/>
              </w:rPr>
              <w:t>3,000,709</w:t>
            </w:r>
          </w:p>
        </w:tc>
        <w:tc>
          <w:tcPr>
            <w:tcW w:w="162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6,492</w:t>
            </w:r>
          </w:p>
        </w:tc>
        <w:tc>
          <w:tcPr>
            <w:tcW w:w="130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212,175</w:t>
            </w:r>
          </w:p>
        </w:tc>
        <w:tc>
          <w:tcPr>
            <w:tcW w:w="1600" w:type="dxa"/>
            <w:vAlign w:val="bottom"/>
          </w:tcPr>
          <w:p>
            <w:pPr>
              <w:ind w:left="106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7,682,077</w:t>
            </w:r>
          </w:p>
        </w:tc>
        <w:tc>
          <w:tcPr>
            <w:tcW w:w="0" w:type="dxa"/>
            <w:vAlign w:val="bottom"/>
          </w:tcPr>
          <w:p>
            <w:pPr>
              <w:spacing w:after="0"/>
              <w:rPr>
                <w:sz w:val="1"/>
                <w:szCs w:val="1"/>
                <w:color w:val="auto"/>
              </w:rPr>
            </w:pPr>
          </w:p>
        </w:tc>
      </w:tr>
      <w:tr>
        <w:trPr>
          <w:trHeight w:val="200"/>
        </w:trPr>
        <w:tc>
          <w:tcPr>
            <w:tcW w:w="28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Prashanth Mahendra-Rajah</w:t>
            </w:r>
          </w:p>
        </w:tc>
        <w:tc>
          <w:tcPr>
            <w:tcW w:w="1960" w:type="dxa"/>
            <w:vAlign w:val="bottom"/>
            <w:shd w:val="clear" w:color="auto" w:fill="E8EDF4"/>
          </w:tcPr>
          <w:p>
            <w:pPr>
              <w:jc w:val="right"/>
              <w:ind w:right="159"/>
              <w:spacing w:after="0" w:line="201" w:lineRule="exact"/>
              <w:rPr>
                <w:sz w:val="20"/>
                <w:szCs w:val="20"/>
                <w:color w:val="auto"/>
              </w:rPr>
            </w:pPr>
            <w:r>
              <w:rPr>
                <w:rFonts w:ascii="Arial" w:cs="Arial" w:eastAsia="Arial" w:hAnsi="Arial"/>
                <w:sz w:val="18"/>
                <w:szCs w:val="18"/>
                <w:color w:val="auto"/>
              </w:rPr>
              <w:t>81,459</w:t>
            </w:r>
          </w:p>
        </w:tc>
        <w:tc>
          <w:tcPr>
            <w:tcW w:w="1620" w:type="dxa"/>
            <w:vAlign w:val="bottom"/>
            <w:shd w:val="clear" w:color="auto" w:fill="E8EDF4"/>
          </w:tcPr>
          <w:p>
            <w:pPr>
              <w:jc w:val="right"/>
              <w:ind w:right="179"/>
              <w:spacing w:after="0" w:line="201" w:lineRule="exact"/>
              <w:rPr>
                <w:sz w:val="20"/>
                <w:szCs w:val="20"/>
                <w:color w:val="auto"/>
              </w:rPr>
            </w:pPr>
            <w:r>
              <w:rPr>
                <w:rFonts w:ascii="Arial" w:cs="Arial" w:eastAsia="Arial" w:hAnsi="Arial"/>
                <w:sz w:val="18"/>
                <w:szCs w:val="18"/>
                <w:color w:val="auto"/>
              </w:rPr>
              <w:t>1,016</w:t>
            </w:r>
          </w:p>
        </w:tc>
        <w:tc>
          <w:tcPr>
            <w:tcW w:w="1300" w:type="dxa"/>
            <w:vAlign w:val="bottom"/>
            <w:shd w:val="clear" w:color="auto" w:fill="E8EDF4"/>
          </w:tcPr>
          <w:p>
            <w:pPr>
              <w:jc w:val="right"/>
              <w:ind w:right="179"/>
              <w:spacing w:after="0" w:line="201" w:lineRule="exact"/>
              <w:rPr>
                <w:sz w:val="20"/>
                <w:szCs w:val="20"/>
                <w:color w:val="auto"/>
              </w:rPr>
            </w:pPr>
            <w:r>
              <w:rPr>
                <w:rFonts w:ascii="Arial" w:cs="Arial" w:eastAsia="Arial" w:hAnsi="Arial"/>
                <w:sz w:val="18"/>
                <w:szCs w:val="18"/>
                <w:color w:val="auto"/>
              </w:rPr>
              <w:t>736</w:t>
            </w:r>
          </w:p>
        </w:tc>
        <w:tc>
          <w:tcPr>
            <w:tcW w:w="1600" w:type="dxa"/>
            <w:vAlign w:val="bottom"/>
            <w:shd w:val="clear" w:color="auto" w:fill="E8EDF4"/>
          </w:tcPr>
          <w:p>
            <w:pPr>
              <w:ind w:left="106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E8EDF4"/>
          </w:tcPr>
          <w:p>
            <w:pPr>
              <w:jc w:val="right"/>
              <w:ind w:right="179"/>
              <w:spacing w:after="0" w:line="201" w:lineRule="exact"/>
              <w:rPr>
                <w:sz w:val="20"/>
                <w:szCs w:val="20"/>
                <w:color w:val="auto"/>
              </w:rPr>
            </w:pPr>
            <w:r>
              <w:rPr>
                <w:rFonts w:ascii="Arial" w:cs="Arial" w:eastAsia="Arial" w:hAnsi="Arial"/>
                <w:sz w:val="18"/>
                <w:szCs w:val="18"/>
                <w:color w:val="auto"/>
              </w:rPr>
              <w:t>85,952</w:t>
            </w:r>
          </w:p>
        </w:tc>
        <w:tc>
          <w:tcPr>
            <w:tcW w:w="0" w:type="dxa"/>
            <w:vAlign w:val="bottom"/>
          </w:tcPr>
          <w:p>
            <w:pPr>
              <w:spacing w:after="0"/>
              <w:rPr>
                <w:sz w:val="1"/>
                <w:szCs w:val="1"/>
                <w:color w:val="auto"/>
              </w:rPr>
            </w:pPr>
          </w:p>
        </w:tc>
      </w:tr>
      <w:tr>
        <w:trPr>
          <w:trHeight w:val="200"/>
        </w:trPr>
        <w:tc>
          <w:tcPr>
            <w:tcW w:w="2840" w:type="dxa"/>
            <w:vAlign w:val="bottom"/>
          </w:tcPr>
          <w:p>
            <w:pPr>
              <w:ind w:left="40"/>
              <w:spacing w:after="0" w:line="201" w:lineRule="exact"/>
              <w:rPr>
                <w:sz w:val="20"/>
                <w:szCs w:val="20"/>
                <w:color w:val="auto"/>
              </w:rPr>
            </w:pPr>
            <w:r>
              <w:rPr>
                <w:rFonts w:ascii="Arial" w:cs="Arial" w:eastAsia="Arial" w:hAnsi="Arial"/>
                <w:sz w:val="18"/>
                <w:szCs w:val="18"/>
                <w:color w:val="auto"/>
              </w:rPr>
              <w:t>Martin Cotter</w:t>
            </w:r>
          </w:p>
        </w:tc>
        <w:tc>
          <w:tcPr>
            <w:tcW w:w="1960" w:type="dxa"/>
            <w:vAlign w:val="bottom"/>
          </w:tcPr>
          <w:p>
            <w:pPr>
              <w:jc w:val="right"/>
              <w:ind w:right="159"/>
              <w:spacing w:after="0" w:line="201" w:lineRule="exact"/>
              <w:rPr>
                <w:sz w:val="20"/>
                <w:szCs w:val="20"/>
                <w:color w:val="auto"/>
              </w:rPr>
            </w:pPr>
            <w:r>
              <w:rPr>
                <w:rFonts w:ascii="Arial" w:cs="Arial" w:eastAsia="Arial" w:hAnsi="Arial"/>
                <w:sz w:val="18"/>
                <w:szCs w:val="18"/>
                <w:color w:val="auto"/>
              </w:rPr>
              <w:t>28,722</w:t>
            </w:r>
          </w:p>
        </w:tc>
        <w:tc>
          <w:tcPr>
            <w:tcW w:w="162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2,298</w:t>
            </w:r>
          </w:p>
        </w:tc>
        <w:tc>
          <w:tcPr>
            <w:tcW w:w="130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438</w:t>
            </w:r>
          </w:p>
        </w:tc>
        <w:tc>
          <w:tcPr>
            <w:tcW w:w="1600" w:type="dxa"/>
            <w:vAlign w:val="bottom"/>
          </w:tcPr>
          <w:p>
            <w:pPr>
              <w:ind w:left="1060"/>
              <w:spacing w:after="0" w:line="201"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79"/>
              <w:spacing w:after="0" w:line="201" w:lineRule="exact"/>
              <w:rPr>
                <w:sz w:val="20"/>
                <w:szCs w:val="20"/>
                <w:color w:val="auto"/>
              </w:rPr>
            </w:pPr>
            <w:r>
              <w:rPr>
                <w:rFonts w:ascii="Arial" w:cs="Arial" w:eastAsia="Arial" w:hAnsi="Arial"/>
                <w:sz w:val="18"/>
                <w:szCs w:val="18"/>
                <w:color w:val="auto"/>
              </w:rPr>
              <w:t>31,458</w:t>
            </w:r>
          </w:p>
        </w:tc>
        <w:tc>
          <w:tcPr>
            <w:tcW w:w="0" w:type="dxa"/>
            <w:vAlign w:val="bottom"/>
          </w:tcPr>
          <w:p>
            <w:pPr>
              <w:spacing w:after="0"/>
              <w:rPr>
                <w:sz w:val="1"/>
                <w:szCs w:val="1"/>
                <w:color w:val="auto"/>
              </w:rPr>
            </w:pPr>
          </w:p>
        </w:tc>
      </w:tr>
      <w:tr>
        <w:trPr>
          <w:trHeight w:val="200"/>
        </w:trPr>
        <w:tc>
          <w:tcPr>
            <w:tcW w:w="284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John Hassett</w:t>
            </w:r>
          </w:p>
        </w:tc>
        <w:tc>
          <w:tcPr>
            <w:tcW w:w="1960" w:type="dxa"/>
            <w:vAlign w:val="bottom"/>
            <w:shd w:val="clear" w:color="auto" w:fill="E8EDF4"/>
          </w:tcPr>
          <w:p>
            <w:pPr>
              <w:jc w:val="right"/>
              <w:ind w:right="259"/>
              <w:spacing w:after="0" w:line="201" w:lineRule="exact"/>
              <w:rPr>
                <w:sz w:val="20"/>
                <w:szCs w:val="20"/>
                <w:color w:val="auto"/>
              </w:rPr>
            </w:pPr>
            <w:r>
              <w:rPr>
                <w:rFonts w:ascii="Arial" w:cs="Arial" w:eastAsia="Arial" w:hAnsi="Arial"/>
                <w:sz w:val="18"/>
                <w:szCs w:val="18"/>
                <w:color w:val="auto"/>
              </w:rPr>
              <w:t>—</w:t>
            </w:r>
          </w:p>
        </w:tc>
        <w:tc>
          <w:tcPr>
            <w:tcW w:w="1620" w:type="dxa"/>
            <w:vAlign w:val="bottom"/>
            <w:shd w:val="clear" w:color="auto" w:fill="E8EDF4"/>
          </w:tcPr>
          <w:p>
            <w:pPr>
              <w:jc w:val="right"/>
              <w:ind w:right="279"/>
              <w:spacing w:after="0" w:line="201" w:lineRule="exact"/>
              <w:rPr>
                <w:sz w:val="20"/>
                <w:szCs w:val="20"/>
                <w:color w:val="auto"/>
              </w:rPr>
            </w:pPr>
            <w:r>
              <w:rPr>
                <w:rFonts w:ascii="Arial" w:cs="Arial" w:eastAsia="Arial" w:hAnsi="Arial"/>
                <w:sz w:val="18"/>
                <w:szCs w:val="18"/>
                <w:color w:val="auto"/>
              </w:rPr>
              <w:t>—</w:t>
            </w:r>
          </w:p>
        </w:tc>
        <w:tc>
          <w:tcPr>
            <w:tcW w:w="1300" w:type="dxa"/>
            <w:vAlign w:val="bottom"/>
            <w:shd w:val="clear" w:color="auto" w:fill="E8EDF4"/>
          </w:tcPr>
          <w:p>
            <w:pPr>
              <w:jc w:val="right"/>
              <w:ind w:right="279"/>
              <w:spacing w:after="0" w:line="201" w:lineRule="exact"/>
              <w:rPr>
                <w:sz w:val="20"/>
                <w:szCs w:val="20"/>
                <w:color w:val="auto"/>
              </w:rPr>
            </w:pPr>
            <w:r>
              <w:rPr>
                <w:rFonts w:ascii="Arial" w:cs="Arial" w:eastAsia="Arial" w:hAnsi="Arial"/>
                <w:sz w:val="18"/>
                <w:szCs w:val="18"/>
                <w:color w:val="auto"/>
              </w:rPr>
              <w:t>—</w:t>
            </w:r>
          </w:p>
        </w:tc>
        <w:tc>
          <w:tcPr>
            <w:tcW w:w="1600" w:type="dxa"/>
            <w:vAlign w:val="bottom"/>
            <w:shd w:val="clear" w:color="auto" w:fill="E8EDF4"/>
          </w:tcPr>
          <w:p>
            <w:pPr>
              <w:ind w:left="1060"/>
              <w:spacing w:after="0" w:line="201" w:lineRule="exact"/>
              <w:rPr>
                <w:sz w:val="20"/>
                <w:szCs w:val="20"/>
                <w:color w:val="auto"/>
              </w:rPr>
            </w:pPr>
            <w:r>
              <w:rPr>
                <w:rFonts w:ascii="Arial" w:cs="Arial" w:eastAsia="Arial" w:hAnsi="Arial"/>
                <w:sz w:val="18"/>
                <w:szCs w:val="18"/>
                <w:color w:val="auto"/>
              </w:rPr>
              <w:t>—</w:t>
            </w:r>
          </w:p>
        </w:tc>
        <w:tc>
          <w:tcPr>
            <w:tcW w:w="1560" w:type="dxa"/>
            <w:vAlign w:val="bottom"/>
            <w:shd w:val="clear" w:color="auto" w:fill="E8EDF4"/>
          </w:tcPr>
          <w:p>
            <w:pPr>
              <w:jc w:val="right"/>
              <w:ind w:right="279"/>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84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196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600" w:type="dxa"/>
            <w:vAlign w:val="bottom"/>
          </w:tcPr>
          <w:p>
            <w:pPr>
              <w:ind w:left="10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60325</wp:posOffset>
            </wp:positionV>
            <wp:extent cx="686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05" w:lineRule="exact"/>
        <w:rPr>
          <w:sz w:val="20"/>
          <w:szCs w:val="20"/>
          <w:color w:val="auto"/>
        </w:rPr>
      </w:pPr>
    </w:p>
    <w:p>
      <w:pPr>
        <w:ind w:left="700" w:hanging="433"/>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These amounts are included in the Summary Compensation Table above in the “All Other Compensation” column.</w:t>
      </w:r>
    </w:p>
    <w:p>
      <w:pPr>
        <w:spacing w:after="0" w:line="113" w:lineRule="exact"/>
        <w:rPr>
          <w:rFonts w:ascii="Arial" w:cs="Arial" w:eastAsia="Arial" w:hAnsi="Arial"/>
          <w:sz w:val="18"/>
          <w:szCs w:val="18"/>
          <w:color w:val="auto"/>
        </w:rPr>
      </w:pPr>
    </w:p>
    <w:p>
      <w:pPr>
        <w:ind w:left="700" w:right="120" w:hanging="433"/>
        <w:spacing w:after="0" w:line="269" w:lineRule="auto"/>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These amounts are excluded from the Summary Compensation Table above in accordance with SEC regulations, as we did not pay above-market earnings on deferred compensation in fiscal 2018.</w:t>
      </w:r>
    </w:p>
    <w:p>
      <w:pPr>
        <w:spacing w:after="0" w:line="56" w:lineRule="exact"/>
        <w:rPr>
          <w:rFonts w:ascii="Arial" w:cs="Arial" w:eastAsia="Arial" w:hAnsi="Arial"/>
          <w:sz w:val="18"/>
          <w:szCs w:val="18"/>
          <w:color w:val="auto"/>
        </w:rPr>
      </w:pPr>
    </w:p>
    <w:p>
      <w:pPr>
        <w:ind w:left="700" w:right="200" w:hanging="433"/>
        <w:spacing w:after="0" w:line="269" w:lineRule="auto"/>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Of the amounts in this column, the following amounts have also been reported in the Summary Compensation Table for fiscal 2017 and 2016:</w:t>
      </w:r>
    </w:p>
    <w:p>
      <w:pPr>
        <w:spacing w:after="0" w:line="184"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060" w:type="dxa"/>
            <w:vAlign w:val="bottom"/>
            <w:vMerge w:val="restart"/>
            <w:shd w:val="clear" w:color="auto" w:fill="052B82"/>
          </w:tcPr>
          <w:p>
            <w:pPr>
              <w:ind w:left="40"/>
              <w:spacing w:after="0"/>
              <w:rPr>
                <w:sz w:val="20"/>
                <w:szCs w:val="20"/>
                <w:color w:val="auto"/>
              </w:rPr>
            </w:pPr>
            <w:r>
              <w:rPr>
                <w:rFonts w:ascii="Arial" w:cs="Arial" w:eastAsia="Arial" w:hAnsi="Arial"/>
                <w:sz w:val="14"/>
                <w:szCs w:val="14"/>
                <w:b w:val="1"/>
                <w:bCs w:val="1"/>
                <w:color w:val="FFFFFF"/>
              </w:rPr>
              <w:t>Name</w:t>
            </w:r>
          </w:p>
        </w:tc>
        <w:tc>
          <w:tcPr>
            <w:tcW w:w="2820" w:type="dxa"/>
            <w:vAlign w:val="bottom"/>
            <w:shd w:val="clear" w:color="auto" w:fill="052B82"/>
          </w:tcPr>
          <w:p>
            <w:pPr>
              <w:jc w:val="right"/>
              <w:ind w:right="296"/>
              <w:spacing w:after="0"/>
              <w:rPr>
                <w:sz w:val="20"/>
                <w:szCs w:val="20"/>
                <w:color w:val="auto"/>
              </w:rPr>
            </w:pPr>
            <w:r>
              <w:rPr>
                <w:rFonts w:ascii="Arial" w:cs="Arial" w:eastAsia="Arial" w:hAnsi="Arial"/>
                <w:sz w:val="14"/>
                <w:szCs w:val="14"/>
                <w:b w:val="1"/>
                <w:bCs w:val="1"/>
                <w:color w:val="FFFFFF"/>
              </w:rPr>
              <w:t>Previously Reported for</w:t>
            </w:r>
          </w:p>
        </w:tc>
        <w:tc>
          <w:tcPr>
            <w:tcW w:w="2400" w:type="dxa"/>
            <w:vAlign w:val="bottom"/>
            <w:shd w:val="clear" w:color="auto" w:fill="052B82"/>
          </w:tcPr>
          <w:p>
            <w:pPr>
              <w:jc w:val="right"/>
              <w:ind w:right="356"/>
              <w:spacing w:after="0"/>
              <w:rPr>
                <w:sz w:val="20"/>
                <w:szCs w:val="20"/>
                <w:color w:val="auto"/>
              </w:rPr>
            </w:pPr>
            <w:r>
              <w:rPr>
                <w:rFonts w:ascii="Arial" w:cs="Arial" w:eastAsia="Arial" w:hAnsi="Arial"/>
                <w:sz w:val="14"/>
                <w:szCs w:val="14"/>
                <w:b w:val="1"/>
                <w:bCs w:val="1"/>
                <w:color w:val="FFFFFF"/>
              </w:rPr>
              <w:t>Previously Reported for</w:t>
            </w:r>
          </w:p>
        </w:tc>
        <w:tc>
          <w:tcPr>
            <w:tcW w:w="0" w:type="dxa"/>
            <w:vAlign w:val="bottom"/>
          </w:tcPr>
          <w:p>
            <w:pPr>
              <w:spacing w:after="0"/>
              <w:rPr>
                <w:sz w:val="1"/>
                <w:szCs w:val="1"/>
                <w:color w:val="auto"/>
              </w:rPr>
            </w:pPr>
          </w:p>
        </w:tc>
      </w:tr>
      <w:tr>
        <w:trPr>
          <w:trHeight w:val="175"/>
        </w:trPr>
        <w:tc>
          <w:tcPr>
            <w:tcW w:w="3060" w:type="dxa"/>
            <w:vAlign w:val="bottom"/>
            <w:vMerge w:val="continue"/>
            <w:shd w:val="clear" w:color="auto" w:fill="052B82"/>
          </w:tcPr>
          <w:p>
            <w:pPr>
              <w:spacing w:after="0"/>
              <w:rPr>
                <w:sz w:val="15"/>
                <w:szCs w:val="15"/>
                <w:color w:val="auto"/>
              </w:rPr>
            </w:pPr>
          </w:p>
        </w:tc>
        <w:tc>
          <w:tcPr>
            <w:tcW w:w="2820" w:type="dxa"/>
            <w:vAlign w:val="bottom"/>
            <w:shd w:val="clear" w:color="auto" w:fill="052B82"/>
          </w:tcPr>
          <w:p>
            <w:pPr>
              <w:jc w:val="right"/>
              <w:ind w:right="616"/>
              <w:spacing w:after="0"/>
              <w:rPr>
                <w:sz w:val="20"/>
                <w:szCs w:val="20"/>
                <w:color w:val="auto"/>
              </w:rPr>
            </w:pPr>
            <w:r>
              <w:rPr>
                <w:rFonts w:ascii="Arial" w:cs="Arial" w:eastAsia="Arial" w:hAnsi="Arial"/>
                <w:sz w:val="14"/>
                <w:szCs w:val="14"/>
                <w:b w:val="1"/>
                <w:bCs w:val="1"/>
                <w:color w:val="FFFFFF"/>
              </w:rPr>
              <w:t>Fiscal 2017 ($)</w:t>
            </w:r>
          </w:p>
        </w:tc>
        <w:tc>
          <w:tcPr>
            <w:tcW w:w="2400" w:type="dxa"/>
            <w:vAlign w:val="bottom"/>
            <w:shd w:val="clear" w:color="auto" w:fill="052B82"/>
          </w:tcPr>
          <w:p>
            <w:pPr>
              <w:ind w:left="680"/>
              <w:spacing w:after="0"/>
              <w:rPr>
                <w:sz w:val="20"/>
                <w:szCs w:val="20"/>
                <w:color w:val="auto"/>
              </w:rPr>
            </w:pPr>
            <w:r>
              <w:rPr>
                <w:rFonts w:ascii="Arial" w:cs="Arial" w:eastAsia="Arial" w:hAnsi="Arial"/>
                <w:sz w:val="14"/>
                <w:szCs w:val="14"/>
                <w:b w:val="1"/>
                <w:bCs w:val="1"/>
                <w:color w:val="FFFFFF"/>
              </w:rPr>
              <w:t>Fiscal 2016 ($)</w:t>
            </w:r>
          </w:p>
        </w:tc>
        <w:tc>
          <w:tcPr>
            <w:tcW w:w="0" w:type="dxa"/>
            <w:vAlign w:val="bottom"/>
          </w:tcPr>
          <w:p>
            <w:pPr>
              <w:spacing w:after="0"/>
              <w:rPr>
                <w:sz w:val="1"/>
                <w:szCs w:val="1"/>
                <w:color w:val="auto"/>
              </w:rPr>
            </w:pPr>
          </w:p>
        </w:tc>
      </w:tr>
      <w:tr>
        <w:trPr>
          <w:trHeight w:val="200"/>
        </w:trPr>
        <w:tc>
          <w:tcPr>
            <w:tcW w:w="3060" w:type="dxa"/>
            <w:vAlign w:val="bottom"/>
          </w:tcPr>
          <w:p>
            <w:pPr>
              <w:ind w:left="40"/>
              <w:spacing w:after="0" w:line="201" w:lineRule="exact"/>
              <w:rPr>
                <w:sz w:val="20"/>
                <w:szCs w:val="20"/>
                <w:color w:val="auto"/>
              </w:rPr>
            </w:pPr>
            <w:r>
              <w:rPr>
                <w:rFonts w:ascii="Arial" w:cs="Arial" w:eastAsia="Arial" w:hAnsi="Arial"/>
                <w:sz w:val="18"/>
                <w:szCs w:val="18"/>
                <w:color w:val="auto"/>
              </w:rPr>
              <w:t>Vincent Roche</w:t>
            </w:r>
          </w:p>
        </w:tc>
        <w:tc>
          <w:tcPr>
            <w:tcW w:w="2820" w:type="dxa"/>
            <w:vAlign w:val="bottom"/>
          </w:tcPr>
          <w:p>
            <w:pPr>
              <w:jc w:val="right"/>
              <w:ind w:right="296"/>
              <w:spacing w:after="0" w:line="201" w:lineRule="exact"/>
              <w:rPr>
                <w:sz w:val="20"/>
                <w:szCs w:val="20"/>
                <w:color w:val="auto"/>
              </w:rPr>
            </w:pPr>
            <w:r>
              <w:rPr>
                <w:rFonts w:ascii="Arial" w:cs="Arial" w:eastAsia="Arial" w:hAnsi="Arial"/>
                <w:sz w:val="18"/>
                <w:szCs w:val="18"/>
                <w:color w:val="auto"/>
              </w:rPr>
              <w:t>1,885,842</w:t>
            </w:r>
          </w:p>
        </w:tc>
        <w:tc>
          <w:tcPr>
            <w:tcW w:w="2400" w:type="dxa"/>
            <w:vAlign w:val="bottom"/>
          </w:tcPr>
          <w:p>
            <w:pPr>
              <w:jc w:val="right"/>
              <w:ind w:right="356"/>
              <w:spacing w:after="0" w:line="201" w:lineRule="exact"/>
              <w:rPr>
                <w:sz w:val="20"/>
                <w:szCs w:val="20"/>
                <w:color w:val="auto"/>
              </w:rPr>
            </w:pPr>
            <w:r>
              <w:rPr>
                <w:rFonts w:ascii="Arial" w:cs="Arial" w:eastAsia="Arial" w:hAnsi="Arial"/>
                <w:sz w:val="18"/>
                <w:szCs w:val="18"/>
                <w:color w:val="auto"/>
              </w:rPr>
              <w:t>72,776</w:t>
            </w:r>
          </w:p>
        </w:tc>
        <w:tc>
          <w:tcPr>
            <w:tcW w:w="0" w:type="dxa"/>
            <w:vAlign w:val="bottom"/>
          </w:tcPr>
          <w:p>
            <w:pPr>
              <w:spacing w:after="0"/>
              <w:rPr>
                <w:sz w:val="1"/>
                <w:szCs w:val="1"/>
                <w:color w:val="auto"/>
              </w:rPr>
            </w:pPr>
          </w:p>
        </w:tc>
      </w:tr>
      <w:tr>
        <w:trPr>
          <w:trHeight w:val="200"/>
        </w:trPr>
        <w:tc>
          <w:tcPr>
            <w:tcW w:w="30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Prashanth Mahendra-Rajah</w:t>
            </w:r>
          </w:p>
        </w:tc>
        <w:tc>
          <w:tcPr>
            <w:tcW w:w="2820" w:type="dxa"/>
            <w:vAlign w:val="bottom"/>
            <w:shd w:val="clear" w:color="auto" w:fill="E8EDF4"/>
          </w:tcPr>
          <w:p>
            <w:pPr>
              <w:jc w:val="right"/>
              <w:ind w:right="296"/>
              <w:spacing w:after="0" w:line="201" w:lineRule="exact"/>
              <w:rPr>
                <w:sz w:val="20"/>
                <w:szCs w:val="20"/>
                <w:color w:val="auto"/>
              </w:rPr>
            </w:pPr>
            <w:r>
              <w:rPr>
                <w:rFonts w:ascii="Arial" w:cs="Arial" w:eastAsia="Arial" w:hAnsi="Arial"/>
                <w:sz w:val="18"/>
                <w:szCs w:val="18"/>
                <w:color w:val="auto"/>
              </w:rPr>
              <w:t>2,741</w:t>
            </w:r>
          </w:p>
        </w:tc>
        <w:tc>
          <w:tcPr>
            <w:tcW w:w="2400" w:type="dxa"/>
            <w:vAlign w:val="bottom"/>
            <w:shd w:val="clear" w:color="auto" w:fill="E8EDF4"/>
          </w:tcPr>
          <w:p>
            <w:pPr>
              <w:ind w:left="1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060" w:type="dxa"/>
            <w:vAlign w:val="bottom"/>
          </w:tcPr>
          <w:p>
            <w:pPr>
              <w:ind w:left="40"/>
              <w:spacing w:after="0" w:line="201" w:lineRule="exact"/>
              <w:rPr>
                <w:sz w:val="20"/>
                <w:szCs w:val="20"/>
                <w:color w:val="auto"/>
              </w:rPr>
            </w:pPr>
            <w:r>
              <w:rPr>
                <w:rFonts w:ascii="Arial" w:cs="Arial" w:eastAsia="Arial" w:hAnsi="Arial"/>
                <w:sz w:val="18"/>
                <w:szCs w:val="18"/>
                <w:color w:val="auto"/>
              </w:rPr>
              <w:t>Martin Cotter</w:t>
            </w:r>
          </w:p>
        </w:tc>
        <w:tc>
          <w:tcPr>
            <w:tcW w:w="2820" w:type="dxa"/>
            <w:vAlign w:val="bottom"/>
          </w:tcPr>
          <w:p>
            <w:pPr>
              <w:jc w:val="right"/>
              <w:ind w:right="376"/>
              <w:spacing w:after="0" w:line="201" w:lineRule="exact"/>
              <w:rPr>
                <w:sz w:val="20"/>
                <w:szCs w:val="20"/>
                <w:color w:val="auto"/>
              </w:rPr>
            </w:pPr>
            <w:r>
              <w:rPr>
                <w:rFonts w:ascii="Arial" w:cs="Arial" w:eastAsia="Arial" w:hAnsi="Arial"/>
                <w:sz w:val="18"/>
                <w:szCs w:val="18"/>
                <w:color w:val="auto"/>
              </w:rPr>
              <w:t>—</w:t>
            </w:r>
          </w:p>
        </w:tc>
        <w:tc>
          <w:tcPr>
            <w:tcW w:w="2400" w:type="dxa"/>
            <w:vAlign w:val="bottom"/>
          </w:tcPr>
          <w:p>
            <w:pPr>
              <w:ind w:left="1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06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John Hassett</w:t>
            </w:r>
          </w:p>
        </w:tc>
        <w:tc>
          <w:tcPr>
            <w:tcW w:w="2820" w:type="dxa"/>
            <w:vAlign w:val="bottom"/>
            <w:shd w:val="clear" w:color="auto" w:fill="E8EDF4"/>
          </w:tcPr>
          <w:p>
            <w:pPr>
              <w:jc w:val="right"/>
              <w:ind w:right="376"/>
              <w:spacing w:after="0" w:line="201" w:lineRule="exact"/>
              <w:rPr>
                <w:sz w:val="20"/>
                <w:szCs w:val="20"/>
                <w:color w:val="auto"/>
              </w:rPr>
            </w:pPr>
            <w:r>
              <w:rPr>
                <w:rFonts w:ascii="Arial" w:cs="Arial" w:eastAsia="Arial" w:hAnsi="Arial"/>
                <w:sz w:val="18"/>
                <w:szCs w:val="18"/>
                <w:color w:val="auto"/>
              </w:rPr>
              <w:t>—</w:t>
            </w:r>
          </w:p>
        </w:tc>
        <w:tc>
          <w:tcPr>
            <w:tcW w:w="2400" w:type="dxa"/>
            <w:vAlign w:val="bottom"/>
            <w:shd w:val="clear" w:color="auto" w:fill="E8EDF4"/>
          </w:tcPr>
          <w:p>
            <w:pPr>
              <w:ind w:left="1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06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2820" w:type="dxa"/>
            <w:vAlign w:val="bottom"/>
          </w:tcPr>
          <w:p>
            <w:pPr>
              <w:jc w:val="right"/>
              <w:ind w:right="376"/>
              <w:spacing w:after="0"/>
              <w:rPr>
                <w:sz w:val="20"/>
                <w:szCs w:val="20"/>
                <w:color w:val="auto"/>
              </w:rPr>
            </w:pPr>
            <w:r>
              <w:rPr>
                <w:rFonts w:ascii="Arial" w:cs="Arial" w:eastAsia="Arial" w:hAnsi="Arial"/>
                <w:sz w:val="18"/>
                <w:szCs w:val="18"/>
                <w:color w:val="auto"/>
              </w:rPr>
              <w:t>—</w:t>
            </w:r>
          </w:p>
        </w:tc>
        <w:tc>
          <w:tcPr>
            <w:tcW w:w="240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CHANGE IN CONTROL BENEFITS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Change in Control Retention Agreements</w:t>
      </w:r>
    </w:p>
    <w:p>
      <w:pPr>
        <w:spacing w:after="0" w:line="102" w:lineRule="exact"/>
        <w:rPr>
          <w:sz w:val="20"/>
          <w:szCs w:val="20"/>
          <w:color w:val="auto"/>
        </w:rPr>
      </w:pPr>
    </w:p>
    <w:p>
      <w:pPr>
        <w:ind w:left="260" w:right="280" w:firstLine="435"/>
        <w:spacing w:after="0" w:line="269" w:lineRule="auto"/>
        <w:rPr>
          <w:sz w:val="20"/>
          <w:szCs w:val="20"/>
          <w:color w:val="auto"/>
        </w:rPr>
      </w:pPr>
      <w:r>
        <w:rPr>
          <w:rFonts w:ascii="Arial" w:cs="Arial" w:eastAsia="Arial" w:hAnsi="Arial"/>
          <w:sz w:val="18"/>
          <w:szCs w:val="18"/>
          <w:color w:val="auto"/>
        </w:rPr>
        <w:t>We have entered into change in control retention agreements with each of our executive officers and other key employees. These agreements provide for severance benefits if any of the following occurs:</w:t>
      </w:r>
    </w:p>
    <w:p>
      <w:pPr>
        <w:spacing w:after="0" w:line="57" w:lineRule="exact"/>
        <w:rPr>
          <w:sz w:val="20"/>
          <w:szCs w:val="20"/>
          <w:color w:val="auto"/>
        </w:rPr>
      </w:pPr>
    </w:p>
    <w:p>
      <w:pPr>
        <w:ind w:left="1120" w:right="120" w:hanging="319"/>
        <w:spacing w:after="0" w:line="250"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74" w:lineRule="exact"/>
        <w:rPr>
          <w:rFonts w:ascii="Arial" w:cs="Arial" w:eastAsia="Arial" w:hAnsi="Arial"/>
          <w:sz w:val="18"/>
          <w:szCs w:val="18"/>
          <w:color w:val="auto"/>
        </w:rPr>
      </w:pPr>
    </w:p>
    <w:p>
      <w:pPr>
        <w:ind w:left="1120" w:right="380" w:hanging="319"/>
        <w:spacing w:after="0" w:line="269"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within 24 months after a change in control that was approved by our Board of Directors, the employee terminates his or her employment for “good reason” (as defined in the agreement); or</w:t>
      </w:r>
    </w:p>
    <w:p>
      <w:pPr>
        <w:spacing w:after="0" w:line="56" w:lineRule="exact"/>
        <w:rPr>
          <w:rFonts w:ascii="Arial" w:cs="Arial" w:eastAsia="Arial" w:hAnsi="Arial"/>
          <w:sz w:val="18"/>
          <w:szCs w:val="18"/>
          <w:color w:val="auto"/>
        </w:rPr>
      </w:pPr>
    </w:p>
    <w:p>
      <w:pPr>
        <w:ind w:left="1120" w:right="180" w:hanging="319"/>
        <w:spacing w:after="0" w:line="250"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within 12 months after a change in control that was not approved by our Board of Directors, we or the employee terminate the employee’s employment with us for a reason other than “cause” (as defined in the agreement) or the employee’s death or disability.</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our change in control retention agreements, a “change in control” occurs when:</w:t>
      </w:r>
    </w:p>
    <w:p>
      <w:pPr>
        <w:spacing w:after="0" w:line="113" w:lineRule="exact"/>
        <w:rPr>
          <w:sz w:val="20"/>
          <w:szCs w:val="20"/>
          <w:color w:val="auto"/>
        </w:rPr>
      </w:pPr>
    </w:p>
    <w:p>
      <w:pPr>
        <w:ind w:left="1120" w:hanging="319"/>
        <w:spacing w:after="0"/>
        <w:tabs>
          <w:tab w:leader="none" w:pos="11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person or entity becomes the beneficial owner of 30% or more of the combined voting power of our outstanding securities;</w:t>
      </w:r>
    </w:p>
    <w:p>
      <w:pPr>
        <w:spacing w:after="0" w:line="124" w:lineRule="exact"/>
        <w:rPr>
          <w:rFonts w:ascii="Arial" w:cs="Arial" w:eastAsia="Arial" w:hAnsi="Arial"/>
          <w:sz w:val="17"/>
          <w:szCs w:val="17"/>
          <w:color w:val="auto"/>
        </w:rPr>
      </w:pPr>
    </w:p>
    <w:p>
      <w:pPr>
        <w:ind w:left="1120" w:hanging="319"/>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shareholders approve specified mergers of ADI with another entity; or</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shareholders approve a plan of liquidation or sale of all, or substantially all, of ADI’s assets.</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63</w:t>
      </w:r>
    </w:p>
    <w:p>
      <w:pPr>
        <w:sectPr>
          <w:pgSz w:w="11900" w:h="16838" w:orient="portrait"/>
          <w:cols w:equalWidth="0" w:num="1">
            <w:col w:w="11160"/>
          </w:cols>
          <w:pgMar w:left="240" w:top="453"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60" w:firstLine="435"/>
        <w:spacing w:after="0" w:line="269" w:lineRule="auto"/>
        <w:rPr>
          <w:sz w:val="20"/>
          <w:szCs w:val="20"/>
          <w:color w:val="auto"/>
        </w:rPr>
      </w:pPr>
      <w:r>
        <w:rPr>
          <w:rFonts w:ascii="Arial" w:cs="Arial" w:eastAsia="Arial" w:hAnsi="Arial"/>
          <w:sz w:val="18"/>
          <w:szCs w:val="18"/>
          <w:color w:val="auto"/>
        </w:rPr>
        <w:t>These agreements provide for the following severance benefits in the event of termination following a change in control approved by the Board of Directors:</w:t>
      </w:r>
    </w:p>
    <w:p>
      <w:pPr>
        <w:spacing w:after="0" w:line="57" w:lineRule="exact"/>
        <w:rPr>
          <w:sz w:val="20"/>
          <w:szCs w:val="20"/>
          <w:color w:val="auto"/>
        </w:rPr>
      </w:pPr>
    </w:p>
    <w:p>
      <w:pPr>
        <w:ind w:left="1120" w:right="20" w:hanging="319"/>
        <w:spacing w:after="0" w:line="241"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82" w:lineRule="exact"/>
        <w:rPr>
          <w:rFonts w:ascii="Arial" w:cs="Arial" w:eastAsia="Arial" w:hAnsi="Arial"/>
          <w:sz w:val="18"/>
          <w:szCs w:val="18"/>
          <w:color w:val="auto"/>
        </w:rPr>
      </w:pPr>
    </w:p>
    <w:p>
      <w:pPr>
        <w:ind w:left="1120" w:right="260" w:hanging="319"/>
        <w:spacing w:after="0" w:line="244"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79" w:lineRule="exact"/>
        <w:rPr>
          <w:rFonts w:ascii="Arial" w:cs="Arial" w:eastAsia="Arial" w:hAnsi="Arial"/>
          <w:sz w:val="18"/>
          <w:szCs w:val="18"/>
          <w:color w:val="auto"/>
        </w:rPr>
      </w:pPr>
    </w:p>
    <w:p>
      <w:pPr>
        <w:ind w:left="1120" w:hanging="319"/>
        <w:spacing w:after="0"/>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continuation of life, disability, dental, accident and group health insurance benefits for a period of 24 months.</w:t>
      </w:r>
    </w:p>
    <w:p>
      <w:pPr>
        <w:spacing w:after="0" w:line="207" w:lineRule="exact"/>
        <w:rPr>
          <w:sz w:val="20"/>
          <w:szCs w:val="20"/>
          <w:color w:val="auto"/>
        </w:rPr>
      </w:pPr>
    </w:p>
    <w:p>
      <w:pPr>
        <w:ind w:left="260" w:firstLine="435"/>
        <w:spacing w:after="0" w:line="239" w:lineRule="auto"/>
        <w:rPr>
          <w:sz w:val="20"/>
          <w:szCs w:val="20"/>
          <w:color w:val="auto"/>
        </w:rPr>
      </w:pPr>
      <w:r>
        <w:rPr>
          <w:rFonts w:ascii="Arial" w:cs="Arial" w:eastAsia="Arial" w:hAnsi="Arial"/>
          <w:sz w:val="18"/>
          <w:szCs w:val="18"/>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178" w:lineRule="exact"/>
        <w:rPr>
          <w:sz w:val="20"/>
          <w:szCs w:val="20"/>
          <w:color w:val="auto"/>
        </w:rPr>
      </w:pPr>
    </w:p>
    <w:p>
      <w:pPr>
        <w:ind w:left="260" w:right="220" w:firstLine="435"/>
        <w:spacing w:after="0" w:line="244" w:lineRule="auto"/>
        <w:rPr>
          <w:sz w:val="20"/>
          <w:szCs w:val="20"/>
          <w:color w:val="auto"/>
        </w:rPr>
      </w:pPr>
      <w:r>
        <w:rPr>
          <w:rFonts w:ascii="Arial" w:cs="Arial" w:eastAsia="Arial" w:hAnsi="Arial"/>
          <w:sz w:val="18"/>
          <w:szCs w:val="18"/>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173" w:lineRule="exact"/>
        <w:rPr>
          <w:sz w:val="20"/>
          <w:szCs w:val="20"/>
          <w:color w:val="auto"/>
        </w:rPr>
      </w:pPr>
    </w:p>
    <w:p>
      <w:pPr>
        <w:ind w:left="260" w:right="180" w:firstLine="435"/>
        <w:spacing w:after="0" w:line="239" w:lineRule="auto"/>
        <w:rPr>
          <w:sz w:val="20"/>
          <w:szCs w:val="20"/>
          <w:color w:val="auto"/>
        </w:rPr>
      </w:pPr>
      <w:r>
        <w:rPr>
          <w:rFonts w:ascii="Arial" w:cs="Arial" w:eastAsia="Arial" w:hAnsi="Arial"/>
          <w:sz w:val="18"/>
          <w:szCs w:val="18"/>
          <w:color w:val="auto"/>
        </w:rPr>
        <w:t>Mr. Pietkiewicz’s Analog Devices Change in Control Retention Agreement also provides that if a termination of his employment occurs under circumstances that would entitle him to receive severance benefits under such agreement as well as severance benefits under his Linear Technology Corporation Change of Control Severance Agreement (described below), then he is entitled to receive the greater of the severance benefits provided for in the Analog Devices Change in Control Retention Agreement and any similar severance benefits (accrued compensation, base salary, cash bonuses and insurance benefits) of the Linear Technology Corporation Change in Control Severance Agreement, as applicable.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Mr. Pietkiewicz’s Linear Technology Corporation Change in Control Severance Agreement</w:t>
      </w:r>
    </w:p>
    <w:p>
      <w:pPr>
        <w:spacing w:after="0" w:line="102" w:lineRule="exact"/>
        <w:rPr>
          <w:sz w:val="20"/>
          <w:szCs w:val="20"/>
          <w:color w:val="auto"/>
        </w:rPr>
      </w:pPr>
    </w:p>
    <w:p>
      <w:pPr>
        <w:ind w:left="260" w:right="120" w:firstLine="435"/>
        <w:spacing w:after="0" w:line="259" w:lineRule="auto"/>
        <w:rPr>
          <w:sz w:val="20"/>
          <w:szCs w:val="20"/>
          <w:color w:val="auto"/>
        </w:rPr>
      </w:pPr>
      <w:r>
        <w:rPr>
          <w:rFonts w:ascii="Arial" w:cs="Arial" w:eastAsia="Arial" w:hAnsi="Arial"/>
          <w:sz w:val="17"/>
          <w:szCs w:val="17"/>
          <w:color w:val="auto"/>
        </w:rPr>
        <w:t>Mr. Pietkiewicz is also party to a Linear Technology Corporation Change in Control Agreement, which provides that, if the Company terminates his employment without “cause” (as defined in the agreement) or he terminates his employment for “good reason” (also as defined in the agreement) and, in either case, such termination occurs on or before March 10, 2019 (the second anniversary of Linear Technology’s change in control), then, subject to Mr. Pietkiewicz signing and not revoking a separation agreement and mutual release of claims and his continued compliance with the terms of his confidential information and invention assignment agreement, he will receive:</w:t>
      </w:r>
    </w:p>
    <w:p>
      <w:pPr>
        <w:spacing w:after="0" w:line="67" w:lineRule="exact"/>
        <w:rPr>
          <w:sz w:val="20"/>
          <w:szCs w:val="20"/>
          <w:color w:val="auto"/>
        </w:rPr>
      </w:pPr>
    </w:p>
    <w:p>
      <w:pPr>
        <w:ind w:left="1120" w:right="200" w:hanging="319"/>
        <w:spacing w:after="0" w:line="250"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lump sum payment (less applicable withholding taxes) equal to 100% of Mr. Pietkiewicz’s annual base salary as in effect immediately prior to his termination date or, if greater, at the level in effect immediately prior to the change of control of Linear Technology;</w:t>
      </w:r>
    </w:p>
    <w:p>
      <w:pPr>
        <w:spacing w:after="0" w:line="74" w:lineRule="exact"/>
        <w:rPr>
          <w:rFonts w:ascii="Arial" w:cs="Arial" w:eastAsia="Arial" w:hAnsi="Arial"/>
          <w:sz w:val="18"/>
          <w:szCs w:val="18"/>
          <w:color w:val="auto"/>
        </w:rPr>
      </w:pPr>
    </w:p>
    <w:p>
      <w:pPr>
        <w:jc w:val="both"/>
        <w:ind w:left="1120" w:right="180" w:hanging="319"/>
        <w:spacing w:after="0" w:line="250"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lump sum payment (less applicable withholding taxes) equal to 100% of Mr. Pietkiewicz’s bonus amount, which is generally defined as the annualized average of the bonuses paid to Mr. Pietkiewicz over two years of completed bonus periods prior to his termination (or prior to the</w:t>
      </w:r>
    </w:p>
    <w:p>
      <w:pPr>
        <w:spacing w:after="0" w:line="129" w:lineRule="exact"/>
        <w:rPr>
          <w:sz w:val="20"/>
          <w:szCs w:val="20"/>
          <w:color w:val="auto"/>
        </w:rPr>
      </w:pPr>
    </w:p>
    <w:p>
      <w:pPr>
        <w:ind w:left="660" w:hanging="393"/>
        <w:spacing w:after="0"/>
        <w:tabs>
          <w:tab w:leader="none" w:pos="660" w:val="left"/>
        </w:tabs>
        <w:numPr>
          <w:ilvl w:val="0"/>
          <w:numId w:val="109"/>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4"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40" w:right="260"/>
        <w:spacing w:after="0" w:line="244" w:lineRule="auto"/>
        <w:rPr>
          <w:sz w:val="20"/>
          <w:szCs w:val="20"/>
          <w:color w:val="auto"/>
        </w:rPr>
      </w:pPr>
      <w:r>
        <w:rPr>
          <w:rFonts w:ascii="Arial" w:cs="Arial" w:eastAsia="Arial" w:hAnsi="Arial"/>
          <w:sz w:val="18"/>
          <w:szCs w:val="18"/>
          <w:color w:val="auto"/>
        </w:rPr>
        <w:t>Linear Technology change of control, if a higher average), or if Mr. Pietkiewicz has held his current position for less than the duration of those bonus periods, then the annualized average of the bonuses paid to Mr. Pietkiewicz for those bonus periods during which he held that position actually completed prior to his termination (or prior to the Linear Technology change of control, if a higher average);</w:t>
      </w:r>
    </w:p>
    <w:p>
      <w:pPr>
        <w:spacing w:after="0" w:line="79" w:lineRule="exact"/>
        <w:rPr>
          <w:sz w:val="20"/>
          <w:szCs w:val="20"/>
          <w:color w:val="auto"/>
        </w:rPr>
      </w:pPr>
    </w:p>
    <w:p>
      <w:pPr>
        <w:ind w:left="1120" w:right="20" w:hanging="319"/>
        <w:spacing w:after="0" w:line="269"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Accelerated vesting of 75% of Mr. Pietkiewicz’s then-unvested equity awards that were assumed by the Company in connection with the acquisition of Linear Technology; and</w:t>
      </w:r>
    </w:p>
    <w:p>
      <w:pPr>
        <w:spacing w:after="0" w:line="56" w:lineRule="exact"/>
        <w:rPr>
          <w:rFonts w:ascii="Arial" w:cs="Arial" w:eastAsia="Arial" w:hAnsi="Arial"/>
          <w:sz w:val="18"/>
          <w:szCs w:val="18"/>
          <w:color w:val="auto"/>
        </w:rPr>
      </w:pPr>
    </w:p>
    <w:p>
      <w:pPr>
        <w:ind w:left="1120" w:right="420" w:hanging="319"/>
        <w:spacing w:after="0" w:line="269"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Reimbursement of Mr. Pietkiewicz’s COBRA premiums for himself and his eligible dependents for a maximum period of 12 months, if he elects continuation coverage pursuant to COBRA.</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2" w:lineRule="exact"/>
        <w:rPr>
          <w:sz w:val="20"/>
          <w:szCs w:val="20"/>
          <w:color w:val="auto"/>
        </w:rPr>
      </w:pPr>
    </w:p>
    <w:p>
      <w:pPr>
        <w:ind w:left="260" w:right="40" w:firstLine="435"/>
        <w:spacing w:after="0" w:line="237" w:lineRule="auto"/>
        <w:rPr>
          <w:sz w:val="20"/>
          <w:szCs w:val="20"/>
          <w:color w:val="auto"/>
        </w:rPr>
      </w:pPr>
      <w:r>
        <w:rPr>
          <w:rFonts w:ascii="Arial" w:cs="Arial" w:eastAsia="Arial" w:hAnsi="Arial"/>
          <w:sz w:val="18"/>
          <w:szCs w:val="18"/>
          <w:color w:val="auto"/>
        </w:rPr>
        <w:t>Payments upon a change in control for our NEOs are calculated based upon the change-in-control retention agreements described above under “Change in Control Benefits—Change in Control Retention Agreements” or “Change in Control Benefits—Mr. Pietkiewicz’s Linear Technology Corporation Change in Control Severance Agreement.” Under our 2006 Stock Incentive Plan, in the event of a change in control, employees who have outstanding and unvested awards under our 2006 Stock Incentive Plan, including our NEOs, if they remain employed by ADI, would have one-half of the shares of common stock subject to their then-outstanding unvested options accelerate and become immediately exercisable and one-half of their unvested time- and performance-based RSUs would vest. The remaining one-half of the unvested options and time- and performance-based RSUs would continue to vest in accordance with the original vesting schedules, and any remaining unvested options or time- and performance-based RSUs would vest if, on or prior to the first anniversary of the change in control, his or her employment is terminated without cause or for good reason (as defined in the plan).</w:t>
      </w:r>
    </w:p>
    <w:p>
      <w:pPr>
        <w:spacing w:after="0" w:line="176" w:lineRule="exact"/>
        <w:rPr>
          <w:sz w:val="20"/>
          <w:szCs w:val="20"/>
          <w:color w:val="auto"/>
        </w:rPr>
      </w:pPr>
    </w:p>
    <w:p>
      <w:pPr>
        <w:ind w:left="260" w:right="40" w:firstLine="435"/>
        <w:spacing w:after="0" w:line="239" w:lineRule="auto"/>
        <w:rPr>
          <w:sz w:val="20"/>
          <w:szCs w:val="20"/>
          <w:color w:val="auto"/>
        </w:rPr>
      </w:pPr>
      <w:r>
        <w:rPr>
          <w:rFonts w:ascii="Arial" w:cs="Arial" w:eastAsia="Arial" w:hAnsi="Arial"/>
          <w:sz w:val="18"/>
          <w:szCs w:val="18"/>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1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65</w:t>
      </w:r>
    </w:p>
    <w:p>
      <w:pPr>
        <w:sectPr>
          <w:pgSz w:w="11900" w:h="16838" w:orient="portrait"/>
          <w:cols w:equalWidth="0" w:num="1">
            <w:col w:w="11160"/>
          </w:cols>
          <w:pgMar w:left="240" w:top="453"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20" w:firstLine="435"/>
        <w:spacing w:after="0" w:line="238" w:lineRule="auto"/>
        <w:rPr>
          <w:sz w:val="20"/>
          <w:szCs w:val="20"/>
          <w:color w:val="auto"/>
        </w:rPr>
      </w:pPr>
      <w:r>
        <w:rPr>
          <w:rFonts w:ascii="Arial" w:cs="Arial" w:eastAsia="Arial" w:hAnsi="Arial"/>
          <w:sz w:val="18"/>
          <w:szCs w:val="18"/>
          <w:color w:val="auto"/>
        </w:rPr>
        <w:t>The following tables quantify the amounts that would be payable to the NEOs named in the Summary Compensation Table upon termination of their employment. The amounts shown assume that the terminations were effective on the last day of our fiscal year, or November 3, 2018.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November 3, 2018. The actual amounts that would be paid out would depend on which options were exercised and, therefore, can only be determined at the time of the executive officer’s termination of employment.</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185"/>
        </w:trPr>
        <w:tc>
          <w:tcPr>
            <w:tcW w:w="4140" w:type="dxa"/>
            <w:vAlign w:val="bottom"/>
            <w:shd w:val="clear" w:color="auto" w:fill="052B82"/>
          </w:tcPr>
          <w:p>
            <w:pPr>
              <w:spacing w:after="0"/>
              <w:rPr>
                <w:sz w:val="16"/>
                <w:szCs w:val="16"/>
                <w:color w:val="auto"/>
              </w:rPr>
            </w:pPr>
          </w:p>
        </w:tc>
        <w:tc>
          <w:tcPr>
            <w:tcW w:w="20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720" w:type="dxa"/>
            <w:vAlign w:val="bottom"/>
            <w:shd w:val="clear" w:color="auto" w:fill="052B82"/>
          </w:tcPr>
          <w:p>
            <w:pPr>
              <w:spacing w:after="0"/>
              <w:rPr>
                <w:sz w:val="16"/>
                <w:szCs w:val="16"/>
                <w:color w:val="auto"/>
              </w:rPr>
            </w:pPr>
          </w:p>
        </w:tc>
        <w:tc>
          <w:tcPr>
            <w:tcW w:w="26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820" w:type="dxa"/>
            <w:vAlign w:val="bottom"/>
            <w:shd w:val="clear" w:color="auto" w:fill="052B82"/>
          </w:tcPr>
          <w:p>
            <w:pPr>
              <w:spacing w:after="0"/>
              <w:rPr>
                <w:sz w:val="16"/>
                <w:szCs w:val="16"/>
                <w:color w:val="auto"/>
              </w:rPr>
            </w:pPr>
          </w:p>
        </w:tc>
        <w:tc>
          <w:tcPr>
            <w:tcW w:w="240" w:type="dxa"/>
            <w:vAlign w:val="bottom"/>
            <w:shd w:val="clear" w:color="auto" w:fill="052B82"/>
          </w:tcPr>
          <w:p>
            <w:pPr>
              <w:spacing w:after="0"/>
              <w:rPr>
                <w:sz w:val="16"/>
                <w:szCs w:val="16"/>
                <w:color w:val="auto"/>
              </w:rPr>
            </w:pPr>
          </w:p>
        </w:tc>
        <w:tc>
          <w:tcPr>
            <w:tcW w:w="160" w:type="dxa"/>
            <w:vAlign w:val="bottom"/>
            <w:shd w:val="clear" w:color="auto" w:fill="052B82"/>
          </w:tcPr>
          <w:p>
            <w:pPr>
              <w:spacing w:after="0"/>
              <w:rPr>
                <w:sz w:val="16"/>
                <w:szCs w:val="16"/>
                <w:color w:val="auto"/>
              </w:rPr>
            </w:pPr>
          </w:p>
        </w:tc>
        <w:tc>
          <w:tcPr>
            <w:tcW w:w="740" w:type="dxa"/>
            <w:vAlign w:val="bottom"/>
            <w:shd w:val="clear" w:color="auto" w:fill="052B82"/>
          </w:tcPr>
          <w:p>
            <w:pPr>
              <w:spacing w:after="0"/>
              <w:rPr>
                <w:sz w:val="16"/>
                <w:szCs w:val="16"/>
                <w:color w:val="auto"/>
              </w:rPr>
            </w:pPr>
          </w:p>
        </w:tc>
        <w:tc>
          <w:tcPr>
            <w:tcW w:w="260" w:type="dxa"/>
            <w:vAlign w:val="bottom"/>
            <w:shd w:val="clear" w:color="auto" w:fill="052B82"/>
          </w:tcPr>
          <w:p>
            <w:pPr>
              <w:spacing w:after="0"/>
              <w:rPr>
                <w:sz w:val="16"/>
                <w:szCs w:val="16"/>
                <w:color w:val="auto"/>
              </w:rPr>
            </w:pPr>
          </w:p>
        </w:tc>
        <w:tc>
          <w:tcPr>
            <w:tcW w:w="120" w:type="dxa"/>
            <w:vAlign w:val="bottom"/>
            <w:shd w:val="clear" w:color="auto" w:fill="052B82"/>
          </w:tcPr>
          <w:p>
            <w:pPr>
              <w:spacing w:after="0"/>
              <w:rPr>
                <w:sz w:val="16"/>
                <w:szCs w:val="16"/>
                <w:color w:val="auto"/>
              </w:rPr>
            </w:pPr>
          </w:p>
        </w:tc>
        <w:tc>
          <w:tcPr>
            <w:tcW w:w="780" w:type="dxa"/>
            <w:vAlign w:val="bottom"/>
            <w:shd w:val="clear" w:color="auto" w:fill="052B82"/>
          </w:tcPr>
          <w:p>
            <w:pPr>
              <w:spacing w:after="0"/>
              <w:rPr>
                <w:sz w:val="16"/>
                <w:szCs w:val="16"/>
                <w:color w:val="auto"/>
              </w:rPr>
            </w:pPr>
          </w:p>
        </w:tc>
        <w:tc>
          <w:tcPr>
            <w:tcW w:w="24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820" w:type="dxa"/>
            <w:vAlign w:val="bottom"/>
            <w:shd w:val="clear" w:color="auto" w:fill="052B82"/>
          </w:tcPr>
          <w:p>
            <w:pPr>
              <w:spacing w:after="0"/>
              <w:rPr>
                <w:sz w:val="16"/>
                <w:szCs w:val="16"/>
                <w:color w:val="auto"/>
              </w:rPr>
            </w:pPr>
          </w:p>
        </w:tc>
        <w:tc>
          <w:tcPr>
            <w:tcW w:w="260" w:type="dxa"/>
            <w:vAlign w:val="bottom"/>
            <w:shd w:val="clear" w:color="auto" w:fill="052B82"/>
          </w:tcPr>
          <w:p>
            <w:pPr>
              <w:spacing w:after="0"/>
              <w:rPr>
                <w:sz w:val="16"/>
                <w:szCs w:val="16"/>
                <w:color w:val="auto"/>
              </w:rPr>
            </w:pPr>
          </w:p>
        </w:tc>
        <w:tc>
          <w:tcPr>
            <w:tcW w:w="880" w:type="dxa"/>
            <w:vAlign w:val="bottom"/>
            <w:tcBorders>
              <w:right w:val="single" w:sz="8" w:color="052B82"/>
            </w:tcBorders>
            <w:gridSpan w:val="2"/>
            <w:shd w:val="clear" w:color="auto" w:fill="052B82"/>
          </w:tcPr>
          <w:p>
            <w:pPr>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by us</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without</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Cause or</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by the</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89"/>
              <w:spacing w:after="0"/>
              <w:rPr>
                <w:sz w:val="20"/>
                <w:szCs w:val="20"/>
                <w:color w:val="auto"/>
              </w:rPr>
            </w:pPr>
            <w:r>
              <w:rPr>
                <w:rFonts w:ascii="Arial" w:cs="Arial" w:eastAsia="Arial" w:hAnsi="Arial"/>
                <w:sz w:val="14"/>
                <w:szCs w:val="14"/>
                <w:b w:val="1"/>
                <w:bCs w:val="1"/>
                <w:color w:val="FFFFFF"/>
              </w:rPr>
              <w:t>Named</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Executive</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80" w:type="dxa"/>
            <w:vAlign w:val="bottom"/>
            <w:tcBorders>
              <w:right w:val="single" w:sz="8" w:color="052B82"/>
            </w:tcBorders>
            <w:gridSpan w:val="2"/>
            <w:shd w:val="clear" w:color="auto" w:fill="052B82"/>
          </w:tcPr>
          <w:p>
            <w:pPr>
              <w:jc w:val="center"/>
              <w:spacing w:after="0"/>
              <w:rPr>
                <w:sz w:val="20"/>
                <w:szCs w:val="20"/>
                <w:color w:val="auto"/>
              </w:rPr>
            </w:pPr>
            <w:r>
              <w:rPr>
                <w:rFonts w:ascii="Arial" w:cs="Arial" w:eastAsia="Arial" w:hAnsi="Arial"/>
                <w:sz w:val="14"/>
                <w:szCs w:val="14"/>
                <w:b w:val="1"/>
                <w:bCs w:val="1"/>
                <w:color w:val="FFFFFF"/>
              </w:rPr>
              <w:t>Officer with</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Good</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3120" w:type="dxa"/>
            <w:vAlign w:val="bottom"/>
            <w:gridSpan w:val="7"/>
            <w:vMerge w:val="restart"/>
            <w:shd w:val="clear" w:color="auto" w:fill="052B82"/>
          </w:tcPr>
          <w:p>
            <w:pPr>
              <w:jc w:val="center"/>
              <w:spacing w:after="0"/>
              <w:rPr>
                <w:sz w:val="20"/>
                <w:szCs w:val="20"/>
                <w:color w:val="auto"/>
              </w:rPr>
            </w:pPr>
            <w:r>
              <w:rPr>
                <w:rFonts w:ascii="Arial" w:cs="Arial" w:eastAsia="Arial" w:hAnsi="Arial"/>
                <w:sz w:val="14"/>
                <w:szCs w:val="14"/>
                <w:b w:val="1"/>
                <w:bCs w:val="1"/>
                <w:color w:val="FFFFFF"/>
              </w:rPr>
              <w:t>Termination by us without Cause or by the</w:t>
            </w: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w w:val="98"/>
              </w:rPr>
              <w:t>Reason</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3120" w:type="dxa"/>
            <w:vAlign w:val="bottom"/>
            <w:gridSpan w:val="7"/>
            <w:vMerge w:val="continue"/>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Before</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3120" w:type="dxa"/>
            <w:vAlign w:val="bottom"/>
            <w:gridSpan w:val="7"/>
            <w:shd w:val="clear" w:color="auto" w:fill="052B82"/>
          </w:tcPr>
          <w:p>
            <w:pPr>
              <w:jc w:val="center"/>
              <w:spacing w:after="0"/>
              <w:rPr>
                <w:sz w:val="20"/>
                <w:szCs w:val="20"/>
                <w:color w:val="auto"/>
              </w:rPr>
            </w:pPr>
            <w:r>
              <w:rPr>
                <w:rFonts w:ascii="Arial" w:cs="Arial" w:eastAsia="Arial" w:hAnsi="Arial"/>
                <w:sz w:val="14"/>
                <w:szCs w:val="14"/>
                <w:b w:val="1"/>
                <w:bCs w:val="1"/>
                <w:color w:val="FFFFFF"/>
              </w:rPr>
              <w:t>Named Executive Officer with</w:t>
            </w: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March 10,</w:t>
            </w:r>
          </w:p>
        </w:tc>
        <w:tc>
          <w:tcPr>
            <w:tcW w:w="0" w:type="dxa"/>
            <w:vAlign w:val="bottom"/>
          </w:tcPr>
          <w:p>
            <w:pPr>
              <w:spacing w:after="0"/>
              <w:rPr>
                <w:sz w:val="1"/>
                <w:szCs w:val="1"/>
                <w:color w:val="auto"/>
              </w:rPr>
            </w:pPr>
          </w:p>
        </w:tc>
      </w:tr>
      <w:tr>
        <w:trPr>
          <w:trHeight w:val="182"/>
        </w:trPr>
        <w:tc>
          <w:tcPr>
            <w:tcW w:w="4140" w:type="dxa"/>
            <w:vAlign w:val="bottom"/>
            <w:shd w:val="clear" w:color="auto" w:fill="052B82"/>
          </w:tcPr>
          <w:p>
            <w:pPr>
              <w:spacing w:after="0"/>
              <w:rPr>
                <w:sz w:val="15"/>
                <w:szCs w:val="15"/>
                <w:color w:val="auto"/>
              </w:rPr>
            </w:pPr>
          </w:p>
        </w:tc>
        <w:tc>
          <w:tcPr>
            <w:tcW w:w="20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720" w:type="dxa"/>
            <w:vAlign w:val="bottom"/>
            <w:shd w:val="clear" w:color="auto" w:fill="052B82"/>
          </w:tcPr>
          <w:p>
            <w:pPr>
              <w:spacing w:after="0"/>
              <w:rPr>
                <w:sz w:val="15"/>
                <w:szCs w:val="15"/>
                <w:color w:val="auto"/>
              </w:rPr>
            </w:pPr>
          </w:p>
        </w:tc>
        <w:tc>
          <w:tcPr>
            <w:tcW w:w="26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3120" w:type="dxa"/>
            <w:vAlign w:val="bottom"/>
            <w:gridSpan w:val="7"/>
            <w:shd w:val="clear" w:color="auto" w:fill="052B82"/>
          </w:tcPr>
          <w:p>
            <w:pPr>
              <w:jc w:val="center"/>
              <w:spacing w:after="0"/>
              <w:rPr>
                <w:sz w:val="20"/>
                <w:szCs w:val="20"/>
                <w:color w:val="auto"/>
              </w:rPr>
            </w:pPr>
            <w:r>
              <w:rPr>
                <w:rFonts w:ascii="Arial" w:cs="Arial" w:eastAsia="Arial" w:hAnsi="Arial"/>
                <w:sz w:val="14"/>
                <w:szCs w:val="14"/>
                <w:b w:val="1"/>
                <w:bCs w:val="1"/>
                <w:color w:val="FFFFFF"/>
              </w:rPr>
              <w:t>Good Reason Following a Change in Control</w:t>
            </w:r>
          </w:p>
        </w:tc>
        <w:tc>
          <w:tcPr>
            <w:tcW w:w="24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820" w:type="dxa"/>
            <w:vAlign w:val="bottom"/>
            <w:shd w:val="clear" w:color="auto" w:fill="052B82"/>
          </w:tcPr>
          <w:p>
            <w:pPr>
              <w:spacing w:after="0"/>
              <w:rPr>
                <w:sz w:val="15"/>
                <w:szCs w:val="15"/>
                <w:color w:val="auto"/>
              </w:rPr>
            </w:pPr>
          </w:p>
        </w:tc>
        <w:tc>
          <w:tcPr>
            <w:tcW w:w="260" w:type="dxa"/>
            <w:vAlign w:val="bottom"/>
            <w:shd w:val="clear" w:color="auto" w:fill="052B82"/>
          </w:tcPr>
          <w:p>
            <w:pPr>
              <w:spacing w:after="0"/>
              <w:rPr>
                <w:sz w:val="15"/>
                <w:szCs w:val="15"/>
                <w:color w:val="auto"/>
              </w:rPr>
            </w:pPr>
          </w:p>
        </w:tc>
        <w:tc>
          <w:tcPr>
            <w:tcW w:w="80" w:type="dxa"/>
            <w:vAlign w:val="bottom"/>
            <w:shd w:val="clear" w:color="auto" w:fill="052B82"/>
          </w:tcPr>
          <w:p>
            <w:pPr>
              <w:spacing w:after="0"/>
              <w:rPr>
                <w:sz w:val="15"/>
                <w:szCs w:val="15"/>
                <w:color w:val="auto"/>
              </w:rPr>
            </w:pPr>
          </w:p>
        </w:tc>
        <w:tc>
          <w:tcPr>
            <w:tcW w:w="800" w:type="dxa"/>
            <w:vAlign w:val="bottom"/>
            <w:tcBorders>
              <w:right w:val="single" w:sz="8" w:color="052B82"/>
            </w:tcBorders>
            <w:shd w:val="clear" w:color="auto" w:fill="052B82"/>
          </w:tcPr>
          <w:p>
            <w:pPr>
              <w:jc w:val="right"/>
              <w:ind w:right="249"/>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154"/>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jc w:val="right"/>
              <w:ind w:right="69"/>
              <w:spacing w:after="0" w:line="153" w:lineRule="exact"/>
              <w:rPr>
                <w:sz w:val="20"/>
                <w:szCs w:val="20"/>
                <w:color w:val="auto"/>
              </w:rPr>
            </w:pPr>
            <w:r>
              <w:rPr>
                <w:rFonts w:ascii="Arial" w:cs="Arial" w:eastAsia="Arial" w:hAnsi="Arial"/>
                <w:sz w:val="14"/>
                <w:szCs w:val="14"/>
                <w:b w:val="1"/>
                <w:bCs w:val="1"/>
                <w:color w:val="FFFFFF"/>
              </w:rPr>
              <w:t>Vincent</w:t>
            </w: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jc w:val="center"/>
              <w:ind w:right="29"/>
              <w:spacing w:after="0" w:line="153" w:lineRule="exact"/>
              <w:rPr>
                <w:sz w:val="20"/>
                <w:szCs w:val="20"/>
                <w:color w:val="auto"/>
              </w:rPr>
            </w:pPr>
            <w:r>
              <w:rPr>
                <w:rFonts w:ascii="Arial" w:cs="Arial" w:eastAsia="Arial" w:hAnsi="Arial"/>
                <w:sz w:val="14"/>
                <w:szCs w:val="14"/>
                <w:b w:val="1"/>
                <w:bCs w:val="1"/>
                <w:color w:val="FFFFFF"/>
                <w:w w:val="99"/>
              </w:rPr>
              <w:t>Prashanth</w:t>
            </w: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vMerge w:val="restart"/>
            <w:shd w:val="clear" w:color="auto" w:fill="052B82"/>
          </w:tcPr>
          <w:p>
            <w:pPr>
              <w:jc w:val="right"/>
              <w:ind w:right="169"/>
              <w:spacing w:after="0"/>
              <w:rPr>
                <w:sz w:val="20"/>
                <w:szCs w:val="20"/>
                <w:color w:val="auto"/>
              </w:rPr>
            </w:pPr>
            <w:r>
              <w:rPr>
                <w:rFonts w:ascii="Arial" w:cs="Arial" w:eastAsia="Arial" w:hAnsi="Arial"/>
                <w:sz w:val="14"/>
                <w:szCs w:val="14"/>
                <w:b w:val="1"/>
                <w:bCs w:val="1"/>
                <w:color w:val="FFFFFF"/>
              </w:rPr>
              <w:t>Martin</w:t>
            </w: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vMerge w:val="restart"/>
            <w:shd w:val="clear" w:color="auto" w:fill="052B82"/>
          </w:tcPr>
          <w:p>
            <w:pPr>
              <w:jc w:val="right"/>
              <w:ind w:right="229"/>
              <w:spacing w:after="0"/>
              <w:rPr>
                <w:sz w:val="20"/>
                <w:szCs w:val="20"/>
                <w:color w:val="auto"/>
              </w:rPr>
            </w:pPr>
            <w:r>
              <w:rPr>
                <w:rFonts w:ascii="Arial" w:cs="Arial" w:eastAsia="Arial" w:hAnsi="Arial"/>
                <w:sz w:val="14"/>
                <w:szCs w:val="14"/>
                <w:b w:val="1"/>
                <w:bCs w:val="1"/>
                <w:color w:val="FFFFFF"/>
              </w:rPr>
              <w:t>John</w:t>
            </w: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vMerge w:val="restart"/>
            <w:shd w:val="clear" w:color="auto" w:fill="052B82"/>
          </w:tcPr>
          <w:p>
            <w:pPr>
              <w:jc w:val="right"/>
              <w:ind w:right="189"/>
              <w:spacing w:after="0"/>
              <w:rPr>
                <w:sz w:val="20"/>
                <w:szCs w:val="20"/>
                <w:color w:val="auto"/>
              </w:rPr>
            </w:pPr>
            <w:r>
              <w:rPr>
                <w:rFonts w:ascii="Arial" w:cs="Arial" w:eastAsia="Arial" w:hAnsi="Arial"/>
                <w:sz w:val="14"/>
                <w:szCs w:val="14"/>
                <w:b w:val="1"/>
                <w:bCs w:val="1"/>
                <w:color w:val="FFFFFF"/>
              </w:rPr>
              <w:t>Steve</w:t>
            </w: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vMerge w:val="restart"/>
            <w:shd w:val="clear" w:color="auto" w:fill="052B82"/>
          </w:tcPr>
          <w:p>
            <w:pPr>
              <w:jc w:val="center"/>
              <w:ind w:right="69"/>
              <w:spacing w:after="0"/>
              <w:rPr>
                <w:sz w:val="20"/>
                <w:szCs w:val="20"/>
                <w:color w:val="auto"/>
              </w:rPr>
            </w:pPr>
            <w:r>
              <w:rPr>
                <w:rFonts w:ascii="Arial" w:cs="Arial" w:eastAsia="Arial" w:hAnsi="Arial"/>
                <w:sz w:val="14"/>
                <w:szCs w:val="14"/>
                <w:b w:val="1"/>
                <w:bCs w:val="1"/>
                <w:color w:val="FFFFFF"/>
              </w:rPr>
              <w:t>Steve</w:t>
            </w: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20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720" w:type="dxa"/>
            <w:vAlign w:val="bottom"/>
            <w:shd w:val="clear" w:color="auto" w:fill="052B82"/>
          </w:tcPr>
          <w:p>
            <w:pPr>
              <w:jc w:val="right"/>
              <w:ind w:right="109"/>
              <w:spacing w:after="0"/>
              <w:rPr>
                <w:sz w:val="20"/>
                <w:szCs w:val="20"/>
                <w:color w:val="auto"/>
              </w:rPr>
            </w:pPr>
            <w:r>
              <w:rPr>
                <w:rFonts w:ascii="Arial" w:cs="Arial" w:eastAsia="Arial" w:hAnsi="Arial"/>
                <w:sz w:val="14"/>
                <w:szCs w:val="14"/>
                <w:b w:val="1"/>
                <w:bCs w:val="1"/>
                <w:color w:val="FFFFFF"/>
              </w:rPr>
              <w:t>Roche</w:t>
            </w: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jc w:val="center"/>
              <w:ind w:right="29"/>
              <w:spacing w:after="0"/>
              <w:rPr>
                <w:sz w:val="20"/>
                <w:szCs w:val="20"/>
                <w:color w:val="auto"/>
              </w:rPr>
            </w:pPr>
            <w:r>
              <w:rPr>
                <w:rFonts w:ascii="Arial" w:cs="Arial" w:eastAsia="Arial" w:hAnsi="Arial"/>
                <w:sz w:val="14"/>
                <w:szCs w:val="14"/>
                <w:b w:val="1"/>
                <w:bCs w:val="1"/>
                <w:color w:val="FFFFFF"/>
              </w:rPr>
              <w:t>Mahendra-</w:t>
            </w: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vMerge w:val="continue"/>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vMerge w:val="continue"/>
            <w:shd w:val="clear" w:color="auto" w:fill="052B82"/>
          </w:tcPr>
          <w:p>
            <w:pPr>
              <w:spacing w:after="0"/>
              <w:rPr>
                <w:sz w:val="13"/>
                <w:szCs w:val="13"/>
                <w:color w:val="auto"/>
              </w:rPr>
            </w:pP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vMerge w:val="continue"/>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00" w:type="dxa"/>
            <w:vAlign w:val="bottom"/>
            <w:tcBorders>
              <w:right w:val="single" w:sz="8" w:color="052B82"/>
            </w:tcBorders>
            <w:vMerge w:val="continue"/>
            <w:shd w:val="clear" w:color="auto" w:fill="052B8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40" w:type="dxa"/>
            <w:vAlign w:val="bottom"/>
            <w:shd w:val="clear" w:color="auto" w:fill="052B82"/>
          </w:tcPr>
          <w:p>
            <w:pPr>
              <w:spacing w:after="0"/>
              <w:rPr>
                <w:sz w:val="13"/>
                <w:szCs w:val="13"/>
                <w:color w:val="auto"/>
              </w:rPr>
            </w:pPr>
          </w:p>
        </w:tc>
        <w:tc>
          <w:tcPr>
            <w:tcW w:w="1000" w:type="dxa"/>
            <w:vAlign w:val="bottom"/>
            <w:gridSpan w:val="3"/>
            <w:shd w:val="clear" w:color="auto" w:fill="052B82"/>
          </w:tcPr>
          <w:p>
            <w:pPr>
              <w:jc w:val="right"/>
              <w:spacing w:after="0"/>
              <w:rPr>
                <w:sz w:val="20"/>
                <w:szCs w:val="20"/>
                <w:color w:val="auto"/>
              </w:rPr>
            </w:pPr>
            <w:r>
              <w:rPr>
                <w:rFonts w:ascii="Arial" w:cs="Arial" w:eastAsia="Arial" w:hAnsi="Arial"/>
                <w:sz w:val="14"/>
                <w:szCs w:val="14"/>
                <w:b w:val="1"/>
                <w:bCs w:val="1"/>
                <w:color w:val="FFFFFF"/>
              </w:rPr>
              <w:t>(1)(2)(3)(4)</w:t>
            </w:r>
          </w:p>
        </w:tc>
        <w:tc>
          <w:tcPr>
            <w:tcW w:w="26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jc w:val="center"/>
              <w:ind w:right="29"/>
              <w:spacing w:after="0"/>
              <w:rPr>
                <w:sz w:val="20"/>
                <w:szCs w:val="20"/>
                <w:color w:val="auto"/>
              </w:rPr>
            </w:pPr>
            <w:r>
              <w:rPr>
                <w:rFonts w:ascii="Arial" w:cs="Arial" w:eastAsia="Arial" w:hAnsi="Arial"/>
                <w:sz w:val="14"/>
                <w:szCs w:val="14"/>
                <w:b w:val="1"/>
                <w:bCs w:val="1"/>
                <w:color w:val="FFFFFF"/>
              </w:rPr>
              <w:t>Rajah</w:t>
            </w:r>
          </w:p>
        </w:tc>
        <w:tc>
          <w:tcPr>
            <w:tcW w:w="240" w:type="dxa"/>
            <w:vAlign w:val="bottom"/>
            <w:shd w:val="clear" w:color="auto" w:fill="052B82"/>
          </w:tcPr>
          <w:p>
            <w:pPr>
              <w:spacing w:after="0"/>
              <w:rPr>
                <w:sz w:val="13"/>
                <w:szCs w:val="13"/>
                <w:color w:val="auto"/>
              </w:rPr>
            </w:pPr>
          </w:p>
        </w:tc>
        <w:tc>
          <w:tcPr>
            <w:tcW w:w="160" w:type="dxa"/>
            <w:vAlign w:val="bottom"/>
            <w:shd w:val="clear" w:color="auto" w:fill="052B82"/>
          </w:tcPr>
          <w:p>
            <w:pPr>
              <w:spacing w:after="0"/>
              <w:rPr>
                <w:sz w:val="13"/>
                <w:szCs w:val="13"/>
                <w:color w:val="auto"/>
              </w:rPr>
            </w:pPr>
          </w:p>
        </w:tc>
        <w:tc>
          <w:tcPr>
            <w:tcW w:w="740" w:type="dxa"/>
            <w:vAlign w:val="bottom"/>
            <w:shd w:val="clear" w:color="auto" w:fill="052B82"/>
          </w:tcPr>
          <w:p>
            <w:pPr>
              <w:jc w:val="right"/>
              <w:ind w:right="169"/>
              <w:spacing w:after="0"/>
              <w:rPr>
                <w:sz w:val="20"/>
                <w:szCs w:val="20"/>
                <w:color w:val="auto"/>
              </w:rPr>
            </w:pPr>
            <w:r>
              <w:rPr>
                <w:rFonts w:ascii="Arial" w:cs="Arial" w:eastAsia="Arial" w:hAnsi="Arial"/>
                <w:sz w:val="14"/>
                <w:szCs w:val="14"/>
                <w:b w:val="1"/>
                <w:bCs w:val="1"/>
                <w:color w:val="FFFFFF"/>
              </w:rPr>
              <w:t>Cotter</w:t>
            </w:r>
          </w:p>
        </w:tc>
        <w:tc>
          <w:tcPr>
            <w:tcW w:w="260" w:type="dxa"/>
            <w:vAlign w:val="bottom"/>
            <w:shd w:val="clear" w:color="auto" w:fill="052B82"/>
          </w:tcPr>
          <w:p>
            <w:pPr>
              <w:spacing w:after="0"/>
              <w:rPr>
                <w:sz w:val="13"/>
                <w:szCs w:val="13"/>
                <w:color w:val="auto"/>
              </w:rPr>
            </w:pPr>
          </w:p>
        </w:tc>
        <w:tc>
          <w:tcPr>
            <w:tcW w:w="120" w:type="dxa"/>
            <w:vAlign w:val="bottom"/>
            <w:shd w:val="clear" w:color="auto" w:fill="052B82"/>
          </w:tcPr>
          <w:p>
            <w:pPr>
              <w:spacing w:after="0"/>
              <w:rPr>
                <w:sz w:val="13"/>
                <w:szCs w:val="13"/>
                <w:color w:val="auto"/>
              </w:rPr>
            </w:pPr>
          </w:p>
        </w:tc>
        <w:tc>
          <w:tcPr>
            <w:tcW w:w="780" w:type="dxa"/>
            <w:vAlign w:val="bottom"/>
            <w:shd w:val="clear" w:color="auto" w:fill="052B82"/>
          </w:tcPr>
          <w:p>
            <w:pPr>
              <w:jc w:val="right"/>
              <w:ind w:right="129"/>
              <w:spacing w:after="0"/>
              <w:rPr>
                <w:sz w:val="20"/>
                <w:szCs w:val="20"/>
                <w:color w:val="auto"/>
              </w:rPr>
            </w:pPr>
            <w:r>
              <w:rPr>
                <w:rFonts w:ascii="Arial" w:cs="Arial" w:eastAsia="Arial" w:hAnsi="Arial"/>
                <w:sz w:val="14"/>
                <w:szCs w:val="14"/>
                <w:b w:val="1"/>
                <w:bCs w:val="1"/>
                <w:color w:val="FFFFFF"/>
              </w:rPr>
              <w:t>Hassett</w:t>
            </w:r>
          </w:p>
        </w:tc>
        <w:tc>
          <w:tcPr>
            <w:tcW w:w="24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820" w:type="dxa"/>
            <w:vAlign w:val="bottom"/>
            <w:shd w:val="clear" w:color="auto" w:fill="052B82"/>
          </w:tcPr>
          <w:p>
            <w:pPr>
              <w:jc w:val="right"/>
              <w:ind w:right="29"/>
              <w:spacing w:after="0"/>
              <w:rPr>
                <w:sz w:val="20"/>
                <w:szCs w:val="20"/>
                <w:color w:val="auto"/>
              </w:rPr>
            </w:pPr>
            <w:r>
              <w:rPr>
                <w:rFonts w:ascii="Arial" w:cs="Arial" w:eastAsia="Arial" w:hAnsi="Arial"/>
                <w:sz w:val="14"/>
                <w:szCs w:val="14"/>
                <w:b w:val="1"/>
                <w:bCs w:val="1"/>
                <w:color w:val="FFFFFF"/>
                <w:w w:val="99"/>
              </w:rPr>
              <w:t>Piekiewicz</w:t>
            </w:r>
          </w:p>
        </w:tc>
        <w:tc>
          <w:tcPr>
            <w:tcW w:w="260" w:type="dxa"/>
            <w:vAlign w:val="bottom"/>
            <w:shd w:val="clear" w:color="auto" w:fill="052B82"/>
          </w:tcPr>
          <w:p>
            <w:pPr>
              <w:spacing w:after="0"/>
              <w:rPr>
                <w:sz w:val="13"/>
                <w:szCs w:val="13"/>
                <w:color w:val="auto"/>
              </w:rPr>
            </w:pPr>
          </w:p>
        </w:tc>
        <w:tc>
          <w:tcPr>
            <w:tcW w:w="880" w:type="dxa"/>
            <w:vAlign w:val="bottom"/>
            <w:tcBorders>
              <w:right w:val="single" w:sz="8" w:color="052B82"/>
            </w:tcBorders>
            <w:gridSpan w:val="2"/>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Piekiewicz</w:t>
            </w:r>
          </w:p>
        </w:tc>
        <w:tc>
          <w:tcPr>
            <w:tcW w:w="0" w:type="dxa"/>
            <w:vAlign w:val="bottom"/>
          </w:tcPr>
          <w:p>
            <w:pPr>
              <w:spacing w:after="0"/>
              <w:rPr>
                <w:sz w:val="1"/>
                <w:szCs w:val="1"/>
                <w:color w:val="auto"/>
              </w:rPr>
            </w:pPr>
          </w:p>
        </w:tc>
      </w:tr>
      <w:tr>
        <w:trPr>
          <w:trHeight w:val="187"/>
        </w:trPr>
        <w:tc>
          <w:tcPr>
            <w:tcW w:w="4140" w:type="dxa"/>
            <w:vAlign w:val="bottom"/>
            <w:shd w:val="clear" w:color="auto" w:fill="052B82"/>
          </w:tcPr>
          <w:p>
            <w:pPr>
              <w:spacing w:after="0"/>
              <w:rPr>
                <w:sz w:val="16"/>
                <w:szCs w:val="16"/>
                <w:color w:val="auto"/>
              </w:rPr>
            </w:pPr>
          </w:p>
        </w:tc>
        <w:tc>
          <w:tcPr>
            <w:tcW w:w="20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720" w:type="dxa"/>
            <w:vAlign w:val="bottom"/>
            <w:shd w:val="clear" w:color="auto" w:fill="052B82"/>
          </w:tcPr>
          <w:p>
            <w:pPr>
              <w:jc w:val="right"/>
              <w:ind w:right="149"/>
              <w:spacing w:after="0"/>
              <w:rPr>
                <w:sz w:val="20"/>
                <w:szCs w:val="20"/>
                <w:color w:val="auto"/>
              </w:rPr>
            </w:pPr>
            <w:r>
              <w:rPr>
                <w:rFonts w:ascii="Arial" w:cs="Arial" w:eastAsia="Arial" w:hAnsi="Arial"/>
                <w:sz w:val="14"/>
                <w:szCs w:val="14"/>
                <w:b w:val="1"/>
                <w:bCs w:val="1"/>
                <w:color w:val="FFFFFF"/>
              </w:rPr>
              <w:t>(5)(6)</w:t>
            </w:r>
          </w:p>
        </w:tc>
        <w:tc>
          <w:tcPr>
            <w:tcW w:w="1160" w:type="dxa"/>
            <w:vAlign w:val="bottom"/>
            <w:gridSpan w:val="3"/>
            <w:shd w:val="clear" w:color="auto" w:fill="052B82"/>
          </w:tcPr>
          <w:p>
            <w:pPr>
              <w:ind w:left="260"/>
              <w:spacing w:after="0"/>
              <w:rPr>
                <w:sz w:val="20"/>
                <w:szCs w:val="20"/>
                <w:color w:val="auto"/>
              </w:rPr>
            </w:pPr>
            <w:r>
              <w:rPr>
                <w:rFonts w:ascii="Arial" w:cs="Arial" w:eastAsia="Arial" w:hAnsi="Arial"/>
                <w:sz w:val="14"/>
                <w:szCs w:val="14"/>
                <w:b w:val="1"/>
                <w:bCs w:val="1"/>
                <w:color w:val="FFFFFF"/>
              </w:rPr>
              <w:t>(1)(2)(3)(4)(5)</w:t>
            </w:r>
          </w:p>
        </w:tc>
        <w:tc>
          <w:tcPr>
            <w:tcW w:w="1140" w:type="dxa"/>
            <w:vAlign w:val="bottom"/>
            <w:gridSpan w:val="3"/>
            <w:shd w:val="clear" w:color="auto" w:fill="052B82"/>
          </w:tcPr>
          <w:p>
            <w:pPr>
              <w:ind w:left="260"/>
              <w:spacing w:after="0"/>
              <w:rPr>
                <w:sz w:val="20"/>
                <w:szCs w:val="20"/>
                <w:color w:val="auto"/>
              </w:rPr>
            </w:pPr>
            <w:r>
              <w:rPr>
                <w:rFonts w:ascii="Arial" w:cs="Arial" w:eastAsia="Arial" w:hAnsi="Arial"/>
                <w:sz w:val="14"/>
                <w:szCs w:val="14"/>
                <w:b w:val="1"/>
                <w:bCs w:val="1"/>
                <w:color w:val="FFFFFF"/>
              </w:rPr>
              <w:t>(1)(2)(3)(4)(5)</w:t>
            </w:r>
          </w:p>
        </w:tc>
        <w:tc>
          <w:tcPr>
            <w:tcW w:w="1160" w:type="dxa"/>
            <w:vAlign w:val="bottom"/>
            <w:gridSpan w:val="3"/>
            <w:shd w:val="clear" w:color="auto" w:fill="052B82"/>
          </w:tcPr>
          <w:p>
            <w:pPr>
              <w:ind w:left="260"/>
              <w:spacing w:after="0"/>
              <w:rPr>
                <w:sz w:val="20"/>
                <w:szCs w:val="20"/>
                <w:color w:val="auto"/>
              </w:rPr>
            </w:pPr>
            <w:r>
              <w:rPr>
                <w:rFonts w:ascii="Arial" w:cs="Arial" w:eastAsia="Arial" w:hAnsi="Arial"/>
                <w:sz w:val="14"/>
                <w:szCs w:val="14"/>
                <w:b w:val="1"/>
                <w:bCs w:val="1"/>
                <w:color w:val="FFFFFF"/>
              </w:rPr>
              <w:t>(1)(2)(3)(4)(5)</w:t>
            </w:r>
          </w:p>
        </w:tc>
        <w:tc>
          <w:tcPr>
            <w:tcW w:w="1140" w:type="dxa"/>
            <w:vAlign w:val="bottom"/>
            <w:gridSpan w:val="3"/>
            <w:shd w:val="clear" w:color="auto" w:fill="052B82"/>
          </w:tcPr>
          <w:p>
            <w:pPr>
              <w:ind w:left="260"/>
              <w:spacing w:after="0"/>
              <w:rPr>
                <w:sz w:val="20"/>
                <w:szCs w:val="20"/>
                <w:color w:val="auto"/>
              </w:rPr>
            </w:pPr>
            <w:r>
              <w:rPr>
                <w:rFonts w:ascii="Arial" w:cs="Arial" w:eastAsia="Arial" w:hAnsi="Arial"/>
                <w:sz w:val="14"/>
                <w:szCs w:val="14"/>
                <w:b w:val="1"/>
                <w:bCs w:val="1"/>
                <w:color w:val="FFFFFF"/>
              </w:rPr>
              <w:t>(1)(2)(3)(4)(5)</w:t>
            </w:r>
          </w:p>
        </w:tc>
        <w:tc>
          <w:tcPr>
            <w:tcW w:w="260" w:type="dxa"/>
            <w:vAlign w:val="bottom"/>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800" w:type="dxa"/>
            <w:vAlign w:val="bottom"/>
            <w:tcBorders>
              <w:right w:val="single" w:sz="8" w:color="052B82"/>
            </w:tcBorders>
            <w:shd w:val="clear" w:color="auto" w:fill="052B82"/>
          </w:tcPr>
          <w:p>
            <w:pPr>
              <w:jc w:val="right"/>
              <w:ind w:right="309"/>
              <w:spacing w:after="0"/>
              <w:rPr>
                <w:sz w:val="20"/>
                <w:szCs w:val="20"/>
                <w:color w:val="auto"/>
              </w:rPr>
            </w:pPr>
            <w:r>
              <w:rPr>
                <w:rFonts w:ascii="Arial" w:cs="Arial" w:eastAsia="Arial" w:hAnsi="Arial"/>
                <w:sz w:val="14"/>
                <w:szCs w:val="14"/>
                <w:b w:val="1"/>
                <w:bCs w:val="1"/>
                <w:color w:val="FFFFFF"/>
              </w:rPr>
              <w:t>(7)</w:t>
            </w:r>
          </w:p>
        </w:tc>
        <w:tc>
          <w:tcPr>
            <w:tcW w:w="0" w:type="dxa"/>
            <w:vAlign w:val="bottom"/>
          </w:tcPr>
          <w:p>
            <w:pPr>
              <w:spacing w:after="0"/>
              <w:rPr>
                <w:sz w:val="1"/>
                <w:szCs w:val="1"/>
                <w:color w:val="auto"/>
              </w:rPr>
            </w:pPr>
          </w:p>
        </w:tc>
      </w:tr>
      <w:tr>
        <w:trPr>
          <w:trHeight w:val="160"/>
        </w:trPr>
        <w:tc>
          <w:tcPr>
            <w:tcW w:w="4140" w:type="dxa"/>
            <w:vAlign w:val="bottom"/>
          </w:tcPr>
          <w:p>
            <w:pPr>
              <w:ind w:left="20"/>
              <w:spacing w:after="0"/>
              <w:rPr>
                <w:sz w:val="20"/>
                <w:szCs w:val="20"/>
                <w:color w:val="auto"/>
              </w:rPr>
            </w:pPr>
            <w:r>
              <w:rPr>
                <w:rFonts w:ascii="Arial" w:cs="Arial" w:eastAsia="Arial" w:hAnsi="Arial"/>
                <w:sz w:val="14"/>
                <w:szCs w:val="14"/>
                <w:color w:val="auto"/>
              </w:rPr>
              <w:t>Cash Severance</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2,990,000</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1,644,500</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1,345,500</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1,390,350</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1,196,000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6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Cash Bonus</w:t>
            </w:r>
          </w:p>
        </w:tc>
        <w:tc>
          <w:tcPr>
            <w:tcW w:w="28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8,314,671</w:t>
            </w:r>
          </w:p>
        </w:tc>
        <w:tc>
          <w:tcPr>
            <w:tcW w:w="340" w:type="dxa"/>
            <w:vAlign w:val="bottom"/>
            <w:gridSpan w:val="2"/>
            <w:shd w:val="clear" w:color="auto" w:fill="E8EDF4"/>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2,681,801</w:t>
            </w:r>
          </w:p>
        </w:tc>
        <w:tc>
          <w:tcPr>
            <w:tcW w:w="40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2,095,934</w:t>
            </w:r>
          </w:p>
        </w:tc>
        <w:tc>
          <w:tcPr>
            <w:tcW w:w="380" w:type="dxa"/>
            <w:vAlign w:val="bottom"/>
            <w:gridSpan w:val="2"/>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jc w:val="right"/>
              <w:spacing w:after="0"/>
              <w:rPr>
                <w:sz w:val="20"/>
                <w:szCs w:val="20"/>
                <w:color w:val="auto"/>
              </w:rPr>
            </w:pPr>
            <w:r>
              <w:rPr>
                <w:rFonts w:ascii="Arial" w:cs="Arial" w:eastAsia="Arial" w:hAnsi="Arial"/>
                <w:sz w:val="14"/>
                <w:szCs w:val="14"/>
                <w:color w:val="auto"/>
              </w:rPr>
              <w:t>2,264,843</w:t>
            </w:r>
          </w:p>
        </w:tc>
        <w:tc>
          <w:tcPr>
            <w:tcW w:w="32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3,106,129</w:t>
            </w:r>
          </w:p>
        </w:tc>
        <w:tc>
          <w:tcPr>
            <w:tcW w:w="34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8EDF4"/>
            </w:tcBorders>
            <w:shd w:val="clear" w:color="auto" w:fill="E8EDF4"/>
          </w:tcPr>
          <w:p>
            <w:pPr>
              <w:jc w:val="right"/>
              <w:spacing w:after="0"/>
              <w:rPr>
                <w:sz w:val="20"/>
                <w:szCs w:val="20"/>
                <w:color w:val="auto"/>
              </w:rPr>
            </w:pPr>
            <w:r>
              <w:rPr>
                <w:rFonts w:ascii="Arial" w:cs="Arial" w:eastAsia="Arial" w:hAnsi="Arial"/>
                <w:sz w:val="14"/>
                <w:szCs w:val="14"/>
                <w:color w:val="auto"/>
              </w:rPr>
              <w:t>771,403</w:t>
            </w:r>
          </w:p>
        </w:tc>
        <w:tc>
          <w:tcPr>
            <w:tcW w:w="0" w:type="dxa"/>
            <w:vAlign w:val="bottom"/>
          </w:tcPr>
          <w:p>
            <w:pPr>
              <w:spacing w:after="0"/>
              <w:rPr>
                <w:sz w:val="1"/>
                <w:szCs w:val="1"/>
                <w:color w:val="auto"/>
              </w:rPr>
            </w:pPr>
          </w:p>
        </w:tc>
      </w:tr>
      <w:tr>
        <w:trPr>
          <w:trHeight w:val="160"/>
        </w:trPr>
        <w:tc>
          <w:tcPr>
            <w:tcW w:w="4140" w:type="dxa"/>
            <w:vAlign w:val="bottom"/>
          </w:tcPr>
          <w:p>
            <w:pPr>
              <w:ind w:left="20"/>
              <w:spacing w:after="0"/>
              <w:rPr>
                <w:sz w:val="20"/>
                <w:szCs w:val="20"/>
                <w:color w:val="auto"/>
              </w:rPr>
            </w:pPr>
            <w:r>
              <w:rPr>
                <w:rFonts w:ascii="Arial" w:cs="Arial" w:eastAsia="Arial" w:hAnsi="Arial"/>
                <w:sz w:val="14"/>
                <w:szCs w:val="14"/>
                <w:color w:val="auto"/>
              </w:rPr>
              <w:t>Value of Accelerated Vesting of Stock Awards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19,028,011</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4,570,412</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4,593,711</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5,091,041</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6,078,874</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1,439,320</w:t>
            </w:r>
          </w:p>
        </w:tc>
        <w:tc>
          <w:tcPr>
            <w:tcW w:w="0" w:type="dxa"/>
            <w:vAlign w:val="bottom"/>
          </w:tcPr>
          <w:p>
            <w:pPr>
              <w:spacing w:after="0"/>
              <w:rPr>
                <w:sz w:val="1"/>
                <w:szCs w:val="1"/>
                <w:color w:val="auto"/>
              </w:rPr>
            </w:pPr>
          </w:p>
        </w:tc>
      </w:tr>
      <w:tr>
        <w:trPr>
          <w:trHeight w:val="16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Value of Accelerated Vesting of Cash Awards</w:t>
            </w:r>
          </w:p>
        </w:tc>
        <w:tc>
          <w:tcPr>
            <w:tcW w:w="28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E8EDF4"/>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rPr>
              <w:t>$</w:t>
            </w:r>
          </w:p>
        </w:tc>
        <w:tc>
          <w:tcPr>
            <w:tcW w:w="74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E8EDF4"/>
          </w:tcPr>
          <w:p>
            <w:pPr>
              <w:ind w:lef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610,650</w:t>
            </w:r>
          </w:p>
        </w:tc>
        <w:tc>
          <w:tcPr>
            <w:tcW w:w="340" w:type="dxa"/>
            <w:vAlign w:val="bottom"/>
            <w:gridSpan w:val="2"/>
            <w:shd w:val="clear" w:color="auto" w:fill="E8EDF4"/>
          </w:tcPr>
          <w:p>
            <w:pPr>
              <w:ind w:left="24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8EDF4"/>
            </w:tcBorders>
            <w:shd w:val="clear" w:color="auto" w:fill="E8EDF4"/>
          </w:tcPr>
          <w:p>
            <w:pPr>
              <w:jc w:val="right"/>
              <w:spacing w:after="0"/>
              <w:rPr>
                <w:sz w:val="20"/>
                <w:szCs w:val="20"/>
                <w:color w:val="auto"/>
              </w:rPr>
            </w:pPr>
            <w:r>
              <w:rPr>
                <w:rFonts w:ascii="Arial" w:cs="Arial" w:eastAsia="Arial" w:hAnsi="Arial"/>
                <w:sz w:val="14"/>
                <w:szCs w:val="14"/>
                <w:color w:val="auto"/>
              </w:rPr>
              <w:t>610,650</w:t>
            </w:r>
          </w:p>
        </w:tc>
        <w:tc>
          <w:tcPr>
            <w:tcW w:w="0" w:type="dxa"/>
            <w:vAlign w:val="bottom"/>
          </w:tcPr>
          <w:p>
            <w:pPr>
              <w:spacing w:after="0"/>
              <w:rPr>
                <w:sz w:val="1"/>
                <w:szCs w:val="1"/>
                <w:color w:val="auto"/>
              </w:rPr>
            </w:pPr>
          </w:p>
        </w:tc>
      </w:tr>
      <w:tr>
        <w:trPr>
          <w:trHeight w:val="160"/>
        </w:trPr>
        <w:tc>
          <w:tcPr>
            <w:tcW w:w="4140" w:type="dxa"/>
            <w:vAlign w:val="bottom"/>
          </w:tcPr>
          <w:p>
            <w:pPr>
              <w:ind w:left="20"/>
              <w:spacing w:after="0"/>
              <w:rPr>
                <w:sz w:val="20"/>
                <w:szCs w:val="20"/>
                <w:color w:val="auto"/>
              </w:rPr>
            </w:pPr>
            <w:r>
              <w:rPr>
                <w:rFonts w:ascii="Arial" w:cs="Arial" w:eastAsia="Arial" w:hAnsi="Arial"/>
                <w:sz w:val="14"/>
                <w:szCs w:val="14"/>
                <w:color w:val="auto"/>
              </w:rPr>
              <w:t>Value of Medical and Other Benefits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25,990</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40,592</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25,990</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28,416</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47,138</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23,569</w:t>
            </w:r>
          </w:p>
        </w:tc>
        <w:tc>
          <w:tcPr>
            <w:tcW w:w="0" w:type="dxa"/>
            <w:vAlign w:val="bottom"/>
          </w:tcPr>
          <w:p>
            <w:pPr>
              <w:spacing w:after="0"/>
              <w:rPr>
                <w:sz w:val="1"/>
                <w:szCs w:val="1"/>
                <w:color w:val="auto"/>
              </w:rPr>
            </w:pPr>
          </w:p>
        </w:tc>
      </w:tr>
      <w:tr>
        <w:trPr>
          <w:trHeight w:val="160"/>
        </w:trPr>
        <w:tc>
          <w:tcPr>
            <w:tcW w:w="4140" w:type="dxa"/>
            <w:vAlign w:val="bottom"/>
            <w:shd w:val="clear" w:color="auto" w:fill="E8EDF4"/>
          </w:tcPr>
          <w:p>
            <w:pPr>
              <w:ind w:left="20"/>
              <w:spacing w:after="0"/>
              <w:rPr>
                <w:sz w:val="20"/>
                <w:szCs w:val="20"/>
                <w:color w:val="auto"/>
              </w:rPr>
            </w:pPr>
            <w:r>
              <w:rPr>
                <w:rFonts w:ascii="Arial" w:cs="Arial" w:eastAsia="Arial" w:hAnsi="Arial"/>
                <w:sz w:val="14"/>
                <w:szCs w:val="14"/>
                <w:color w:val="auto"/>
              </w:rPr>
              <w:t>Excise Tax Gross Up</w:t>
            </w:r>
          </w:p>
        </w:tc>
        <w:tc>
          <w:tcPr>
            <w:tcW w:w="280" w:type="dxa"/>
            <w:vAlign w:val="bottom"/>
            <w:gridSpan w:val="2"/>
            <w:shd w:val="clear" w:color="auto" w:fill="E8EDF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8EDF4"/>
          </w:tcPr>
          <w:p>
            <w:pPr>
              <w:jc w:val="right"/>
              <w:spacing w:after="0"/>
              <w:rPr>
                <w:sz w:val="20"/>
                <w:szCs w:val="20"/>
                <w:color w:val="auto"/>
              </w:rPr>
            </w:pPr>
            <w:r>
              <w:rPr>
                <w:rFonts w:ascii="Arial" w:cs="Arial" w:eastAsia="Arial" w:hAnsi="Arial"/>
                <w:sz w:val="14"/>
                <w:szCs w:val="14"/>
                <w:color w:val="auto"/>
              </w:rPr>
              <w:t>7,965,362</w:t>
            </w:r>
          </w:p>
        </w:tc>
        <w:tc>
          <w:tcPr>
            <w:tcW w:w="260" w:type="dxa"/>
            <w:vAlign w:val="bottom"/>
            <w:shd w:val="clear" w:color="auto" w:fill="E8EDF4"/>
          </w:tcPr>
          <w:p>
            <w:pPr>
              <w:spacing w:after="0"/>
              <w:rPr>
                <w:sz w:val="13"/>
                <w:szCs w:val="13"/>
                <w:color w:val="auto"/>
              </w:rPr>
            </w:pPr>
          </w:p>
        </w:tc>
        <w:tc>
          <w:tcPr>
            <w:tcW w:w="80" w:type="dxa"/>
            <w:vAlign w:val="bottom"/>
            <w:shd w:val="clear" w:color="auto" w:fill="E8EDF4"/>
          </w:tcPr>
          <w:p>
            <w:pPr>
              <w:spacing w:after="0"/>
              <w:rPr>
                <w:sz w:val="13"/>
                <w:szCs w:val="13"/>
                <w:color w:val="auto"/>
              </w:rPr>
            </w:pPr>
          </w:p>
        </w:tc>
        <w:tc>
          <w:tcPr>
            <w:tcW w:w="82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spacing w:after="0"/>
              <w:rPr>
                <w:sz w:val="13"/>
                <w:szCs w:val="13"/>
                <w:color w:val="auto"/>
              </w:rPr>
            </w:pPr>
          </w:p>
        </w:tc>
        <w:tc>
          <w:tcPr>
            <w:tcW w:w="160" w:type="dxa"/>
            <w:vAlign w:val="bottom"/>
            <w:shd w:val="clear" w:color="auto" w:fill="E8EDF4"/>
          </w:tcPr>
          <w:p>
            <w:pPr>
              <w:spacing w:after="0"/>
              <w:rPr>
                <w:sz w:val="13"/>
                <w:szCs w:val="13"/>
                <w:color w:val="auto"/>
              </w:rPr>
            </w:pPr>
          </w:p>
        </w:tc>
        <w:tc>
          <w:tcPr>
            <w:tcW w:w="74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spacing w:after="0"/>
              <w:rPr>
                <w:sz w:val="13"/>
                <w:szCs w:val="13"/>
                <w:color w:val="auto"/>
              </w:rPr>
            </w:pPr>
          </w:p>
        </w:tc>
        <w:tc>
          <w:tcPr>
            <w:tcW w:w="120" w:type="dxa"/>
            <w:vAlign w:val="bottom"/>
            <w:shd w:val="clear" w:color="auto" w:fill="E8EDF4"/>
          </w:tcPr>
          <w:p>
            <w:pPr>
              <w:spacing w:after="0"/>
              <w:rPr>
                <w:sz w:val="13"/>
                <w:szCs w:val="13"/>
                <w:color w:val="auto"/>
              </w:rPr>
            </w:pPr>
          </w:p>
        </w:tc>
        <w:tc>
          <w:tcPr>
            <w:tcW w:w="780" w:type="dxa"/>
            <w:vAlign w:val="bottom"/>
            <w:shd w:val="clear" w:color="auto" w:fill="E8EDF4"/>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E8EDF4"/>
          </w:tcPr>
          <w:p>
            <w:pPr>
              <w:spacing w:after="0"/>
              <w:rPr>
                <w:sz w:val="13"/>
                <w:szCs w:val="13"/>
                <w:color w:val="auto"/>
              </w:rPr>
            </w:pPr>
          </w:p>
        </w:tc>
        <w:tc>
          <w:tcPr>
            <w:tcW w:w="80" w:type="dxa"/>
            <w:vAlign w:val="bottom"/>
            <w:shd w:val="clear" w:color="auto" w:fill="E8EDF4"/>
          </w:tcPr>
          <w:p>
            <w:pPr>
              <w:spacing w:after="0"/>
              <w:rPr>
                <w:sz w:val="13"/>
                <w:szCs w:val="13"/>
                <w:color w:val="auto"/>
              </w:rPr>
            </w:pPr>
          </w:p>
        </w:tc>
        <w:tc>
          <w:tcPr>
            <w:tcW w:w="820" w:type="dxa"/>
            <w:vAlign w:val="bottom"/>
            <w:shd w:val="clear" w:color="auto" w:fill="E8EDF4"/>
          </w:tcPr>
          <w:p>
            <w:pPr>
              <w:jc w:val="right"/>
              <w:ind w:right="9"/>
              <w:spacing w:after="0"/>
              <w:rPr>
                <w:sz w:val="20"/>
                <w:szCs w:val="20"/>
                <w:color w:val="auto"/>
              </w:rPr>
            </w:pPr>
            <w:r>
              <w:rPr>
                <w:rFonts w:ascii="Arial" w:cs="Arial" w:eastAsia="Arial" w:hAnsi="Arial"/>
                <w:sz w:val="14"/>
                <w:szCs w:val="14"/>
                <w:color w:val="auto"/>
              </w:rPr>
              <w:t>—</w:t>
            </w:r>
          </w:p>
        </w:tc>
        <w:tc>
          <w:tcPr>
            <w:tcW w:w="260" w:type="dxa"/>
            <w:vAlign w:val="bottom"/>
            <w:shd w:val="clear" w:color="auto" w:fill="E8EDF4"/>
          </w:tcPr>
          <w:p>
            <w:pPr>
              <w:spacing w:after="0"/>
              <w:rPr>
                <w:sz w:val="13"/>
                <w:szCs w:val="13"/>
                <w:color w:val="auto"/>
              </w:rPr>
            </w:pPr>
          </w:p>
        </w:tc>
        <w:tc>
          <w:tcPr>
            <w:tcW w:w="80" w:type="dxa"/>
            <w:vAlign w:val="bottom"/>
            <w:shd w:val="clear" w:color="auto" w:fill="E8EDF4"/>
          </w:tcPr>
          <w:p>
            <w:pPr>
              <w:spacing w:after="0"/>
              <w:rPr>
                <w:sz w:val="13"/>
                <w:szCs w:val="13"/>
                <w:color w:val="auto"/>
              </w:rPr>
            </w:pPr>
          </w:p>
        </w:tc>
        <w:tc>
          <w:tcPr>
            <w:tcW w:w="800" w:type="dxa"/>
            <w:vAlign w:val="bottom"/>
            <w:tcBorders>
              <w:right w:val="single" w:sz="8" w:color="E8EDF4"/>
            </w:tcBorders>
            <w:shd w:val="clear" w:color="auto" w:fill="E8EDF4"/>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140" w:type="dxa"/>
            <w:vAlign w:val="bottom"/>
            <w:shd w:val="clear" w:color="auto" w:fill="E8EDF4"/>
          </w:tcPr>
          <w:p>
            <w:pPr>
              <w:spacing w:after="0"/>
              <w:rPr>
                <w:sz w:val="2"/>
                <w:szCs w:val="2"/>
                <w:color w:val="auto"/>
              </w:rPr>
            </w:pPr>
          </w:p>
        </w:tc>
        <w:tc>
          <w:tcPr>
            <w:tcW w:w="20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E8EDF4"/>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E8EDF4"/>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E8EDF4"/>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38,324,034</w:t>
            </w: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8,937,305</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8,061,135</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8,774,650</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11,038,791</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3,244,942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6523355</wp:posOffset>
            </wp:positionH>
            <wp:positionV relativeFrom="paragraph">
              <wp:posOffset>-1172845</wp:posOffset>
            </wp:positionV>
            <wp:extent cx="534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3403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64135</wp:posOffset>
            </wp:positionV>
            <wp:extent cx="686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11" w:lineRule="exact"/>
        <w:rPr>
          <w:sz w:val="20"/>
          <w:szCs w:val="20"/>
          <w:color w:val="auto"/>
        </w:rPr>
      </w:pPr>
    </w:p>
    <w:p>
      <w:pPr>
        <w:ind w:left="700" w:hanging="433"/>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Cash severance based upon a multiplier of 299% of the executive officer’s base salary.</w:t>
      </w:r>
    </w:p>
    <w:p>
      <w:pPr>
        <w:spacing w:after="0" w:line="113" w:lineRule="exact"/>
        <w:rPr>
          <w:rFonts w:ascii="Arial" w:cs="Arial" w:eastAsia="Arial" w:hAnsi="Arial"/>
          <w:sz w:val="18"/>
          <w:szCs w:val="18"/>
          <w:color w:val="auto"/>
        </w:rPr>
      </w:pPr>
    </w:p>
    <w:p>
      <w:pPr>
        <w:ind w:left="700" w:right="440" w:hanging="433"/>
        <w:spacing w:after="0" w:line="269" w:lineRule="auto"/>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Cash bonus based upon a multiplier of 299% of the sum of the executive officer’s total cash bonuses awarded to him in the four fiscal quarters preceding termination.</w:t>
      </w:r>
    </w:p>
    <w:p>
      <w:pPr>
        <w:spacing w:after="0" w:line="56" w:lineRule="exact"/>
        <w:rPr>
          <w:rFonts w:ascii="Arial" w:cs="Arial" w:eastAsia="Arial" w:hAnsi="Arial"/>
          <w:sz w:val="18"/>
          <w:szCs w:val="18"/>
          <w:color w:val="auto"/>
        </w:rPr>
      </w:pPr>
    </w:p>
    <w:p>
      <w:pPr>
        <w:ind w:left="700" w:hanging="433"/>
        <w:spacing w:after="0" w:line="239" w:lineRule="auto"/>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value of accelerated unvested options as of November 3, 2018 is calculated by taking the difference between the closing price of our common stock on Nasdaq on the last trading day of the fiscal year ($87.18 on November 2, 2018) and the option exercise price and multiplying it by the number of accelerated options. For time- and performance-based RSUs/RSAs the value represents the closing price of our common stock on the last trading day of the fiscal year multiplied by the number of accelerated units. For performance-based RSUs, the number of accelerated units assumes vesting at the target level. Accelerated cash awards are equal to 100% of the award.</w:t>
      </w:r>
    </w:p>
    <w:p>
      <w:pPr>
        <w:spacing w:after="0" w:line="140" w:lineRule="exact"/>
        <w:rPr>
          <w:sz w:val="20"/>
          <w:szCs w:val="20"/>
          <w:color w:val="auto"/>
        </w:rPr>
      </w:pPr>
    </w:p>
    <w:p>
      <w:pPr>
        <w:ind w:left="660" w:hanging="393"/>
        <w:spacing w:after="0"/>
        <w:tabs>
          <w:tab w:leader="none" w:pos="660" w:val="left"/>
        </w:tabs>
        <w:numPr>
          <w:ilvl w:val="0"/>
          <w:numId w:val="112"/>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00" w:hanging="433"/>
        <w:spacing w:after="0" w:line="239" w:lineRule="auto"/>
        <w:tabs>
          <w:tab w:leader="none" w:pos="7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November 3, 2018, upon termination by us without cause or by the NEO for good reason after a change in control event, the officer would be entitled to acceleration of vesting of all outstanding unvested stock options or time-based and performance-based RSUs granted under the Company’s 2006 Stock Incentive Plan. RSAs assumed by the Company in connection with the acquisition of Linear Technology for Mr. Pietkiewicz were granted under the Linear 2010 Equity Plan and 75% would accelerate upon termination without cause or by Mr. Pietkiewicz for good reason following a change in control. The number of accelerated units/awards would be as follows:</w:t>
      </w:r>
    </w:p>
    <w:p>
      <w:pPr>
        <w:spacing w:after="0" w:line="21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400" w:type="dxa"/>
            <w:vAlign w:val="bottom"/>
            <w:shd w:val="clear" w:color="auto" w:fill="052B82"/>
          </w:tcPr>
          <w:p>
            <w:pPr>
              <w:spacing w:after="0"/>
              <w:rPr>
                <w:sz w:val="14"/>
                <w:szCs w:val="14"/>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rPr>
              <w:t>Number of</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Number of</w:t>
            </w:r>
          </w:p>
        </w:tc>
        <w:tc>
          <w:tcPr>
            <w:tcW w:w="0" w:type="dxa"/>
            <w:vAlign w:val="bottom"/>
          </w:tcPr>
          <w:p>
            <w:pPr>
              <w:spacing w:after="0"/>
              <w:rPr>
                <w:sz w:val="1"/>
                <w:szCs w:val="1"/>
                <w:color w:val="auto"/>
              </w:rPr>
            </w:pPr>
          </w:p>
        </w:tc>
      </w:tr>
      <w:tr>
        <w:trPr>
          <w:trHeight w:val="160"/>
        </w:trPr>
        <w:tc>
          <w:tcPr>
            <w:tcW w:w="2400" w:type="dxa"/>
            <w:vAlign w:val="bottom"/>
            <w:shd w:val="clear" w:color="auto" w:fill="052B82"/>
          </w:tcPr>
          <w:p>
            <w:pPr>
              <w:spacing w:after="0"/>
              <w:rPr>
                <w:sz w:val="13"/>
                <w:szCs w:val="13"/>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rPr>
              <w:t>Unvested Cash</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Option</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Time-</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Unvested Performance-</w:t>
            </w:r>
          </w:p>
        </w:tc>
        <w:tc>
          <w:tcPr>
            <w:tcW w:w="0" w:type="dxa"/>
            <w:vAlign w:val="bottom"/>
          </w:tcPr>
          <w:p>
            <w:pPr>
              <w:spacing w:after="0"/>
              <w:rPr>
                <w:sz w:val="1"/>
                <w:szCs w:val="1"/>
                <w:color w:val="auto"/>
              </w:rPr>
            </w:pPr>
          </w:p>
        </w:tc>
      </w:tr>
      <w:tr>
        <w:trPr>
          <w:trHeight w:val="160"/>
        </w:trPr>
        <w:tc>
          <w:tcPr>
            <w:tcW w:w="2400" w:type="dxa"/>
            <w:vAlign w:val="bottom"/>
            <w:shd w:val="clear" w:color="auto" w:fill="052B82"/>
          </w:tcPr>
          <w:p>
            <w:pPr>
              <w:spacing w:after="0"/>
              <w:rPr>
                <w:sz w:val="13"/>
                <w:szCs w:val="13"/>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w w:val="99"/>
              </w:rPr>
              <w:t>Awards that</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Awards that</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Based RSUs that</w:t>
            </w:r>
          </w:p>
        </w:tc>
        <w:tc>
          <w:tcPr>
            <w:tcW w:w="0" w:type="dxa"/>
            <w:vAlign w:val="bottom"/>
          </w:tcPr>
          <w:p>
            <w:pPr>
              <w:spacing w:after="0"/>
              <w:rPr>
                <w:sz w:val="1"/>
                <w:szCs w:val="1"/>
                <w:color w:val="auto"/>
              </w:rPr>
            </w:pPr>
          </w:p>
        </w:tc>
      </w:tr>
      <w:tr>
        <w:trPr>
          <w:trHeight w:val="160"/>
        </w:trPr>
        <w:tc>
          <w:tcPr>
            <w:tcW w:w="2400" w:type="dxa"/>
            <w:vAlign w:val="bottom"/>
            <w:shd w:val="clear" w:color="auto" w:fill="052B82"/>
          </w:tcPr>
          <w:p>
            <w:pPr>
              <w:spacing w:after="0"/>
              <w:rPr>
                <w:sz w:val="13"/>
                <w:szCs w:val="13"/>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rPr>
              <w:t>Accelerate upon</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RSAs that</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c>
          <w:tcPr>
            <w:tcW w:w="0" w:type="dxa"/>
            <w:vAlign w:val="bottom"/>
          </w:tcPr>
          <w:p>
            <w:pPr>
              <w:spacing w:after="0"/>
              <w:rPr>
                <w:sz w:val="1"/>
                <w:szCs w:val="1"/>
                <w:color w:val="auto"/>
              </w:rPr>
            </w:pPr>
          </w:p>
        </w:tc>
      </w:tr>
      <w:tr>
        <w:trPr>
          <w:trHeight w:val="160"/>
        </w:trPr>
        <w:tc>
          <w:tcPr>
            <w:tcW w:w="2400" w:type="dxa"/>
            <w:vAlign w:val="bottom"/>
            <w:shd w:val="clear" w:color="auto" w:fill="052B82"/>
          </w:tcPr>
          <w:p>
            <w:pPr>
              <w:spacing w:after="0"/>
              <w:rPr>
                <w:sz w:val="13"/>
                <w:szCs w:val="13"/>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w w:val="99"/>
              </w:rPr>
              <w:t>Termination After</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Termination After</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Accelerate upon</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Termination After a</w:t>
            </w:r>
          </w:p>
        </w:tc>
        <w:tc>
          <w:tcPr>
            <w:tcW w:w="0" w:type="dxa"/>
            <w:vAlign w:val="bottom"/>
          </w:tcPr>
          <w:p>
            <w:pPr>
              <w:spacing w:after="0"/>
              <w:rPr>
                <w:sz w:val="1"/>
                <w:szCs w:val="1"/>
                <w:color w:val="auto"/>
              </w:rPr>
            </w:pPr>
          </w:p>
        </w:tc>
      </w:tr>
      <w:tr>
        <w:trPr>
          <w:trHeight w:val="160"/>
        </w:trPr>
        <w:tc>
          <w:tcPr>
            <w:tcW w:w="2400" w:type="dxa"/>
            <w:vAlign w:val="bottom"/>
            <w:vMerge w:val="restart"/>
            <w:shd w:val="clear" w:color="auto" w:fill="052B82"/>
          </w:tcPr>
          <w:p>
            <w:pPr>
              <w:ind w:left="20"/>
              <w:spacing w:after="0"/>
              <w:rPr>
                <w:sz w:val="20"/>
                <w:szCs w:val="20"/>
                <w:color w:val="auto"/>
              </w:rPr>
            </w:pPr>
            <w:r>
              <w:rPr>
                <w:rFonts w:ascii="Arial" w:cs="Arial" w:eastAsia="Arial" w:hAnsi="Arial"/>
                <w:sz w:val="14"/>
                <w:szCs w:val="14"/>
                <w:b w:val="1"/>
                <w:bCs w:val="1"/>
                <w:color w:val="FFFFFF"/>
              </w:rPr>
              <w:t>Name</w:t>
            </w: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rPr>
              <w:t>a Change in</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a Change in</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w w:val="99"/>
              </w:rPr>
              <w:t>Termination After a</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Change in Control at</w:t>
            </w:r>
          </w:p>
        </w:tc>
        <w:tc>
          <w:tcPr>
            <w:tcW w:w="0" w:type="dxa"/>
            <w:vAlign w:val="bottom"/>
          </w:tcPr>
          <w:p>
            <w:pPr>
              <w:spacing w:after="0"/>
              <w:rPr>
                <w:sz w:val="1"/>
                <w:szCs w:val="1"/>
                <w:color w:val="auto"/>
              </w:rPr>
            </w:pPr>
          </w:p>
        </w:tc>
      </w:tr>
      <w:tr>
        <w:trPr>
          <w:trHeight w:val="187"/>
        </w:trPr>
        <w:tc>
          <w:tcPr>
            <w:tcW w:w="2400" w:type="dxa"/>
            <w:vAlign w:val="bottom"/>
            <w:vMerge w:val="continue"/>
            <w:shd w:val="clear" w:color="auto" w:fill="052B82"/>
          </w:tcPr>
          <w:p>
            <w:pPr>
              <w:spacing w:after="0"/>
              <w:rPr>
                <w:sz w:val="16"/>
                <w:szCs w:val="16"/>
                <w:color w:val="auto"/>
              </w:rPr>
            </w:pPr>
          </w:p>
        </w:tc>
        <w:tc>
          <w:tcPr>
            <w:tcW w:w="1680" w:type="dxa"/>
            <w:vAlign w:val="bottom"/>
            <w:shd w:val="clear" w:color="auto" w:fill="052B82"/>
          </w:tcPr>
          <w:p>
            <w:pPr>
              <w:jc w:val="center"/>
              <w:ind w:right="41"/>
              <w:spacing w:after="0"/>
              <w:rPr>
                <w:sz w:val="20"/>
                <w:szCs w:val="20"/>
                <w:color w:val="auto"/>
              </w:rPr>
            </w:pPr>
            <w:r>
              <w:rPr>
                <w:rFonts w:ascii="Arial" w:cs="Arial" w:eastAsia="Arial" w:hAnsi="Arial"/>
                <w:sz w:val="14"/>
                <w:szCs w:val="14"/>
                <w:b w:val="1"/>
                <w:bCs w:val="1"/>
                <w:color w:val="FFFFFF"/>
              </w:rPr>
              <w:t>Control</w:t>
            </w:r>
          </w:p>
        </w:tc>
        <w:tc>
          <w:tcPr>
            <w:tcW w:w="178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Control</w:t>
            </w:r>
          </w:p>
        </w:tc>
        <w:tc>
          <w:tcPr>
            <w:tcW w:w="19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Change in Control</w:t>
            </w:r>
          </w:p>
        </w:tc>
        <w:tc>
          <w:tcPr>
            <w:tcW w:w="2220" w:type="dxa"/>
            <w:vAlign w:val="bottom"/>
            <w:shd w:val="clear" w:color="auto" w:fill="052B82"/>
          </w:tcPr>
          <w:p>
            <w:pPr>
              <w:jc w:val="center"/>
              <w:spacing w:after="0"/>
              <w:rPr>
                <w:sz w:val="20"/>
                <w:szCs w:val="20"/>
                <w:color w:val="auto"/>
              </w:rPr>
            </w:pPr>
            <w:r>
              <w:rPr>
                <w:rFonts w:ascii="Arial" w:cs="Arial" w:eastAsia="Arial" w:hAnsi="Arial"/>
                <w:sz w:val="14"/>
                <w:szCs w:val="14"/>
                <w:b w:val="1"/>
                <w:bCs w:val="1"/>
                <w:color w:val="FFFFFF"/>
              </w:rPr>
              <w:t>Target Achievement</w:t>
            </w: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line="201" w:lineRule="exact"/>
              <w:rPr>
                <w:sz w:val="20"/>
                <w:szCs w:val="20"/>
                <w:color w:val="auto"/>
              </w:rPr>
            </w:pPr>
            <w:r>
              <w:rPr>
                <w:rFonts w:ascii="Arial" w:cs="Arial" w:eastAsia="Arial" w:hAnsi="Arial"/>
                <w:sz w:val="18"/>
                <w:szCs w:val="18"/>
                <w:color w:val="auto"/>
              </w:rPr>
              <w:t>Vincent Roche</w:t>
            </w:r>
          </w:p>
        </w:tc>
        <w:tc>
          <w:tcPr>
            <w:tcW w:w="1680" w:type="dxa"/>
            <w:vAlign w:val="bottom"/>
          </w:tcPr>
          <w:p>
            <w:pPr>
              <w:ind w:left="1080"/>
              <w:spacing w:after="0" w:line="201"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21"/>
              <w:spacing w:after="0" w:line="201" w:lineRule="exact"/>
              <w:rPr>
                <w:sz w:val="20"/>
                <w:szCs w:val="20"/>
                <w:color w:val="auto"/>
              </w:rPr>
            </w:pPr>
            <w:r>
              <w:rPr>
                <w:rFonts w:ascii="Arial" w:cs="Arial" w:eastAsia="Arial" w:hAnsi="Arial"/>
                <w:sz w:val="18"/>
                <w:szCs w:val="18"/>
                <w:color w:val="auto"/>
              </w:rPr>
              <w:t>327,989</w:t>
            </w:r>
          </w:p>
        </w:tc>
        <w:tc>
          <w:tcPr>
            <w:tcW w:w="1920" w:type="dxa"/>
            <w:vAlign w:val="bottom"/>
          </w:tcPr>
          <w:p>
            <w:pPr>
              <w:jc w:val="right"/>
              <w:ind w:right="241"/>
              <w:spacing w:after="0" w:line="201" w:lineRule="exact"/>
              <w:rPr>
                <w:sz w:val="20"/>
                <w:szCs w:val="20"/>
                <w:color w:val="auto"/>
              </w:rPr>
            </w:pPr>
            <w:r>
              <w:rPr>
                <w:rFonts w:ascii="Arial" w:cs="Arial" w:eastAsia="Arial" w:hAnsi="Arial"/>
                <w:sz w:val="18"/>
                <w:szCs w:val="18"/>
                <w:color w:val="auto"/>
              </w:rPr>
              <w:t>84,188</w:t>
            </w:r>
          </w:p>
        </w:tc>
        <w:tc>
          <w:tcPr>
            <w:tcW w:w="2220" w:type="dxa"/>
            <w:vAlign w:val="bottom"/>
          </w:tcPr>
          <w:p>
            <w:pPr>
              <w:jc w:val="right"/>
              <w:ind w:right="241"/>
              <w:spacing w:after="0" w:line="201" w:lineRule="exact"/>
              <w:rPr>
                <w:sz w:val="20"/>
                <w:szCs w:val="20"/>
                <w:color w:val="auto"/>
              </w:rPr>
            </w:pPr>
            <w:r>
              <w:rPr>
                <w:rFonts w:ascii="Arial" w:cs="Arial" w:eastAsia="Arial" w:hAnsi="Arial"/>
                <w:sz w:val="18"/>
                <w:szCs w:val="18"/>
                <w:color w:val="auto"/>
              </w:rPr>
              <w:t>84,188</w:t>
            </w:r>
          </w:p>
        </w:tc>
        <w:tc>
          <w:tcPr>
            <w:tcW w:w="0" w:type="dxa"/>
            <w:vAlign w:val="bottom"/>
          </w:tcPr>
          <w:p>
            <w:pPr>
              <w:spacing w:after="0"/>
              <w:rPr>
                <w:sz w:val="1"/>
                <w:szCs w:val="1"/>
                <w:color w:val="auto"/>
              </w:rPr>
            </w:pPr>
          </w:p>
        </w:tc>
      </w:tr>
      <w:tr>
        <w:trPr>
          <w:trHeight w:val="200"/>
        </w:trPr>
        <w:tc>
          <w:tcPr>
            <w:tcW w:w="240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Prashanth Mahendra-Rajah</w:t>
            </w:r>
          </w:p>
        </w:tc>
        <w:tc>
          <w:tcPr>
            <w:tcW w:w="1680" w:type="dxa"/>
            <w:vAlign w:val="bottom"/>
            <w:shd w:val="clear" w:color="auto" w:fill="E8EDF4"/>
          </w:tcPr>
          <w:p>
            <w:pPr>
              <w:ind w:left="1080"/>
              <w:spacing w:after="0" w:line="201" w:lineRule="exact"/>
              <w:rPr>
                <w:sz w:val="20"/>
                <w:szCs w:val="20"/>
                <w:color w:val="auto"/>
              </w:rPr>
            </w:pPr>
            <w:r>
              <w:rPr>
                <w:rFonts w:ascii="Arial" w:cs="Arial" w:eastAsia="Arial" w:hAnsi="Arial"/>
                <w:sz w:val="18"/>
                <w:szCs w:val="18"/>
                <w:color w:val="auto"/>
              </w:rPr>
              <w:t>—</w:t>
            </w:r>
          </w:p>
        </w:tc>
        <w:tc>
          <w:tcPr>
            <w:tcW w:w="1780" w:type="dxa"/>
            <w:vAlign w:val="bottom"/>
            <w:shd w:val="clear" w:color="auto" w:fill="E8EDF4"/>
          </w:tcPr>
          <w:p>
            <w:pPr>
              <w:jc w:val="right"/>
              <w:ind w:right="221"/>
              <w:spacing w:after="0" w:line="201" w:lineRule="exact"/>
              <w:rPr>
                <w:sz w:val="20"/>
                <w:szCs w:val="20"/>
                <w:color w:val="auto"/>
              </w:rPr>
            </w:pPr>
            <w:r>
              <w:rPr>
                <w:rFonts w:ascii="Arial" w:cs="Arial" w:eastAsia="Arial" w:hAnsi="Arial"/>
                <w:sz w:val="18"/>
                <w:szCs w:val="18"/>
                <w:color w:val="auto"/>
              </w:rPr>
              <w:t>34,779</w:t>
            </w:r>
          </w:p>
        </w:tc>
        <w:tc>
          <w:tcPr>
            <w:tcW w:w="1920" w:type="dxa"/>
            <w:vAlign w:val="bottom"/>
            <w:shd w:val="clear" w:color="auto" w:fill="E8EDF4"/>
          </w:tcPr>
          <w:p>
            <w:pPr>
              <w:jc w:val="right"/>
              <w:ind w:right="241"/>
              <w:spacing w:after="0" w:line="201" w:lineRule="exact"/>
              <w:rPr>
                <w:sz w:val="20"/>
                <w:szCs w:val="20"/>
                <w:color w:val="auto"/>
              </w:rPr>
            </w:pPr>
            <w:r>
              <w:rPr>
                <w:rFonts w:ascii="Arial" w:cs="Arial" w:eastAsia="Arial" w:hAnsi="Arial"/>
                <w:sz w:val="18"/>
                <w:szCs w:val="18"/>
                <w:color w:val="auto"/>
              </w:rPr>
              <w:t>24,125</w:t>
            </w:r>
          </w:p>
        </w:tc>
        <w:tc>
          <w:tcPr>
            <w:tcW w:w="2220" w:type="dxa"/>
            <w:vAlign w:val="bottom"/>
            <w:shd w:val="clear" w:color="auto" w:fill="E8EDF4"/>
          </w:tcPr>
          <w:p>
            <w:pPr>
              <w:jc w:val="right"/>
              <w:ind w:right="241"/>
              <w:spacing w:after="0" w:line="201" w:lineRule="exact"/>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00"/>
        </w:trPr>
        <w:tc>
          <w:tcPr>
            <w:tcW w:w="2400" w:type="dxa"/>
            <w:vAlign w:val="bottom"/>
          </w:tcPr>
          <w:p>
            <w:pPr>
              <w:ind w:left="40"/>
              <w:spacing w:after="0" w:line="201" w:lineRule="exact"/>
              <w:rPr>
                <w:sz w:val="20"/>
                <w:szCs w:val="20"/>
                <w:color w:val="auto"/>
              </w:rPr>
            </w:pPr>
            <w:r>
              <w:rPr>
                <w:rFonts w:ascii="Arial" w:cs="Arial" w:eastAsia="Arial" w:hAnsi="Arial"/>
                <w:sz w:val="18"/>
                <w:szCs w:val="18"/>
                <w:color w:val="auto"/>
              </w:rPr>
              <w:t>Martin Cotter</w:t>
            </w:r>
          </w:p>
        </w:tc>
        <w:tc>
          <w:tcPr>
            <w:tcW w:w="1680" w:type="dxa"/>
            <w:vAlign w:val="bottom"/>
          </w:tcPr>
          <w:p>
            <w:pPr>
              <w:ind w:left="1080"/>
              <w:spacing w:after="0" w:line="201" w:lineRule="exact"/>
              <w:rPr>
                <w:sz w:val="20"/>
                <w:szCs w:val="20"/>
                <w:color w:val="auto"/>
              </w:rPr>
            </w:pPr>
            <w:r>
              <w:rPr>
                <w:rFonts w:ascii="Arial" w:cs="Arial" w:eastAsia="Arial" w:hAnsi="Arial"/>
                <w:sz w:val="18"/>
                <w:szCs w:val="18"/>
                <w:color w:val="auto"/>
              </w:rPr>
              <w:t>—</w:t>
            </w:r>
          </w:p>
        </w:tc>
        <w:tc>
          <w:tcPr>
            <w:tcW w:w="1780" w:type="dxa"/>
            <w:vAlign w:val="bottom"/>
          </w:tcPr>
          <w:p>
            <w:pPr>
              <w:jc w:val="right"/>
              <w:ind w:right="221"/>
              <w:spacing w:after="0" w:line="201" w:lineRule="exact"/>
              <w:rPr>
                <w:sz w:val="20"/>
                <w:szCs w:val="20"/>
                <w:color w:val="auto"/>
              </w:rPr>
            </w:pPr>
            <w:r>
              <w:rPr>
                <w:rFonts w:ascii="Arial" w:cs="Arial" w:eastAsia="Arial" w:hAnsi="Arial"/>
                <w:sz w:val="18"/>
                <w:szCs w:val="18"/>
                <w:color w:val="auto"/>
              </w:rPr>
              <w:t>63,239</w:t>
            </w:r>
          </w:p>
        </w:tc>
        <w:tc>
          <w:tcPr>
            <w:tcW w:w="1920" w:type="dxa"/>
            <w:vAlign w:val="bottom"/>
          </w:tcPr>
          <w:p>
            <w:pPr>
              <w:jc w:val="right"/>
              <w:ind w:right="241"/>
              <w:spacing w:after="0" w:line="201" w:lineRule="exact"/>
              <w:rPr>
                <w:sz w:val="20"/>
                <w:szCs w:val="20"/>
                <w:color w:val="auto"/>
              </w:rPr>
            </w:pPr>
            <w:r>
              <w:rPr>
                <w:rFonts w:ascii="Arial" w:cs="Arial" w:eastAsia="Arial" w:hAnsi="Arial"/>
                <w:sz w:val="18"/>
                <w:szCs w:val="18"/>
                <w:color w:val="auto"/>
              </w:rPr>
              <w:t>18,813</w:t>
            </w:r>
          </w:p>
        </w:tc>
        <w:tc>
          <w:tcPr>
            <w:tcW w:w="2220" w:type="dxa"/>
            <w:vAlign w:val="bottom"/>
          </w:tcPr>
          <w:p>
            <w:pPr>
              <w:jc w:val="right"/>
              <w:ind w:right="241"/>
              <w:spacing w:after="0" w:line="201" w:lineRule="exact"/>
              <w:rPr>
                <w:sz w:val="20"/>
                <w:szCs w:val="20"/>
                <w:color w:val="auto"/>
              </w:rPr>
            </w:pPr>
            <w:r>
              <w:rPr>
                <w:rFonts w:ascii="Arial" w:cs="Arial" w:eastAsia="Arial" w:hAnsi="Arial"/>
                <w:sz w:val="18"/>
                <w:szCs w:val="18"/>
                <w:color w:val="auto"/>
              </w:rPr>
              <w:t>23,966</w:t>
            </w:r>
          </w:p>
        </w:tc>
        <w:tc>
          <w:tcPr>
            <w:tcW w:w="0" w:type="dxa"/>
            <w:vAlign w:val="bottom"/>
          </w:tcPr>
          <w:p>
            <w:pPr>
              <w:spacing w:after="0"/>
              <w:rPr>
                <w:sz w:val="1"/>
                <w:szCs w:val="1"/>
                <w:color w:val="auto"/>
              </w:rPr>
            </w:pPr>
          </w:p>
        </w:tc>
      </w:tr>
      <w:tr>
        <w:trPr>
          <w:trHeight w:val="200"/>
        </w:trPr>
        <w:tc>
          <w:tcPr>
            <w:tcW w:w="240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John Hassett</w:t>
            </w:r>
          </w:p>
        </w:tc>
        <w:tc>
          <w:tcPr>
            <w:tcW w:w="1680" w:type="dxa"/>
            <w:vAlign w:val="bottom"/>
            <w:shd w:val="clear" w:color="auto" w:fill="E8EDF4"/>
          </w:tcPr>
          <w:p>
            <w:pPr>
              <w:ind w:left="1080"/>
              <w:spacing w:after="0" w:line="201" w:lineRule="exact"/>
              <w:rPr>
                <w:sz w:val="20"/>
                <w:szCs w:val="20"/>
                <w:color w:val="auto"/>
              </w:rPr>
            </w:pPr>
            <w:r>
              <w:rPr>
                <w:rFonts w:ascii="Arial" w:cs="Arial" w:eastAsia="Arial" w:hAnsi="Arial"/>
                <w:sz w:val="18"/>
                <w:szCs w:val="18"/>
                <w:color w:val="auto"/>
              </w:rPr>
              <w:t>—</w:t>
            </w:r>
          </w:p>
        </w:tc>
        <w:tc>
          <w:tcPr>
            <w:tcW w:w="1780" w:type="dxa"/>
            <w:vAlign w:val="bottom"/>
            <w:shd w:val="clear" w:color="auto" w:fill="E8EDF4"/>
          </w:tcPr>
          <w:p>
            <w:pPr>
              <w:jc w:val="right"/>
              <w:ind w:right="221"/>
              <w:spacing w:after="0" w:line="201" w:lineRule="exact"/>
              <w:rPr>
                <w:sz w:val="20"/>
                <w:szCs w:val="20"/>
                <w:color w:val="auto"/>
              </w:rPr>
            </w:pPr>
            <w:r>
              <w:rPr>
                <w:rFonts w:ascii="Arial" w:cs="Arial" w:eastAsia="Arial" w:hAnsi="Arial"/>
                <w:sz w:val="18"/>
                <w:szCs w:val="18"/>
                <w:color w:val="auto"/>
              </w:rPr>
              <w:t>61,593</w:t>
            </w:r>
          </w:p>
        </w:tc>
        <w:tc>
          <w:tcPr>
            <w:tcW w:w="1920" w:type="dxa"/>
            <w:vAlign w:val="bottom"/>
            <w:shd w:val="clear" w:color="auto" w:fill="E8EDF4"/>
          </w:tcPr>
          <w:p>
            <w:pPr>
              <w:jc w:val="right"/>
              <w:ind w:right="241"/>
              <w:spacing w:after="0" w:line="201" w:lineRule="exact"/>
              <w:rPr>
                <w:sz w:val="20"/>
                <w:szCs w:val="20"/>
                <w:color w:val="auto"/>
              </w:rPr>
            </w:pPr>
            <w:r>
              <w:rPr>
                <w:rFonts w:ascii="Arial" w:cs="Arial" w:eastAsia="Arial" w:hAnsi="Arial"/>
                <w:sz w:val="18"/>
                <w:szCs w:val="18"/>
                <w:color w:val="auto"/>
              </w:rPr>
              <w:t>17,757</w:t>
            </w:r>
          </w:p>
        </w:tc>
        <w:tc>
          <w:tcPr>
            <w:tcW w:w="2220" w:type="dxa"/>
            <w:vAlign w:val="bottom"/>
            <w:shd w:val="clear" w:color="auto" w:fill="E8EDF4"/>
          </w:tcPr>
          <w:p>
            <w:pPr>
              <w:jc w:val="right"/>
              <w:ind w:right="241"/>
              <w:spacing w:after="0" w:line="201" w:lineRule="exact"/>
              <w:rPr>
                <w:sz w:val="20"/>
                <w:szCs w:val="20"/>
                <w:color w:val="auto"/>
              </w:rPr>
            </w:pPr>
            <w:r>
              <w:rPr>
                <w:rFonts w:ascii="Arial" w:cs="Arial" w:eastAsia="Arial" w:hAnsi="Arial"/>
                <w:sz w:val="18"/>
                <w:szCs w:val="18"/>
                <w:color w:val="auto"/>
              </w:rPr>
              <w:t>30,655</w:t>
            </w:r>
          </w:p>
        </w:tc>
        <w:tc>
          <w:tcPr>
            <w:tcW w:w="0" w:type="dxa"/>
            <w:vAlign w:val="bottom"/>
          </w:tcPr>
          <w:p>
            <w:pPr>
              <w:spacing w:after="0"/>
              <w:rPr>
                <w:sz w:val="1"/>
                <w:szCs w:val="1"/>
                <w:color w:val="auto"/>
              </w:rPr>
            </w:pPr>
          </w:p>
        </w:tc>
      </w:tr>
      <w:tr>
        <w:trPr>
          <w:trHeight w:val="239"/>
        </w:trPr>
        <w:tc>
          <w:tcPr>
            <w:tcW w:w="2400" w:type="dxa"/>
            <w:vAlign w:val="bottom"/>
          </w:tcPr>
          <w:p>
            <w:pPr>
              <w:ind w:left="40"/>
              <w:spacing w:after="0"/>
              <w:rPr>
                <w:sz w:val="20"/>
                <w:szCs w:val="20"/>
                <w:color w:val="auto"/>
              </w:rPr>
            </w:pPr>
            <w:r>
              <w:rPr>
                <w:rFonts w:ascii="Arial" w:cs="Arial" w:eastAsia="Arial" w:hAnsi="Arial"/>
                <w:sz w:val="18"/>
                <w:szCs w:val="18"/>
                <w:color w:val="auto"/>
              </w:rPr>
              <w:t>Steve Pietkiewicz</w:t>
            </w:r>
          </w:p>
        </w:tc>
        <w:tc>
          <w:tcPr>
            <w:tcW w:w="1680" w:type="dxa"/>
            <w:vAlign w:val="bottom"/>
          </w:tcPr>
          <w:p>
            <w:pPr>
              <w:ind w:left="720"/>
              <w:spacing w:after="0"/>
              <w:rPr>
                <w:sz w:val="20"/>
                <w:szCs w:val="20"/>
                <w:color w:val="auto"/>
              </w:rPr>
            </w:pPr>
            <w:r>
              <w:rPr>
                <w:rFonts w:ascii="Arial" w:cs="Arial" w:eastAsia="Arial" w:hAnsi="Arial"/>
                <w:sz w:val="18"/>
                <w:szCs w:val="18"/>
                <w:color w:val="auto"/>
              </w:rPr>
              <w:t>610,650</w:t>
            </w:r>
          </w:p>
        </w:tc>
        <w:tc>
          <w:tcPr>
            <w:tcW w:w="1780" w:type="dxa"/>
            <w:vAlign w:val="bottom"/>
          </w:tcPr>
          <w:p>
            <w:pPr>
              <w:jc w:val="right"/>
              <w:ind w:right="221"/>
              <w:spacing w:after="0"/>
              <w:rPr>
                <w:sz w:val="20"/>
                <w:szCs w:val="20"/>
                <w:color w:val="auto"/>
              </w:rPr>
            </w:pPr>
            <w:r>
              <w:rPr>
                <w:rFonts w:ascii="Arial" w:cs="Arial" w:eastAsia="Arial" w:hAnsi="Arial"/>
                <w:sz w:val="18"/>
                <w:szCs w:val="18"/>
                <w:color w:val="auto"/>
              </w:rPr>
              <w:t>48,026</w:t>
            </w:r>
          </w:p>
        </w:tc>
        <w:tc>
          <w:tcPr>
            <w:tcW w:w="1920" w:type="dxa"/>
            <w:vAlign w:val="bottom"/>
          </w:tcPr>
          <w:p>
            <w:pPr>
              <w:jc w:val="right"/>
              <w:ind w:right="241"/>
              <w:spacing w:after="0"/>
              <w:rPr>
                <w:sz w:val="20"/>
                <w:szCs w:val="20"/>
                <w:color w:val="auto"/>
              </w:rPr>
            </w:pPr>
            <w:r>
              <w:rPr>
                <w:rFonts w:ascii="Arial" w:cs="Arial" w:eastAsia="Arial" w:hAnsi="Arial"/>
                <w:sz w:val="18"/>
                <w:szCs w:val="18"/>
                <w:color w:val="auto"/>
              </w:rPr>
              <w:t>46,787</w:t>
            </w:r>
          </w:p>
        </w:tc>
        <w:tc>
          <w:tcPr>
            <w:tcW w:w="2220" w:type="dxa"/>
            <w:vAlign w:val="bottom"/>
          </w:tcPr>
          <w:p>
            <w:pPr>
              <w:jc w:val="right"/>
              <w:ind w:right="241"/>
              <w:spacing w:after="0"/>
              <w:rPr>
                <w:sz w:val="20"/>
                <w:szCs w:val="20"/>
                <w:color w:val="auto"/>
              </w:rPr>
            </w:pPr>
            <w:r>
              <w:rPr>
                <w:rFonts w:ascii="Arial" w:cs="Arial" w:eastAsia="Arial" w:hAnsi="Arial"/>
                <w:sz w:val="18"/>
                <w:szCs w:val="18"/>
                <w:color w:val="auto"/>
              </w:rPr>
              <w:t>20,868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700" w:hanging="433"/>
        <w:spacing w:after="0" w:line="250" w:lineRule="auto"/>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Amounts include life, disability, dental, accident and group health insurance benefit continuation for 24 months after a termination in connection with a change in control. The annual benefit costs for each executive are: $12,995 for Messrs. Roche and Cotter, $20,296 for Mr. Mahendra-Rajah, $14,208 for Mr. Hassett and $23,569 for Mr. Pietkiewicz.</w:t>
      </w:r>
    </w:p>
    <w:p>
      <w:pPr>
        <w:spacing w:after="0" w:line="74" w:lineRule="exact"/>
        <w:rPr>
          <w:rFonts w:ascii="Arial" w:cs="Arial" w:eastAsia="Arial" w:hAnsi="Arial"/>
          <w:sz w:val="18"/>
          <w:szCs w:val="18"/>
          <w:color w:val="auto"/>
        </w:rPr>
      </w:pPr>
    </w:p>
    <w:p>
      <w:pPr>
        <w:ind w:left="700" w:right="40" w:hanging="433"/>
        <w:spacing w:after="0" w:line="254" w:lineRule="auto"/>
        <w:tabs>
          <w:tab w:leader="none" w:pos="7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calculating the excise tax gross-up amounts, we take into account Mr. Roche’s earnings from ADI for the prior five years. We include the change in control cash severance and bonus, valuations of unvested stock options that become vested upon a change in control (using the fiscal 2018 year-end closing stock price), valuations of time-based and performance-based RSUs that become vested upon a change in control (using the fiscal 2018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73" w:lineRule="exact"/>
        <w:rPr>
          <w:rFonts w:ascii="Arial" w:cs="Arial" w:eastAsia="Arial" w:hAnsi="Arial"/>
          <w:sz w:val="17"/>
          <w:szCs w:val="17"/>
          <w:color w:val="auto"/>
        </w:rPr>
      </w:pPr>
    </w:p>
    <w:p>
      <w:pPr>
        <w:ind w:left="700" w:hanging="433"/>
        <w:spacing w:after="0" w:line="238" w:lineRule="auto"/>
        <w:tabs>
          <w:tab w:leader="none" w:pos="7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the terms of the Linear Technology Corporation Change in Control Agreement, if the Company terminates Mr. Pietkiewicz’s employment without cause or he terminates his employment for good reason on or before March 10, 2019 (the second anniversary of Linear Technology’s change in control), then he will receive: a lump sum payment equal to 100% of his annual base salary as in effect immediately prior to his termination date; a lump sum payment equal to 100% of his bonus amount; accelerated vesting of 75% of his unvested equity awards assumed by the Company in connection with the acquisition of Linear Technology; and life, disability, dental, accident and group health insurance benefit continuation for 12 months after a termination in connection with a change in control.</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CEO PAY RATIO</w:t>
      </w:r>
    </w:p>
    <w:p>
      <w:pPr>
        <w:spacing w:after="0" w:line="102" w:lineRule="exact"/>
        <w:rPr>
          <w:sz w:val="20"/>
          <w:szCs w:val="20"/>
          <w:color w:val="auto"/>
        </w:rPr>
      </w:pPr>
    </w:p>
    <w:p>
      <w:pPr>
        <w:jc w:val="both"/>
        <w:ind w:left="260" w:right="240" w:firstLine="435"/>
        <w:spacing w:after="0" w:line="250"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the Company’s President and Chief Executive Officer.</w:t>
      </w:r>
    </w:p>
    <w:p>
      <w:pPr>
        <w:spacing w:after="0" w:line="168" w:lineRule="exact"/>
        <w:rPr>
          <w:sz w:val="20"/>
          <w:szCs w:val="20"/>
          <w:color w:val="auto"/>
        </w:rPr>
      </w:pPr>
    </w:p>
    <w:p>
      <w:pPr>
        <w:ind w:left="260" w:right="180" w:firstLine="435"/>
        <w:spacing w:after="0" w:line="244"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w:t>
      </w:r>
    </w:p>
    <w:p>
      <w:pPr>
        <w:spacing w:after="0" w:line="1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67</w:t>
      </w:r>
    </w:p>
    <w:p>
      <w:pPr>
        <w:sectPr>
          <w:pgSz w:w="11900" w:h="16838" w:orient="portrait"/>
          <w:cols w:equalWidth="0" w:num="1">
            <w:col w:w="11160"/>
          </w:cols>
          <w:pgMar w:left="240" w:top="453"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260" w:right="60"/>
        <w:spacing w:after="0" w:line="250" w:lineRule="auto"/>
        <w:rPr>
          <w:sz w:val="20"/>
          <w:szCs w:val="20"/>
          <w:color w:val="auto"/>
        </w:rPr>
      </w:pPr>
      <w:r>
        <w:rPr>
          <w:rFonts w:ascii="Arial" w:cs="Arial" w:eastAsia="Arial" w:hAnsi="Arial"/>
          <w:sz w:val="18"/>
          <w:szCs w:val="18"/>
          <w:color w:val="auto"/>
        </w:rPr>
        <w:t>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168" w:lineRule="exact"/>
        <w:rPr>
          <w:sz w:val="20"/>
          <w:szCs w:val="20"/>
          <w:color w:val="auto"/>
        </w:rPr>
      </w:pPr>
    </w:p>
    <w:p>
      <w:pPr>
        <w:ind w:left="260" w:right="120" w:firstLine="435"/>
        <w:spacing w:after="0" w:line="269" w:lineRule="auto"/>
        <w:rPr>
          <w:sz w:val="20"/>
          <w:szCs w:val="20"/>
          <w:color w:val="auto"/>
        </w:rPr>
      </w:pPr>
      <w:r>
        <w:rPr>
          <w:rFonts w:ascii="Arial" w:cs="Arial" w:eastAsia="Arial" w:hAnsi="Arial"/>
          <w:sz w:val="18"/>
          <w:szCs w:val="18"/>
          <w:color w:val="auto"/>
        </w:rPr>
        <w:t>To identify the median employee and to determine such employee’s annual total compensation, we used the following methodology and material assumptions, adjustments and estimates:</w:t>
      </w:r>
    </w:p>
    <w:p>
      <w:pPr>
        <w:spacing w:after="0" w:line="57" w:lineRule="exact"/>
        <w:rPr>
          <w:sz w:val="20"/>
          <w:szCs w:val="20"/>
          <w:color w:val="auto"/>
        </w:rPr>
      </w:pPr>
    </w:p>
    <w:p>
      <w:pPr>
        <w:ind w:left="1120" w:hanging="319"/>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selected November 1, 2018, as the date upon which we would identify the “median employee.”</w:t>
      </w:r>
    </w:p>
    <w:p>
      <w:pPr>
        <w:spacing w:after="0" w:line="113" w:lineRule="exact"/>
        <w:rPr>
          <w:rFonts w:ascii="Arial" w:cs="Arial" w:eastAsia="Arial" w:hAnsi="Arial"/>
          <w:sz w:val="18"/>
          <w:szCs w:val="18"/>
          <w:color w:val="auto"/>
        </w:rPr>
      </w:pPr>
    </w:p>
    <w:p>
      <w:pPr>
        <w:ind w:left="1120" w:hanging="319"/>
        <w:spacing w:after="0"/>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used our global employee population as of this date.</w:t>
      </w:r>
    </w:p>
    <w:p>
      <w:pPr>
        <w:spacing w:after="0" w:line="113" w:lineRule="exact"/>
        <w:rPr>
          <w:rFonts w:ascii="Arial" w:cs="Arial" w:eastAsia="Arial" w:hAnsi="Arial"/>
          <w:sz w:val="18"/>
          <w:szCs w:val="18"/>
          <w:color w:val="auto"/>
        </w:rPr>
      </w:pPr>
    </w:p>
    <w:p>
      <w:pPr>
        <w:ind w:left="1120" w:hanging="319"/>
        <w:spacing w:after="0" w:line="250"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identify the median employee, we used annual base salary and target bonus (or sales incentive) at a target of 1.0x of annual base salary. Base salaries were annualized for all permanent employees who were employees for less than the full fiscal year and not on an unpaid leave of absence as of the identification date.</w:t>
      </w:r>
    </w:p>
    <w:p>
      <w:pPr>
        <w:spacing w:after="0" w:line="74" w:lineRule="exact"/>
        <w:rPr>
          <w:rFonts w:ascii="Arial" w:cs="Arial" w:eastAsia="Arial" w:hAnsi="Arial"/>
          <w:sz w:val="18"/>
          <w:szCs w:val="18"/>
          <w:color w:val="auto"/>
        </w:rPr>
      </w:pPr>
    </w:p>
    <w:p>
      <w:pPr>
        <w:ind w:left="1120" w:right="120" w:hanging="319"/>
        <w:spacing w:after="0" w:line="269"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identified and calculated the elements of the median employee’s total compensation for fiscal 2018 in accordance with the requirements of Item 402(c)(2)(x) of Regulation S-K.</w:t>
      </w:r>
    </w:p>
    <w:p>
      <w:pPr>
        <w:spacing w:after="0" w:line="56" w:lineRule="exact"/>
        <w:rPr>
          <w:rFonts w:ascii="Arial" w:cs="Arial" w:eastAsia="Arial" w:hAnsi="Arial"/>
          <w:sz w:val="18"/>
          <w:szCs w:val="18"/>
          <w:color w:val="auto"/>
        </w:rPr>
      </w:pPr>
    </w:p>
    <w:p>
      <w:pPr>
        <w:ind w:left="1120" w:hanging="319"/>
        <w:spacing w:after="0" w:line="269" w:lineRule="auto"/>
        <w:tabs>
          <w:tab w:leader="none" w:pos="11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applied the exchange rate that we utilize in our accounting system, as of our fiscal year end (November 3, 2018), to convert foreign currency to U.S. dollars.</w:t>
      </w:r>
    </w:p>
    <w:p>
      <w:pPr>
        <w:spacing w:after="0" w:line="150" w:lineRule="exact"/>
        <w:rPr>
          <w:sz w:val="20"/>
          <w:szCs w:val="20"/>
          <w:color w:val="auto"/>
        </w:rPr>
      </w:pPr>
    </w:p>
    <w:p>
      <w:pPr>
        <w:ind w:left="260" w:right="220" w:firstLine="435"/>
        <w:spacing w:after="0" w:line="241" w:lineRule="auto"/>
        <w:rPr>
          <w:sz w:val="20"/>
          <w:szCs w:val="20"/>
          <w:color w:val="auto"/>
        </w:rPr>
      </w:pPr>
      <w:r>
        <w:rPr>
          <w:rFonts w:ascii="Arial" w:cs="Arial" w:eastAsia="Arial" w:hAnsi="Arial"/>
          <w:sz w:val="18"/>
          <w:szCs w:val="18"/>
          <w:color w:val="auto"/>
        </w:rPr>
        <w:t>For fiscal 2018, the annual total compensation of the median employee of Analog Devices (other than our Chief Executive Officer) was $53,821. The annual total compensation of our Chief Executive Officer for fiscal 2018 was $11,007,691, which is the annual total compensation of our Chief Executive Officer reported in the “Total” column of the Summary Compensation Table appearing on page 55. Based on this information, the ratio of the annual total compensation of our Chief Executive Officer to the median of the annual total compensation of all other employees was approximately 205 to 1.</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EQUITY AWARD PROGRAM DESCRIPTION</w:t>
      </w:r>
    </w:p>
    <w:p>
      <w:pPr>
        <w:spacing w:after="0" w:line="102" w:lineRule="exact"/>
        <w:rPr>
          <w:sz w:val="20"/>
          <w:szCs w:val="20"/>
          <w:color w:val="auto"/>
        </w:rPr>
      </w:pPr>
    </w:p>
    <w:p>
      <w:pPr>
        <w:ind w:left="260" w:right="20" w:firstLine="435"/>
        <w:spacing w:after="0" w:line="235" w:lineRule="auto"/>
        <w:rPr>
          <w:sz w:val="20"/>
          <w:szCs w:val="20"/>
          <w:color w:val="auto"/>
        </w:rPr>
      </w:pPr>
      <w:r>
        <w:rPr>
          <w:rFonts w:ascii="Arial" w:cs="Arial" w:eastAsia="Arial" w:hAnsi="Arial"/>
          <w:sz w:val="18"/>
          <w:szCs w:val="18"/>
          <w:color w:val="auto"/>
        </w:rPr>
        <w:t>Our equity award program is a broad-based, long-term employee retention program that is intended to attract, retain and motivate our employees, officers and directors and to align their interests with those of our shareholders. Under our 2006 Stock Incentive Plan, we may grant options to purchase shares of our common stock, stock appreciation rights, restricted stock, restricted stock units and other stock-based awards to all employees, officers, directors, consultants and advisors of ADI. All stock options have a term of ten years, and for employees, generally vest in four equal installments on each of the first, second, third and fourth anniversaries of the date of grant, subject to full or partial acceleration upon death, disability or a change in control. The 2006 Stock Incentive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performance-based RSUs have three year performance periods under which the number of shares of ADI common stock received following vesting, if any, will be based on ADI’s TSR performance measured against the median TSR of a comparator group of companies over the three-year period. RSUs granted under the 2006 Stock Incentive Plan are subject to full or partial acceleration upon death, disability or a change in control.</w:t>
      </w:r>
    </w:p>
    <w:p>
      <w:pPr>
        <w:spacing w:after="0" w:line="185" w:lineRule="exact"/>
        <w:rPr>
          <w:sz w:val="20"/>
          <w:szCs w:val="20"/>
          <w:color w:val="auto"/>
        </w:rPr>
      </w:pPr>
    </w:p>
    <w:p>
      <w:pPr>
        <w:ind w:left="260" w:firstLine="435"/>
        <w:spacing w:after="0" w:line="237" w:lineRule="auto"/>
        <w:rPr>
          <w:sz w:val="20"/>
          <w:szCs w:val="20"/>
          <w:color w:val="auto"/>
        </w:rPr>
      </w:pPr>
      <w:r>
        <w:rPr>
          <w:rFonts w:ascii="Arial" w:cs="Arial" w:eastAsia="Arial" w:hAnsi="Arial"/>
          <w:sz w:val="18"/>
          <w:szCs w:val="18"/>
          <w:color w:val="auto"/>
        </w:rPr>
        <w:t>Under our 2010 Plan, which we assumed as part of the Linear Technology acquisition, we may grant options to purchase shares of our common stock, stock appreciation rights, restricted stock, restricted stock units and other stock-based awards to legacy Linear employees. All stock options have a term of ten years, and for employees, generally vest in four equal installments on each of the first, second, third and fourth anniversaries of the date of grant, subject to full or partial acceleration upon death or disability. The 2010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Committee has discretion to determine the treatment of outstanding awards under the 2010 Plan in the event of a change in control.</w:t>
      </w:r>
    </w:p>
    <w:p>
      <w:pPr>
        <w:spacing w:after="0" w:line="142" w:lineRule="exact"/>
        <w:rPr>
          <w:sz w:val="20"/>
          <w:szCs w:val="20"/>
          <w:color w:val="auto"/>
        </w:rPr>
      </w:pPr>
    </w:p>
    <w:p>
      <w:pPr>
        <w:ind w:left="660" w:hanging="393"/>
        <w:spacing w:after="0"/>
        <w:tabs>
          <w:tab w:leader="none" w:pos="660" w:val="left"/>
        </w:tabs>
        <w:numPr>
          <w:ilvl w:val="0"/>
          <w:numId w:val="11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20"/>
          </w:cols>
          <w:pgMar w:left="240" w:top="454" w:right="5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80" w:firstLine="435"/>
        <w:spacing w:after="0" w:line="239" w:lineRule="auto"/>
        <w:rPr>
          <w:sz w:val="20"/>
          <w:szCs w:val="20"/>
          <w:color w:val="auto"/>
        </w:rPr>
      </w:pPr>
      <w:r>
        <w:rPr>
          <w:rFonts w:ascii="Arial" w:cs="Arial" w:eastAsia="Arial" w:hAnsi="Arial"/>
          <w:sz w:val="18"/>
          <w:szCs w:val="18"/>
          <w:color w:val="auto"/>
        </w:rPr>
        <w:t>As part of the Linear Technology acquisition, we also assumed the 2005 Plan and converted certain outstanding Linear RSU and restricted stock awards based on share exchange ratios determined in accordance with the merger agreement. The resulting Company stock-based award (either an RSU or an RSA) continue to vest on the same schedule provided under the original Linear RSU or Linear RSA, as applicable. The Company is not granting new awards under the 2005 Plan. RSUs and RSAs under the 2005 Plan are subject to full or partial acceleration upon death or disability. The Compensation Committee has discretion to determine the treatment of outstanding awards under the 2005 Plan in the event of a change in control.</w:t>
      </w:r>
    </w:p>
    <w:p>
      <w:pPr>
        <w:spacing w:after="0" w:line="178" w:lineRule="exact"/>
        <w:rPr>
          <w:sz w:val="20"/>
          <w:szCs w:val="20"/>
          <w:color w:val="auto"/>
        </w:rPr>
      </w:pPr>
    </w:p>
    <w:p>
      <w:pPr>
        <w:jc w:val="both"/>
        <w:ind w:left="260" w:right="120" w:firstLine="435"/>
        <w:spacing w:after="0" w:line="250" w:lineRule="auto"/>
        <w:rPr>
          <w:sz w:val="20"/>
          <w:szCs w:val="20"/>
          <w:color w:val="auto"/>
        </w:rPr>
      </w:pPr>
      <w:r>
        <w:rPr>
          <w:rFonts w:ascii="Arial" w:cs="Arial" w:eastAsia="Arial" w:hAnsi="Arial"/>
          <w:sz w:val="18"/>
          <w:szCs w:val="18"/>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SECURITIES AUTHORIZED FOR ISSUANCE UNDER EQUITY COMPENSATION PLANS</w:t>
      </w:r>
    </w:p>
    <w:p>
      <w:pPr>
        <w:spacing w:after="0" w:line="102" w:lineRule="exact"/>
        <w:rPr>
          <w:sz w:val="20"/>
          <w:szCs w:val="20"/>
          <w:color w:val="auto"/>
        </w:rPr>
      </w:pPr>
    </w:p>
    <w:p>
      <w:pPr>
        <w:ind w:left="260" w:right="140" w:firstLine="435"/>
        <w:spacing w:after="0" w:line="250" w:lineRule="auto"/>
        <w:rPr>
          <w:sz w:val="20"/>
          <w:szCs w:val="20"/>
          <w:color w:val="auto"/>
        </w:rPr>
      </w:pPr>
      <w:r>
        <w:rPr>
          <w:rFonts w:ascii="Arial" w:cs="Arial" w:eastAsia="Arial" w:hAnsi="Arial"/>
          <w:sz w:val="18"/>
          <w:szCs w:val="18"/>
          <w:color w:val="auto"/>
        </w:rPr>
        <w:t>The following table provides information as of November 3, 2018 about the securities which are either already issued, or authorized for future issuance, under our 2006 Stock Incentive Plan, as well as our 2005 Plan and our 2010 Plan, which were both assumed in connection with the Linear Technology acquisition.</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3880" w:type="dxa"/>
            <w:vAlign w:val="bottom"/>
            <w:shd w:val="clear" w:color="auto" w:fill="052B82"/>
          </w:tcPr>
          <w:p>
            <w:pPr>
              <w:spacing w:after="0"/>
              <w:rPr>
                <w:sz w:val="14"/>
                <w:szCs w:val="14"/>
                <w:color w:val="auto"/>
              </w:rPr>
            </w:pPr>
          </w:p>
        </w:tc>
        <w:tc>
          <w:tcPr>
            <w:tcW w:w="80" w:type="dxa"/>
            <w:vAlign w:val="bottom"/>
            <w:shd w:val="clear" w:color="auto" w:fill="052B82"/>
          </w:tcPr>
          <w:p>
            <w:pPr>
              <w:spacing w:after="0"/>
              <w:rPr>
                <w:sz w:val="14"/>
                <w:szCs w:val="14"/>
                <w:color w:val="auto"/>
              </w:rPr>
            </w:pPr>
          </w:p>
        </w:tc>
        <w:tc>
          <w:tcPr>
            <w:tcW w:w="210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w w:val="93"/>
              </w:rPr>
              <w:t>(a)</w:t>
            </w:r>
          </w:p>
        </w:tc>
        <w:tc>
          <w:tcPr>
            <w:tcW w:w="260" w:type="dxa"/>
            <w:vAlign w:val="bottom"/>
            <w:shd w:val="clear" w:color="auto" w:fill="052B82"/>
          </w:tcPr>
          <w:p>
            <w:pPr>
              <w:spacing w:after="0"/>
              <w:rPr>
                <w:sz w:val="14"/>
                <w:szCs w:val="14"/>
                <w:color w:val="auto"/>
              </w:rPr>
            </w:pPr>
          </w:p>
        </w:tc>
        <w:tc>
          <w:tcPr>
            <w:tcW w:w="2100" w:type="dxa"/>
            <w:vAlign w:val="bottom"/>
            <w:shd w:val="clear" w:color="auto" w:fill="052B82"/>
          </w:tcPr>
          <w:p>
            <w:pPr>
              <w:jc w:val="center"/>
              <w:ind w:right="398"/>
              <w:spacing w:after="0"/>
              <w:rPr>
                <w:sz w:val="20"/>
                <w:szCs w:val="20"/>
                <w:color w:val="auto"/>
              </w:rPr>
            </w:pPr>
            <w:r>
              <w:rPr>
                <w:rFonts w:ascii="Arial" w:cs="Arial" w:eastAsia="Arial" w:hAnsi="Arial"/>
                <w:sz w:val="14"/>
                <w:szCs w:val="14"/>
                <w:b w:val="1"/>
                <w:bCs w:val="1"/>
                <w:color w:val="FFFFFF"/>
              </w:rPr>
              <w:t>(b)</w:t>
            </w:r>
          </w:p>
        </w:tc>
        <w:tc>
          <w:tcPr>
            <w:tcW w:w="60" w:type="dxa"/>
            <w:vAlign w:val="bottom"/>
            <w:shd w:val="clear" w:color="auto" w:fill="052B82"/>
          </w:tcPr>
          <w:p>
            <w:pPr>
              <w:spacing w:after="0"/>
              <w:rPr>
                <w:sz w:val="14"/>
                <w:szCs w:val="14"/>
                <w:color w:val="auto"/>
              </w:rPr>
            </w:pPr>
          </w:p>
        </w:tc>
        <w:tc>
          <w:tcPr>
            <w:tcW w:w="2400" w:type="dxa"/>
            <w:vAlign w:val="bottom"/>
            <w:gridSpan w:val="2"/>
            <w:shd w:val="clear" w:color="auto" w:fill="052B82"/>
          </w:tcPr>
          <w:p>
            <w:pPr>
              <w:jc w:val="center"/>
              <w:ind w:right="260"/>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58"/>
        </w:trPr>
        <w:tc>
          <w:tcPr>
            <w:tcW w:w="388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1820" w:type="dxa"/>
            <w:vAlign w:val="bottom"/>
            <w:shd w:val="clear" w:color="auto" w:fill="052B82"/>
          </w:tcPr>
          <w:p>
            <w:pPr>
              <w:spacing w:after="0"/>
              <w:rPr>
                <w:sz w:val="13"/>
                <w:szCs w:val="13"/>
                <w:color w:val="auto"/>
              </w:rPr>
            </w:pPr>
          </w:p>
        </w:tc>
        <w:tc>
          <w:tcPr>
            <w:tcW w:w="280" w:type="dxa"/>
            <w:vAlign w:val="bottom"/>
            <w:shd w:val="clear" w:color="auto" w:fill="052B82"/>
          </w:tcPr>
          <w:p>
            <w:pPr>
              <w:spacing w:after="0"/>
              <w:rPr>
                <w:sz w:val="13"/>
                <w:szCs w:val="13"/>
                <w:color w:val="auto"/>
              </w:rPr>
            </w:pPr>
          </w:p>
        </w:tc>
        <w:tc>
          <w:tcPr>
            <w:tcW w:w="260" w:type="dxa"/>
            <w:vAlign w:val="bottom"/>
            <w:shd w:val="clear" w:color="auto" w:fill="052B82"/>
          </w:tcPr>
          <w:p>
            <w:pPr>
              <w:spacing w:after="0"/>
              <w:rPr>
                <w:sz w:val="13"/>
                <w:szCs w:val="13"/>
                <w:color w:val="auto"/>
              </w:rPr>
            </w:pPr>
          </w:p>
        </w:tc>
        <w:tc>
          <w:tcPr>
            <w:tcW w:w="2100" w:type="dxa"/>
            <w:vAlign w:val="bottom"/>
            <w:shd w:val="clear" w:color="auto" w:fill="052B82"/>
          </w:tcPr>
          <w:p>
            <w:pPr>
              <w:spacing w:after="0"/>
              <w:rPr>
                <w:sz w:val="13"/>
                <w:szCs w:val="13"/>
                <w:color w:val="auto"/>
              </w:rPr>
            </w:pPr>
          </w:p>
        </w:tc>
        <w:tc>
          <w:tcPr>
            <w:tcW w:w="60" w:type="dxa"/>
            <w:vAlign w:val="bottom"/>
            <w:shd w:val="clear" w:color="auto" w:fill="052B82"/>
          </w:tcPr>
          <w:p>
            <w:pPr>
              <w:spacing w:after="0"/>
              <w:rPr>
                <w:sz w:val="13"/>
                <w:szCs w:val="13"/>
                <w:color w:val="auto"/>
              </w:rPr>
            </w:pPr>
          </w:p>
        </w:tc>
        <w:tc>
          <w:tcPr>
            <w:tcW w:w="2400" w:type="dxa"/>
            <w:vAlign w:val="bottom"/>
            <w:gridSpan w:val="2"/>
            <w:shd w:val="clear" w:color="auto" w:fill="052B82"/>
          </w:tcPr>
          <w:p>
            <w:pPr>
              <w:jc w:val="center"/>
              <w:ind w:right="260"/>
              <w:spacing w:after="0" w:line="158" w:lineRule="exact"/>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60"/>
        </w:trPr>
        <w:tc>
          <w:tcPr>
            <w:tcW w:w="3880" w:type="dxa"/>
            <w:vAlign w:val="bottom"/>
            <w:shd w:val="clear" w:color="auto" w:fill="052B82"/>
          </w:tcPr>
          <w:p>
            <w:pPr>
              <w:spacing w:after="0"/>
              <w:rPr>
                <w:sz w:val="13"/>
                <w:szCs w:val="13"/>
                <w:color w:val="auto"/>
              </w:rPr>
            </w:pPr>
          </w:p>
        </w:tc>
        <w:tc>
          <w:tcPr>
            <w:tcW w:w="2180" w:type="dxa"/>
            <w:vAlign w:val="bottom"/>
            <w:gridSpan w:val="3"/>
            <w:vMerge w:val="restart"/>
            <w:shd w:val="clear" w:color="auto" w:fill="052B82"/>
          </w:tcPr>
          <w:p>
            <w:pPr>
              <w:jc w:val="center"/>
              <w:ind w:right="220"/>
              <w:spacing w:after="0"/>
              <w:rPr>
                <w:sz w:val="20"/>
                <w:szCs w:val="20"/>
                <w:color w:val="auto"/>
              </w:rPr>
            </w:pPr>
            <w:r>
              <w:rPr>
                <w:rFonts w:ascii="Arial" w:cs="Arial" w:eastAsia="Arial" w:hAnsi="Arial"/>
                <w:sz w:val="14"/>
                <w:szCs w:val="14"/>
                <w:b w:val="1"/>
                <w:bCs w:val="1"/>
                <w:color w:val="FFFFFF"/>
              </w:rPr>
              <w:t>Number of Securities to be</w:t>
            </w:r>
          </w:p>
        </w:tc>
        <w:tc>
          <w:tcPr>
            <w:tcW w:w="260" w:type="dxa"/>
            <w:vAlign w:val="bottom"/>
            <w:shd w:val="clear" w:color="auto" w:fill="052B82"/>
          </w:tcPr>
          <w:p>
            <w:pPr>
              <w:spacing w:after="0"/>
              <w:rPr>
                <w:sz w:val="13"/>
                <w:szCs w:val="13"/>
                <w:color w:val="auto"/>
              </w:rPr>
            </w:pPr>
          </w:p>
        </w:tc>
        <w:tc>
          <w:tcPr>
            <w:tcW w:w="2100" w:type="dxa"/>
            <w:vAlign w:val="bottom"/>
            <w:shd w:val="clear" w:color="auto" w:fill="052B82"/>
          </w:tcPr>
          <w:p>
            <w:pPr>
              <w:spacing w:after="0"/>
              <w:rPr>
                <w:sz w:val="13"/>
                <w:szCs w:val="13"/>
                <w:color w:val="auto"/>
              </w:rPr>
            </w:pPr>
          </w:p>
        </w:tc>
        <w:tc>
          <w:tcPr>
            <w:tcW w:w="60" w:type="dxa"/>
            <w:vAlign w:val="bottom"/>
            <w:shd w:val="clear" w:color="auto" w:fill="052B82"/>
          </w:tcPr>
          <w:p>
            <w:pPr>
              <w:spacing w:after="0"/>
              <w:rPr>
                <w:sz w:val="13"/>
                <w:szCs w:val="13"/>
                <w:color w:val="auto"/>
              </w:rPr>
            </w:pPr>
          </w:p>
        </w:tc>
        <w:tc>
          <w:tcPr>
            <w:tcW w:w="2400" w:type="dxa"/>
            <w:vAlign w:val="bottom"/>
            <w:gridSpan w:val="2"/>
            <w:shd w:val="clear" w:color="auto" w:fill="052B82"/>
          </w:tcPr>
          <w:p>
            <w:pPr>
              <w:jc w:val="center"/>
              <w:ind w:right="260"/>
              <w:spacing w:after="0"/>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60"/>
        </w:trPr>
        <w:tc>
          <w:tcPr>
            <w:tcW w:w="3880" w:type="dxa"/>
            <w:vAlign w:val="bottom"/>
            <w:shd w:val="clear" w:color="auto" w:fill="052B82"/>
          </w:tcPr>
          <w:p>
            <w:pPr>
              <w:spacing w:after="0"/>
              <w:rPr>
                <w:sz w:val="13"/>
                <w:szCs w:val="13"/>
                <w:color w:val="auto"/>
              </w:rPr>
            </w:pPr>
          </w:p>
        </w:tc>
        <w:tc>
          <w:tcPr>
            <w:tcW w:w="2180" w:type="dxa"/>
            <w:vAlign w:val="bottom"/>
            <w:gridSpan w:val="3"/>
            <w:vMerge w:val="continue"/>
            <w:shd w:val="clear" w:color="auto" w:fill="052B82"/>
          </w:tcPr>
          <w:p>
            <w:pPr>
              <w:spacing w:after="0"/>
              <w:rPr>
                <w:sz w:val="13"/>
                <w:szCs w:val="13"/>
                <w:color w:val="auto"/>
              </w:rPr>
            </w:pPr>
          </w:p>
        </w:tc>
        <w:tc>
          <w:tcPr>
            <w:tcW w:w="2360" w:type="dxa"/>
            <w:vAlign w:val="bottom"/>
            <w:gridSpan w:val="2"/>
            <w:vMerge w:val="restart"/>
            <w:shd w:val="clear" w:color="auto" w:fill="052B82"/>
          </w:tcPr>
          <w:p>
            <w:pPr>
              <w:jc w:val="center"/>
              <w:ind w:right="158"/>
              <w:spacing w:after="0"/>
              <w:rPr>
                <w:sz w:val="20"/>
                <w:szCs w:val="20"/>
                <w:color w:val="auto"/>
              </w:rPr>
            </w:pPr>
            <w:r>
              <w:rPr>
                <w:rFonts w:ascii="Arial" w:cs="Arial" w:eastAsia="Arial" w:hAnsi="Arial"/>
                <w:sz w:val="14"/>
                <w:szCs w:val="14"/>
                <w:b w:val="1"/>
                <w:bCs w:val="1"/>
                <w:color w:val="FFFFFF"/>
              </w:rPr>
              <w:t>Weighted-Average Exercise</w:t>
            </w:r>
          </w:p>
        </w:tc>
        <w:tc>
          <w:tcPr>
            <w:tcW w:w="60" w:type="dxa"/>
            <w:vAlign w:val="bottom"/>
            <w:shd w:val="clear" w:color="auto" w:fill="052B82"/>
          </w:tcPr>
          <w:p>
            <w:pPr>
              <w:spacing w:after="0"/>
              <w:rPr>
                <w:sz w:val="13"/>
                <w:szCs w:val="13"/>
                <w:color w:val="auto"/>
              </w:rPr>
            </w:pPr>
          </w:p>
        </w:tc>
        <w:tc>
          <w:tcPr>
            <w:tcW w:w="2400" w:type="dxa"/>
            <w:vAlign w:val="bottom"/>
            <w:gridSpan w:val="2"/>
            <w:shd w:val="clear" w:color="auto" w:fill="052B82"/>
          </w:tcPr>
          <w:p>
            <w:pPr>
              <w:jc w:val="center"/>
              <w:ind w:right="260"/>
              <w:spacing w:after="0"/>
              <w:rPr>
                <w:sz w:val="20"/>
                <w:szCs w:val="20"/>
                <w:color w:val="auto"/>
              </w:rPr>
            </w:pPr>
            <w:r>
              <w:rPr>
                <w:rFonts w:ascii="Arial" w:cs="Arial" w:eastAsia="Arial" w:hAnsi="Arial"/>
                <w:sz w:val="14"/>
                <w:szCs w:val="14"/>
                <w:b w:val="1"/>
                <w:bCs w:val="1"/>
                <w:color w:val="FFFFFF"/>
              </w:rPr>
              <w:t>Future Issuance Under Equity</w:t>
            </w:r>
          </w:p>
        </w:tc>
        <w:tc>
          <w:tcPr>
            <w:tcW w:w="0" w:type="dxa"/>
            <w:vAlign w:val="bottom"/>
          </w:tcPr>
          <w:p>
            <w:pPr>
              <w:spacing w:after="0"/>
              <w:rPr>
                <w:sz w:val="1"/>
                <w:szCs w:val="1"/>
                <w:color w:val="auto"/>
              </w:rPr>
            </w:pPr>
          </w:p>
        </w:tc>
      </w:tr>
      <w:tr>
        <w:trPr>
          <w:trHeight w:val="160"/>
        </w:trPr>
        <w:tc>
          <w:tcPr>
            <w:tcW w:w="388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210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Issued Upon Exercise of</w:t>
            </w:r>
          </w:p>
        </w:tc>
        <w:tc>
          <w:tcPr>
            <w:tcW w:w="2360" w:type="dxa"/>
            <w:vAlign w:val="bottom"/>
            <w:gridSpan w:val="2"/>
            <w:vMerge w:val="continue"/>
            <w:shd w:val="clear" w:color="auto" w:fill="052B82"/>
          </w:tcPr>
          <w:p>
            <w:pPr>
              <w:spacing w:after="0"/>
              <w:rPr>
                <w:sz w:val="13"/>
                <w:szCs w:val="13"/>
                <w:color w:val="auto"/>
              </w:rPr>
            </w:pPr>
          </w:p>
        </w:tc>
        <w:tc>
          <w:tcPr>
            <w:tcW w:w="60" w:type="dxa"/>
            <w:vAlign w:val="bottom"/>
            <w:shd w:val="clear" w:color="auto" w:fill="052B82"/>
          </w:tcPr>
          <w:p>
            <w:pPr>
              <w:spacing w:after="0"/>
              <w:rPr>
                <w:sz w:val="13"/>
                <w:szCs w:val="13"/>
                <w:color w:val="auto"/>
              </w:rPr>
            </w:pPr>
          </w:p>
        </w:tc>
        <w:tc>
          <w:tcPr>
            <w:tcW w:w="2400" w:type="dxa"/>
            <w:vAlign w:val="bottom"/>
            <w:gridSpan w:val="2"/>
            <w:shd w:val="clear" w:color="auto" w:fill="052B82"/>
          </w:tcPr>
          <w:p>
            <w:pPr>
              <w:jc w:val="center"/>
              <w:ind w:right="280"/>
              <w:spacing w:after="0"/>
              <w:rPr>
                <w:sz w:val="20"/>
                <w:szCs w:val="20"/>
                <w:color w:val="auto"/>
              </w:rPr>
            </w:pPr>
            <w:r>
              <w:rPr>
                <w:rFonts w:ascii="Arial" w:cs="Arial" w:eastAsia="Arial" w:hAnsi="Arial"/>
                <w:sz w:val="14"/>
                <w:szCs w:val="14"/>
                <w:b w:val="1"/>
                <w:bCs w:val="1"/>
                <w:color w:val="FFFFFF"/>
              </w:rPr>
              <w:t>Compensation Plans</w:t>
            </w:r>
          </w:p>
        </w:tc>
        <w:tc>
          <w:tcPr>
            <w:tcW w:w="0" w:type="dxa"/>
            <w:vAlign w:val="bottom"/>
          </w:tcPr>
          <w:p>
            <w:pPr>
              <w:spacing w:after="0"/>
              <w:rPr>
                <w:sz w:val="1"/>
                <w:szCs w:val="1"/>
                <w:color w:val="auto"/>
              </w:rPr>
            </w:pPr>
          </w:p>
        </w:tc>
      </w:tr>
      <w:tr>
        <w:trPr>
          <w:trHeight w:val="160"/>
        </w:trPr>
        <w:tc>
          <w:tcPr>
            <w:tcW w:w="3880" w:type="dxa"/>
            <w:vAlign w:val="bottom"/>
            <w:shd w:val="clear" w:color="auto" w:fill="052B82"/>
          </w:tcPr>
          <w:p>
            <w:pPr>
              <w:spacing w:after="0"/>
              <w:rPr>
                <w:sz w:val="13"/>
                <w:szCs w:val="13"/>
                <w:color w:val="auto"/>
              </w:rPr>
            </w:pPr>
          </w:p>
        </w:tc>
        <w:tc>
          <w:tcPr>
            <w:tcW w:w="80" w:type="dxa"/>
            <w:vAlign w:val="bottom"/>
            <w:shd w:val="clear" w:color="auto" w:fill="052B82"/>
          </w:tcPr>
          <w:p>
            <w:pPr>
              <w:spacing w:after="0"/>
              <w:rPr>
                <w:sz w:val="13"/>
                <w:szCs w:val="13"/>
                <w:color w:val="auto"/>
              </w:rPr>
            </w:pPr>
          </w:p>
        </w:tc>
        <w:tc>
          <w:tcPr>
            <w:tcW w:w="210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Outstanding Options,</w:t>
            </w:r>
          </w:p>
        </w:tc>
        <w:tc>
          <w:tcPr>
            <w:tcW w:w="2360" w:type="dxa"/>
            <w:vAlign w:val="bottom"/>
            <w:gridSpan w:val="2"/>
            <w:shd w:val="clear" w:color="auto" w:fill="052B82"/>
          </w:tcPr>
          <w:p>
            <w:pPr>
              <w:ind w:left="60"/>
              <w:spacing w:after="0"/>
              <w:rPr>
                <w:sz w:val="20"/>
                <w:szCs w:val="20"/>
                <w:color w:val="auto"/>
              </w:rPr>
            </w:pPr>
            <w:r>
              <w:rPr>
                <w:rFonts w:ascii="Arial" w:cs="Arial" w:eastAsia="Arial" w:hAnsi="Arial"/>
                <w:sz w:val="14"/>
                <w:szCs w:val="14"/>
                <w:b w:val="1"/>
                <w:bCs w:val="1"/>
                <w:color w:val="FFFFFF"/>
              </w:rPr>
              <w:t>Price of Outstanding Options,</w:t>
            </w:r>
          </w:p>
        </w:tc>
        <w:tc>
          <w:tcPr>
            <w:tcW w:w="2460" w:type="dxa"/>
            <w:vAlign w:val="bottom"/>
            <w:gridSpan w:val="3"/>
            <w:shd w:val="clear" w:color="auto" w:fill="052B82"/>
          </w:tcPr>
          <w:p>
            <w:pPr>
              <w:jc w:val="center"/>
              <w:ind w:right="220"/>
              <w:spacing w:after="0"/>
              <w:rPr>
                <w:sz w:val="20"/>
                <w:szCs w:val="20"/>
                <w:color w:val="auto"/>
              </w:rPr>
            </w:pPr>
            <w:r>
              <w:rPr>
                <w:rFonts w:ascii="Arial" w:cs="Arial" w:eastAsia="Arial" w:hAnsi="Arial"/>
                <w:sz w:val="14"/>
                <w:szCs w:val="14"/>
                <w:b w:val="1"/>
                <w:bCs w:val="1"/>
                <w:color w:val="FFFFFF"/>
              </w:rPr>
              <w:t>(Excluding Securities Reflected</w:t>
            </w:r>
          </w:p>
        </w:tc>
        <w:tc>
          <w:tcPr>
            <w:tcW w:w="0" w:type="dxa"/>
            <w:vAlign w:val="bottom"/>
          </w:tcPr>
          <w:p>
            <w:pPr>
              <w:spacing w:after="0"/>
              <w:rPr>
                <w:sz w:val="1"/>
                <w:szCs w:val="1"/>
                <w:color w:val="auto"/>
              </w:rPr>
            </w:pPr>
          </w:p>
        </w:tc>
      </w:tr>
      <w:tr>
        <w:trPr>
          <w:trHeight w:val="189"/>
        </w:trPr>
        <w:tc>
          <w:tcPr>
            <w:tcW w:w="3880" w:type="dxa"/>
            <w:vAlign w:val="bottom"/>
            <w:shd w:val="clear" w:color="auto" w:fill="052B82"/>
          </w:tcPr>
          <w:p>
            <w:pPr>
              <w:ind w:left="20"/>
              <w:spacing w:after="0"/>
              <w:rPr>
                <w:sz w:val="20"/>
                <w:szCs w:val="20"/>
                <w:color w:val="auto"/>
              </w:rPr>
            </w:pPr>
            <w:r>
              <w:rPr>
                <w:rFonts w:ascii="Arial" w:cs="Arial" w:eastAsia="Arial" w:hAnsi="Arial"/>
                <w:sz w:val="14"/>
                <w:szCs w:val="14"/>
                <w:b w:val="1"/>
                <w:bCs w:val="1"/>
                <w:color w:val="FFFFFF"/>
              </w:rPr>
              <w:t>Plan Category</w:t>
            </w:r>
          </w:p>
        </w:tc>
        <w:tc>
          <w:tcPr>
            <w:tcW w:w="80" w:type="dxa"/>
            <w:vAlign w:val="bottom"/>
            <w:shd w:val="clear" w:color="auto" w:fill="052B82"/>
          </w:tcPr>
          <w:p>
            <w:pPr>
              <w:spacing w:after="0"/>
              <w:rPr>
                <w:sz w:val="16"/>
                <w:szCs w:val="16"/>
                <w:color w:val="auto"/>
              </w:rPr>
            </w:pPr>
          </w:p>
        </w:tc>
        <w:tc>
          <w:tcPr>
            <w:tcW w:w="210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Warrants and Rights</w:t>
            </w:r>
          </w:p>
        </w:tc>
        <w:tc>
          <w:tcPr>
            <w:tcW w:w="260" w:type="dxa"/>
            <w:vAlign w:val="bottom"/>
            <w:shd w:val="clear" w:color="auto" w:fill="052B82"/>
          </w:tcPr>
          <w:p>
            <w:pPr>
              <w:spacing w:after="0"/>
              <w:rPr>
                <w:sz w:val="16"/>
                <w:szCs w:val="16"/>
                <w:color w:val="auto"/>
              </w:rPr>
            </w:pPr>
          </w:p>
        </w:tc>
        <w:tc>
          <w:tcPr>
            <w:tcW w:w="2100" w:type="dxa"/>
            <w:vAlign w:val="bottom"/>
            <w:shd w:val="clear" w:color="auto" w:fill="052B82"/>
          </w:tcPr>
          <w:p>
            <w:pPr>
              <w:jc w:val="center"/>
              <w:ind w:right="418"/>
              <w:spacing w:after="0"/>
              <w:rPr>
                <w:sz w:val="20"/>
                <w:szCs w:val="20"/>
                <w:color w:val="auto"/>
              </w:rPr>
            </w:pPr>
            <w:r>
              <w:rPr>
                <w:rFonts w:ascii="Arial" w:cs="Arial" w:eastAsia="Arial" w:hAnsi="Arial"/>
                <w:sz w:val="14"/>
                <w:szCs w:val="14"/>
                <w:b w:val="1"/>
                <w:bCs w:val="1"/>
                <w:color w:val="FFFFFF"/>
              </w:rPr>
              <w:t>Warrants and Rights</w:t>
            </w:r>
          </w:p>
        </w:tc>
        <w:tc>
          <w:tcPr>
            <w:tcW w:w="60" w:type="dxa"/>
            <w:vAlign w:val="bottom"/>
            <w:shd w:val="clear" w:color="auto" w:fill="052B82"/>
          </w:tcPr>
          <w:p>
            <w:pPr>
              <w:spacing w:after="0"/>
              <w:rPr>
                <w:sz w:val="16"/>
                <w:szCs w:val="16"/>
                <w:color w:val="auto"/>
              </w:rPr>
            </w:pPr>
          </w:p>
        </w:tc>
        <w:tc>
          <w:tcPr>
            <w:tcW w:w="2400" w:type="dxa"/>
            <w:vAlign w:val="bottom"/>
            <w:gridSpan w:val="2"/>
            <w:shd w:val="clear" w:color="auto" w:fill="052B82"/>
          </w:tcPr>
          <w:p>
            <w:pPr>
              <w:jc w:val="center"/>
              <w:ind w:right="280"/>
              <w:spacing w:after="0"/>
              <w:rPr>
                <w:sz w:val="20"/>
                <w:szCs w:val="20"/>
                <w:color w:val="auto"/>
              </w:rPr>
            </w:pPr>
            <w:r>
              <w:rPr>
                <w:rFonts w:ascii="Arial" w:cs="Arial" w:eastAsia="Arial" w:hAnsi="Arial"/>
                <w:sz w:val="14"/>
                <w:szCs w:val="14"/>
                <w:b w:val="1"/>
                <w:bCs w:val="1"/>
                <w:color w:val="FFFFFF"/>
              </w:rPr>
              <w:t>in Column (a))</w:t>
            </w:r>
          </w:p>
        </w:tc>
        <w:tc>
          <w:tcPr>
            <w:tcW w:w="0" w:type="dxa"/>
            <w:vAlign w:val="bottom"/>
          </w:tcPr>
          <w:p>
            <w:pPr>
              <w:spacing w:after="0"/>
              <w:rPr>
                <w:sz w:val="1"/>
                <w:szCs w:val="1"/>
                <w:color w:val="auto"/>
              </w:rPr>
            </w:pPr>
          </w:p>
        </w:tc>
      </w:tr>
      <w:tr>
        <w:trPr>
          <w:trHeight w:val="177"/>
        </w:trPr>
        <w:tc>
          <w:tcPr>
            <w:tcW w:w="3880" w:type="dxa"/>
            <w:vAlign w:val="bottom"/>
          </w:tcPr>
          <w:p>
            <w:pPr>
              <w:ind w:left="40"/>
              <w:spacing w:after="0" w:line="177" w:lineRule="exact"/>
              <w:rPr>
                <w:sz w:val="20"/>
                <w:szCs w:val="20"/>
                <w:color w:val="auto"/>
              </w:rPr>
            </w:pPr>
            <w:r>
              <w:rPr>
                <w:rFonts w:ascii="Arial" w:cs="Arial" w:eastAsia="Arial" w:hAnsi="Arial"/>
                <w:sz w:val="18"/>
                <w:szCs w:val="18"/>
                <w:color w:val="auto"/>
              </w:rPr>
              <w:t>Equity compensation plans approved by</w:t>
            </w: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8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2180" w:type="dxa"/>
            <w:vAlign w:val="bottom"/>
            <w:gridSpan w:val="3"/>
          </w:tcPr>
          <w:p>
            <w:pPr>
              <w:jc w:val="right"/>
              <w:ind w:right="80"/>
              <w:spacing w:after="0"/>
              <w:rPr>
                <w:sz w:val="20"/>
                <w:szCs w:val="20"/>
                <w:color w:val="auto"/>
              </w:rPr>
            </w:pPr>
            <w:r>
              <w:rPr>
                <w:rFonts w:ascii="Arial" w:cs="Arial" w:eastAsia="Arial" w:hAnsi="Arial"/>
                <w:sz w:val="18"/>
                <w:szCs w:val="18"/>
                <w:color w:val="auto"/>
              </w:rPr>
              <w:t>9,945,614(1)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58.42(2)</w:t>
            </w:r>
          </w:p>
        </w:tc>
        <w:tc>
          <w:tcPr>
            <w:tcW w:w="2460" w:type="dxa"/>
            <w:vAlign w:val="bottom"/>
            <w:gridSpan w:val="3"/>
          </w:tcPr>
          <w:p>
            <w:pPr>
              <w:jc w:val="right"/>
              <w:ind w:right="40"/>
              <w:spacing w:after="0"/>
              <w:rPr>
                <w:sz w:val="20"/>
                <w:szCs w:val="20"/>
                <w:color w:val="auto"/>
              </w:rPr>
            </w:pPr>
            <w:r>
              <w:rPr>
                <w:rFonts w:ascii="Arial" w:cs="Arial" w:eastAsia="Arial" w:hAnsi="Arial"/>
                <w:sz w:val="18"/>
                <w:szCs w:val="18"/>
                <w:color w:val="auto"/>
              </w:rPr>
              <w:t>11,373,812(3)</w:t>
            </w:r>
          </w:p>
        </w:tc>
        <w:tc>
          <w:tcPr>
            <w:tcW w:w="0" w:type="dxa"/>
            <w:vAlign w:val="bottom"/>
          </w:tcPr>
          <w:p>
            <w:pPr>
              <w:spacing w:after="0"/>
              <w:rPr>
                <w:sz w:val="1"/>
                <w:szCs w:val="1"/>
                <w:color w:val="auto"/>
              </w:rPr>
            </w:pPr>
          </w:p>
        </w:tc>
      </w:tr>
      <w:tr>
        <w:trPr>
          <w:trHeight w:val="177"/>
        </w:trPr>
        <w:tc>
          <w:tcPr>
            <w:tcW w:w="3880" w:type="dxa"/>
            <w:vAlign w:val="bottom"/>
            <w:shd w:val="clear" w:color="auto" w:fill="E8EDF4"/>
          </w:tcPr>
          <w:p>
            <w:pPr>
              <w:ind w:left="40"/>
              <w:spacing w:after="0" w:line="177" w:lineRule="exact"/>
              <w:rPr>
                <w:sz w:val="20"/>
                <w:szCs w:val="20"/>
                <w:color w:val="auto"/>
              </w:rPr>
            </w:pPr>
            <w:r>
              <w:rPr>
                <w:rFonts w:ascii="Arial" w:cs="Arial" w:eastAsia="Arial" w:hAnsi="Arial"/>
                <w:sz w:val="18"/>
                <w:szCs w:val="18"/>
                <w:color w:val="auto"/>
              </w:rPr>
              <w:t>Equity compensation plans not approved by</w:t>
            </w:r>
          </w:p>
        </w:tc>
        <w:tc>
          <w:tcPr>
            <w:tcW w:w="80" w:type="dxa"/>
            <w:vAlign w:val="bottom"/>
            <w:shd w:val="clear" w:color="auto" w:fill="E8EDF4"/>
          </w:tcPr>
          <w:p>
            <w:pPr>
              <w:spacing w:after="0"/>
              <w:rPr>
                <w:sz w:val="15"/>
                <w:szCs w:val="15"/>
                <w:color w:val="auto"/>
              </w:rPr>
            </w:pPr>
          </w:p>
        </w:tc>
        <w:tc>
          <w:tcPr>
            <w:tcW w:w="1820" w:type="dxa"/>
            <w:vAlign w:val="bottom"/>
            <w:shd w:val="clear" w:color="auto" w:fill="E8EDF4"/>
          </w:tcPr>
          <w:p>
            <w:pPr>
              <w:spacing w:after="0"/>
              <w:rPr>
                <w:sz w:val="15"/>
                <w:szCs w:val="15"/>
                <w:color w:val="auto"/>
              </w:rPr>
            </w:pPr>
          </w:p>
        </w:tc>
        <w:tc>
          <w:tcPr>
            <w:tcW w:w="280" w:type="dxa"/>
            <w:vAlign w:val="bottom"/>
            <w:shd w:val="clear" w:color="auto" w:fill="E8EDF4"/>
          </w:tcPr>
          <w:p>
            <w:pPr>
              <w:spacing w:after="0"/>
              <w:rPr>
                <w:sz w:val="15"/>
                <w:szCs w:val="15"/>
                <w:color w:val="auto"/>
              </w:rPr>
            </w:pPr>
          </w:p>
        </w:tc>
        <w:tc>
          <w:tcPr>
            <w:tcW w:w="260" w:type="dxa"/>
            <w:vAlign w:val="bottom"/>
            <w:shd w:val="clear" w:color="auto" w:fill="E8EDF4"/>
          </w:tcPr>
          <w:p>
            <w:pPr>
              <w:spacing w:after="0"/>
              <w:rPr>
                <w:sz w:val="15"/>
                <w:szCs w:val="15"/>
                <w:color w:val="auto"/>
              </w:rPr>
            </w:pPr>
          </w:p>
        </w:tc>
        <w:tc>
          <w:tcPr>
            <w:tcW w:w="2100" w:type="dxa"/>
            <w:vAlign w:val="bottom"/>
            <w:shd w:val="clear" w:color="auto" w:fill="E8EDF4"/>
          </w:tcPr>
          <w:p>
            <w:pPr>
              <w:spacing w:after="0"/>
              <w:rPr>
                <w:sz w:val="15"/>
                <w:szCs w:val="15"/>
                <w:color w:val="auto"/>
              </w:rPr>
            </w:pPr>
          </w:p>
        </w:tc>
        <w:tc>
          <w:tcPr>
            <w:tcW w:w="60" w:type="dxa"/>
            <w:vAlign w:val="bottom"/>
            <w:shd w:val="clear" w:color="auto" w:fill="E8EDF4"/>
          </w:tcPr>
          <w:p>
            <w:pPr>
              <w:spacing w:after="0"/>
              <w:rPr>
                <w:sz w:val="15"/>
                <w:szCs w:val="15"/>
                <w:color w:val="auto"/>
              </w:rPr>
            </w:pPr>
          </w:p>
        </w:tc>
        <w:tc>
          <w:tcPr>
            <w:tcW w:w="2140" w:type="dxa"/>
            <w:vAlign w:val="bottom"/>
            <w:shd w:val="clear" w:color="auto" w:fill="E8EDF4"/>
          </w:tcPr>
          <w:p>
            <w:pPr>
              <w:spacing w:after="0"/>
              <w:rPr>
                <w:sz w:val="15"/>
                <w:szCs w:val="15"/>
                <w:color w:val="auto"/>
              </w:rPr>
            </w:pPr>
          </w:p>
        </w:tc>
        <w:tc>
          <w:tcPr>
            <w:tcW w:w="260" w:type="dxa"/>
            <w:vAlign w:val="bottom"/>
            <w:shd w:val="clear" w:color="auto" w:fill="E8EDF4"/>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E8EDF4"/>
          </w:tcPr>
          <w:p>
            <w:pPr>
              <w:ind w:left="160"/>
              <w:spacing w:after="0"/>
              <w:rPr>
                <w:sz w:val="20"/>
                <w:szCs w:val="20"/>
                <w:color w:val="auto"/>
              </w:rPr>
            </w:pPr>
            <w:r>
              <w:rPr>
                <w:rFonts w:ascii="Arial" w:cs="Arial" w:eastAsia="Arial" w:hAnsi="Arial"/>
                <w:sz w:val="18"/>
                <w:szCs w:val="18"/>
                <w:color w:val="auto"/>
              </w:rPr>
              <w:t>shareholders (4)</w:t>
            </w:r>
          </w:p>
        </w:tc>
        <w:tc>
          <w:tcPr>
            <w:tcW w:w="2180" w:type="dxa"/>
            <w:vAlign w:val="bottom"/>
            <w:gridSpan w:val="3"/>
            <w:shd w:val="clear" w:color="auto" w:fill="E8EDF4"/>
          </w:tcPr>
          <w:p>
            <w:pPr>
              <w:jc w:val="right"/>
              <w:ind w:right="80"/>
              <w:spacing w:after="0"/>
              <w:rPr>
                <w:sz w:val="20"/>
                <w:szCs w:val="20"/>
                <w:color w:val="auto"/>
              </w:rPr>
            </w:pPr>
            <w:r>
              <w:rPr>
                <w:rFonts w:ascii="Arial" w:cs="Arial" w:eastAsia="Arial" w:hAnsi="Arial"/>
                <w:sz w:val="18"/>
                <w:szCs w:val="18"/>
                <w:color w:val="auto"/>
              </w:rPr>
              <w:t>2,640,005(4)</w:t>
            </w:r>
          </w:p>
        </w:tc>
        <w:tc>
          <w:tcPr>
            <w:tcW w:w="260" w:type="dxa"/>
            <w:vAlign w:val="bottom"/>
            <w:shd w:val="clear" w:color="auto" w:fill="E8EDF4"/>
          </w:tcPr>
          <w:p>
            <w:pPr>
              <w:ind w:left="60"/>
              <w:spacing w:after="0"/>
              <w:rPr>
                <w:sz w:val="20"/>
                <w:szCs w:val="20"/>
                <w:color w:val="auto"/>
              </w:rPr>
            </w:pPr>
            <w:r>
              <w:rPr>
                <w:rFonts w:ascii="Arial" w:cs="Arial" w:eastAsia="Arial" w:hAnsi="Arial"/>
                <w:sz w:val="18"/>
                <w:szCs w:val="18"/>
                <w:color w:val="auto"/>
              </w:rPr>
              <w:t>$</w:t>
            </w:r>
          </w:p>
        </w:tc>
        <w:tc>
          <w:tcPr>
            <w:tcW w:w="2100" w:type="dxa"/>
            <w:vAlign w:val="bottom"/>
            <w:shd w:val="clear" w:color="auto" w:fill="E8EDF4"/>
          </w:tcPr>
          <w:p>
            <w:pPr>
              <w:jc w:val="right"/>
              <w:ind w:right="298"/>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E8EDF4"/>
          </w:tcPr>
          <w:p>
            <w:pPr>
              <w:jc w:val="right"/>
              <w:spacing w:after="0"/>
              <w:rPr>
                <w:sz w:val="20"/>
                <w:szCs w:val="20"/>
                <w:color w:val="auto"/>
              </w:rPr>
            </w:pPr>
            <w:r>
              <w:rPr>
                <w:rFonts w:ascii="Arial" w:cs="Arial" w:eastAsia="Arial" w:hAnsi="Arial"/>
                <w:sz w:val="18"/>
                <w:szCs w:val="18"/>
                <w:color w:val="auto"/>
              </w:rPr>
              <w:t>1,560,262</w:t>
            </w:r>
          </w:p>
        </w:tc>
        <w:tc>
          <w:tcPr>
            <w:tcW w:w="260" w:type="dxa"/>
            <w:vAlign w:val="bottom"/>
            <w:shd w:val="clear" w:color="auto" w:fill="E8EDF4"/>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88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12,585,619</w:t>
            </w:r>
          </w:p>
        </w:tc>
        <w:tc>
          <w:tcPr>
            <w:tcW w:w="280" w:type="dxa"/>
            <w:vAlign w:val="bottom"/>
          </w:tcPr>
          <w:p>
            <w:pPr>
              <w:spacing w:after="0"/>
              <w:rPr>
                <w:sz w:val="17"/>
                <w:szCs w:val="17"/>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58.42(2)</w:t>
            </w:r>
          </w:p>
        </w:tc>
        <w:tc>
          <w:tcPr>
            <w:tcW w:w="60" w:type="dxa"/>
            <w:vAlign w:val="bottom"/>
          </w:tcPr>
          <w:p>
            <w:pPr>
              <w:spacing w:after="0"/>
              <w:rPr>
                <w:sz w:val="17"/>
                <w:szCs w:val="17"/>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12,934,074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-1304925</wp:posOffset>
            </wp:positionV>
            <wp:extent cx="42303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3037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93345</wp:posOffset>
            </wp:positionV>
            <wp:extent cx="686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57" w:lineRule="exact"/>
        <w:rPr>
          <w:sz w:val="20"/>
          <w:szCs w:val="20"/>
          <w:color w:val="auto"/>
        </w:rPr>
      </w:pPr>
    </w:p>
    <w:p>
      <w:pPr>
        <w:ind w:left="700" w:hanging="433"/>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Includes 2,648,968 RSUs under our 2006 Stock Incentive Plan that were outstanding on November 3, 2018.</w:t>
      </w:r>
    </w:p>
    <w:p>
      <w:pPr>
        <w:spacing w:after="0" w:line="113" w:lineRule="exact"/>
        <w:rPr>
          <w:rFonts w:ascii="Arial" w:cs="Arial" w:eastAsia="Arial" w:hAnsi="Arial"/>
          <w:sz w:val="18"/>
          <w:szCs w:val="18"/>
          <w:color w:val="auto"/>
        </w:rPr>
      </w:pPr>
    </w:p>
    <w:p>
      <w:pPr>
        <w:ind w:left="700" w:right="400" w:hanging="433"/>
        <w:spacing w:after="0" w:line="269" w:lineRule="auto"/>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excludes RSUs, which do not have an exercise price.</w:t>
      </w:r>
    </w:p>
    <w:p>
      <w:pPr>
        <w:spacing w:after="0" w:line="56" w:lineRule="exact"/>
        <w:rPr>
          <w:rFonts w:ascii="Arial" w:cs="Arial" w:eastAsia="Arial" w:hAnsi="Arial"/>
          <w:sz w:val="18"/>
          <w:szCs w:val="18"/>
          <w:color w:val="auto"/>
        </w:rPr>
      </w:pPr>
    </w:p>
    <w:p>
      <w:pPr>
        <w:ind w:left="700" w:right="80" w:hanging="433"/>
        <w:spacing w:after="0" w:line="259" w:lineRule="auto"/>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Our 2006 Stock Incentive Plan, which was approved by shareholders in March 2014, allows for the issuance of 34 million shares of our common stock, plus any shares that were subject to outstanding options under our 1998 Stock Option Plan and our 2001 Broad-Based Stock Option Plan as of January 23, 2006 that are subsequently terminated or expire without being exercised. Shares not issued as a result of a net settlement, used to pay withholding tax on options or stock appreciation rights, or surrendered but not issued as new awards under a shareholder approved option exchange program are not available for use under the plan.</w:t>
      </w:r>
    </w:p>
    <w:p>
      <w:pPr>
        <w:spacing w:after="0" w:line="66" w:lineRule="exact"/>
        <w:rPr>
          <w:rFonts w:ascii="Arial" w:cs="Arial" w:eastAsia="Arial" w:hAnsi="Arial"/>
          <w:sz w:val="17"/>
          <w:szCs w:val="17"/>
          <w:color w:val="auto"/>
        </w:rPr>
      </w:pPr>
    </w:p>
    <w:p>
      <w:pPr>
        <w:jc w:val="both"/>
        <w:ind w:left="700" w:right="280" w:hanging="433"/>
        <w:spacing w:after="0" w:line="272" w:lineRule="auto"/>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connection with the acquisition of Linear Technology in March 2017, we assumed the 2005 Plan and the 2010 Plan and issued 2.8 million RSU and RSA awards, in the aggregate, in replacement of outstanding and unvested Linear Technology equity awards under such plans. The 2010 Plan allows for the future issuance of up to 2.9 million additional shares of our common stock.</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Employee Service Award Program</w:t>
      </w:r>
    </w:p>
    <w:p>
      <w:pPr>
        <w:spacing w:after="0" w:line="102" w:lineRule="exact"/>
        <w:rPr>
          <w:sz w:val="20"/>
          <w:szCs w:val="20"/>
          <w:color w:val="auto"/>
        </w:rPr>
      </w:pPr>
    </w:p>
    <w:p>
      <w:pPr>
        <w:jc w:val="both"/>
        <w:ind w:left="260" w:right="240" w:firstLine="435"/>
        <w:spacing w:after="0" w:line="244" w:lineRule="auto"/>
        <w:rPr>
          <w:sz w:val="20"/>
          <w:szCs w:val="20"/>
          <w:color w:val="auto"/>
        </w:rPr>
      </w:pPr>
      <w:r>
        <w:rPr>
          <w:rFonts w:ascii="Arial" w:cs="Arial" w:eastAsia="Arial" w:hAnsi="Arial"/>
          <w:sz w:val="18"/>
          <w:szCs w:val="18"/>
          <w:color w:val="auto"/>
        </w:rPr>
        <w:t>Our Employee Service Award Program is designed to recognize and thank employees for their long-term working relationship with ADI. All regular employees other than executive officers are eligible to receive these awards in the form of shares of our common stock. Our executive officers receive these awards in cash instead of stock. We grant these awards to employees starting with the employee’s tenth anniversary</w:t>
      </w:r>
    </w:p>
    <w:p>
      <w:pPr>
        <w:spacing w:after="0" w:line="1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69</w:t>
      </w:r>
    </w:p>
    <w:p>
      <w:pPr>
        <w:sectPr>
          <w:pgSz w:w="11900" w:h="16838" w:orient="portrait"/>
          <w:cols w:equalWidth="0" w:num="1">
            <w:col w:w="11160"/>
          </w:cols>
          <w:pgMar w:left="240" w:top="453"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220"/>
        <w:spacing w:after="0" w:line="239" w:lineRule="auto"/>
        <w:rPr>
          <w:sz w:val="20"/>
          <w:szCs w:val="20"/>
          <w:color w:val="auto"/>
        </w:rPr>
      </w:pPr>
      <w:r>
        <w:rPr>
          <w:rFonts w:ascii="Arial" w:cs="Arial" w:eastAsia="Arial" w:hAnsi="Arial"/>
          <w:sz w:val="18"/>
          <w:szCs w:val="18"/>
          <w:color w:val="auto"/>
        </w:rPr>
        <w:t>of employment with us, and after the tenth anniversary, we grant the awards at the end of each subsequent five-year period of employment with us. The value of the award at the employee’s tenth anniversary with us is $1,000 and the value of the award increases by $500 at each subsequent five-year service milestone. The number of shares awarded to an eligible employee is equal to the dollar value of the award divided by the closing per share price of our common stock as reported on Nasdaq on a specified date. The shares awarded are issued under our 2006 Stock Incentive Plan. Our Board of Directors may terminate, amend or suspend the program at any time at its discretion.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COMPENSATION COMMITTEE INTERLOCKS AND INSIDER PARTICIPATION</w:t>
      </w:r>
    </w:p>
    <w:p>
      <w:pPr>
        <w:spacing w:after="0" w:line="102" w:lineRule="exact"/>
        <w:rPr>
          <w:sz w:val="20"/>
          <w:szCs w:val="20"/>
          <w:color w:val="auto"/>
        </w:rPr>
      </w:pPr>
    </w:p>
    <w:p>
      <w:pPr>
        <w:ind w:left="260" w:firstLine="435"/>
        <w:spacing w:after="0" w:line="244" w:lineRule="auto"/>
        <w:rPr>
          <w:sz w:val="20"/>
          <w:szCs w:val="20"/>
          <w:color w:val="auto"/>
        </w:rPr>
      </w:pPr>
      <w:r>
        <w:rPr>
          <w:rFonts w:ascii="Arial" w:cs="Arial" w:eastAsia="Arial" w:hAnsi="Arial"/>
          <w:sz w:val="18"/>
          <w:szCs w:val="18"/>
          <w:color w:val="auto"/>
        </w:rPr>
        <w:t>During fiscal 2018, Mr. Novich and Drs. Frank and Su served as members of our Compensation Committee. No member of our Compensation Committee was at any time during fiscal 2018, or formerly, an officer or employee of ADI or any subsidiary of ADI. No member of our Compensation Committee had any relationship with us during fiscal 2018 requiring disclosure under Item 404 of Regulation S-K under the Exchange Act.</w:t>
      </w:r>
    </w:p>
    <w:p>
      <w:pPr>
        <w:spacing w:after="0" w:line="173" w:lineRule="exact"/>
        <w:rPr>
          <w:sz w:val="20"/>
          <w:szCs w:val="20"/>
          <w:color w:val="auto"/>
        </w:rPr>
      </w:pPr>
    </w:p>
    <w:p>
      <w:pPr>
        <w:ind w:left="260" w:right="60" w:firstLine="435"/>
        <w:spacing w:after="0" w:line="250" w:lineRule="auto"/>
        <w:rPr>
          <w:sz w:val="20"/>
          <w:szCs w:val="20"/>
          <w:color w:val="auto"/>
        </w:rPr>
      </w:pPr>
      <w:r>
        <w:rPr>
          <w:rFonts w:ascii="Arial" w:cs="Arial" w:eastAsia="Arial" w:hAnsi="Arial"/>
          <w:sz w:val="18"/>
          <w:szCs w:val="18"/>
          <w:color w:val="auto"/>
        </w:rPr>
        <w:t>During fiscal 2018,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COMPENSATION COMMITTEE REPORT</w:t>
      </w:r>
    </w:p>
    <w:p>
      <w:pPr>
        <w:spacing w:after="0" w:line="102" w:lineRule="exact"/>
        <w:rPr>
          <w:sz w:val="20"/>
          <w:szCs w:val="20"/>
          <w:color w:val="auto"/>
        </w:rPr>
      </w:pPr>
    </w:p>
    <w:p>
      <w:pPr>
        <w:ind w:left="260" w:right="100" w:firstLine="435"/>
        <w:spacing w:after="0" w:line="250"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Neil Novich, </w:t>
      </w:r>
      <w:r>
        <w:rPr>
          <w:rFonts w:ascii="Arial" w:cs="Arial" w:eastAsia="Arial" w:hAnsi="Arial"/>
          <w:sz w:val="18"/>
          <w:szCs w:val="18"/>
          <w:i w:val="1"/>
          <w:iCs w:val="1"/>
          <w:color w:val="auto"/>
        </w:rPr>
        <w:t>Chairman</w:t>
      </w:r>
    </w:p>
    <w:p>
      <w:pPr>
        <w:ind w:left="700"/>
        <w:spacing w:after="0" w:line="232" w:lineRule="auto"/>
        <w:rPr>
          <w:sz w:val="20"/>
          <w:szCs w:val="20"/>
          <w:color w:val="auto"/>
        </w:rPr>
      </w:pPr>
      <w:r>
        <w:rPr>
          <w:rFonts w:ascii="Arial" w:cs="Arial" w:eastAsia="Arial" w:hAnsi="Arial"/>
          <w:sz w:val="18"/>
          <w:szCs w:val="18"/>
          <w:color w:val="auto"/>
        </w:rPr>
        <w:t>Edward H. Frank</w:t>
      </w:r>
    </w:p>
    <w:p>
      <w:pPr>
        <w:ind w:left="700"/>
        <w:spacing w:after="0"/>
        <w:rPr>
          <w:sz w:val="20"/>
          <w:szCs w:val="20"/>
          <w:color w:val="auto"/>
        </w:rPr>
      </w:pPr>
      <w:r>
        <w:rPr>
          <w:rFonts w:ascii="Arial" w:cs="Arial" w:eastAsia="Arial" w:hAnsi="Arial"/>
          <w:sz w:val="18"/>
          <w:szCs w:val="18"/>
          <w:color w:val="auto"/>
        </w:rPr>
        <w:t>Lisa T. Su</w:t>
      </w:r>
    </w:p>
    <w:p>
      <w:pPr>
        <w:spacing w:after="0" w:line="146" w:lineRule="exact"/>
        <w:rPr>
          <w:sz w:val="20"/>
          <w:szCs w:val="20"/>
          <w:color w:val="auto"/>
        </w:rPr>
      </w:pPr>
    </w:p>
    <w:p>
      <w:pPr>
        <w:ind w:left="660" w:hanging="393"/>
        <w:spacing w:after="0"/>
        <w:tabs>
          <w:tab w:leader="none" w:pos="660" w:val="left"/>
        </w:tabs>
        <w:numPr>
          <w:ilvl w:val="0"/>
          <w:numId w:val="118"/>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432435</wp:posOffset>
            </wp:positionV>
            <wp:extent cx="6917690" cy="398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17690" cy="39814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FFFFFF"/>
        </w:rPr>
        <w:t>PROPOSAL 3</w:t>
      </w:r>
    </w:p>
    <w:p>
      <w:pPr>
        <w:spacing w:after="0" w:line="200" w:lineRule="exact"/>
        <w:rPr>
          <w:sz w:val="20"/>
          <w:szCs w:val="20"/>
          <w:color w:val="auto"/>
        </w:rPr>
      </w:pPr>
    </w:p>
    <w:p>
      <w:pPr>
        <w:spacing w:after="0" w:line="262" w:lineRule="exact"/>
        <w:rPr>
          <w:sz w:val="20"/>
          <w:szCs w:val="20"/>
          <w:color w:val="auto"/>
        </w:rPr>
      </w:pPr>
    </w:p>
    <w:p>
      <w:pPr>
        <w:ind w:left="260" w:right="1180"/>
        <w:spacing w:after="0" w:line="286" w:lineRule="auto"/>
        <w:rPr>
          <w:sz w:val="20"/>
          <w:szCs w:val="20"/>
          <w:color w:val="auto"/>
        </w:rPr>
      </w:pPr>
      <w:r>
        <w:rPr>
          <w:rFonts w:ascii="Arial" w:cs="Arial" w:eastAsia="Arial" w:hAnsi="Arial"/>
          <w:sz w:val="32"/>
          <w:szCs w:val="32"/>
          <w:color w:val="052B82"/>
        </w:rPr>
        <w:t>RATIFICATION OF SELECTION OF INDEPENDENT REGISTERED PUBLIC ACCOUNTING FIRM</w:t>
      </w:r>
    </w:p>
    <w:p>
      <w:pPr>
        <w:spacing w:after="0" w:line="100" w:lineRule="exact"/>
        <w:rPr>
          <w:sz w:val="20"/>
          <w:szCs w:val="20"/>
          <w:color w:val="auto"/>
        </w:rPr>
      </w:pPr>
    </w:p>
    <w:p>
      <w:pPr>
        <w:ind w:left="260" w:right="140" w:firstLine="435"/>
        <w:spacing w:after="0" w:line="244" w:lineRule="auto"/>
        <w:rPr>
          <w:sz w:val="20"/>
          <w:szCs w:val="20"/>
          <w:color w:val="auto"/>
        </w:rPr>
      </w:pPr>
      <w:r>
        <w:rPr>
          <w:rFonts w:ascii="Arial" w:cs="Arial" w:eastAsia="Arial" w:hAnsi="Arial"/>
          <w:sz w:val="18"/>
          <w:szCs w:val="18"/>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 of the Company and our shareholders.</w:t>
      </w:r>
    </w:p>
    <w:p>
      <w:pPr>
        <w:spacing w:after="0" w:line="173" w:lineRule="exact"/>
        <w:rPr>
          <w:sz w:val="20"/>
          <w:szCs w:val="20"/>
          <w:color w:val="auto"/>
        </w:rPr>
      </w:pPr>
    </w:p>
    <w:p>
      <w:pPr>
        <w:ind w:left="260" w:right="160" w:firstLine="435"/>
        <w:spacing w:after="0" w:line="237" w:lineRule="auto"/>
        <w:rPr>
          <w:sz w:val="20"/>
          <w:szCs w:val="20"/>
          <w:color w:val="auto"/>
        </w:rPr>
      </w:pPr>
      <w:r>
        <w:rPr>
          <w:rFonts w:ascii="Arial" w:cs="Arial" w:eastAsia="Arial" w:hAnsi="Arial"/>
          <w:sz w:val="18"/>
          <w:szCs w:val="18"/>
          <w:color w:val="auto"/>
        </w:rPr>
        <w:t>Our Audit Committee has selected the firm of Ernst &amp; Young LLP, independent registered public accounting firm, as our auditors for the 2019 fiscal year.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Chairman are directly involved in the selection of Ernst &amp; Young LLP’s lead engagement partner. The Audit Committee also has the sole authority to approve all engagement fees paid to our independent registered public accounting firm.</w:t>
      </w:r>
    </w:p>
    <w:p>
      <w:pPr>
        <w:spacing w:after="0" w:line="180" w:lineRule="exact"/>
        <w:rPr>
          <w:sz w:val="20"/>
          <w:szCs w:val="20"/>
          <w:color w:val="auto"/>
        </w:rPr>
      </w:pPr>
    </w:p>
    <w:p>
      <w:pPr>
        <w:ind w:left="260" w:right="60" w:firstLine="435"/>
        <w:spacing w:after="0" w:line="237" w:lineRule="auto"/>
        <w:rPr>
          <w:sz w:val="20"/>
          <w:szCs w:val="20"/>
          <w:color w:val="auto"/>
        </w:rPr>
      </w:pPr>
      <w:r>
        <w:rPr>
          <w:rFonts w:ascii="Arial" w:cs="Arial" w:eastAsia="Arial" w:hAnsi="Arial"/>
          <w:sz w:val="18"/>
          <w:szCs w:val="18"/>
          <w:color w:val="auto"/>
        </w:rPr>
        <w:t>The Audit Committee and the Board of Directors believe that the continued retention of Ernst &amp; Young LLP as our independent registered public accounting firm is in the best interest of the Company and our shareholders, and we are asking our shareholders to ratify the selection of Ernst &amp; Young LLP as our independent registered public accounting firm for the 2019 fiscal year.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180" w:lineRule="exact"/>
        <w:rPr>
          <w:sz w:val="20"/>
          <w:szCs w:val="20"/>
          <w:color w:val="auto"/>
        </w:rPr>
      </w:pPr>
    </w:p>
    <w:p>
      <w:pPr>
        <w:ind w:left="260" w:right="200" w:firstLine="435"/>
        <w:spacing w:after="0" w:line="269" w:lineRule="auto"/>
        <w:rPr>
          <w:sz w:val="20"/>
          <w:szCs w:val="20"/>
          <w:color w:val="auto"/>
        </w:rPr>
      </w:pPr>
      <w:r>
        <w:rPr>
          <w:rFonts w:ascii="Arial" w:cs="Arial" w:eastAsia="Arial" w:hAnsi="Arial"/>
          <w:sz w:val="18"/>
          <w:szCs w:val="18"/>
          <w:color w:val="auto"/>
        </w:rPr>
        <w:t>Representatives of Ernst &amp; Young LLP are expected to be present at the Annual Meeting. They will have the opportunity to make a statement if they desire to do so and will also be available to respond to appropriate questions from shareholders.</w:t>
      </w:r>
    </w:p>
    <w:p>
      <w:pPr>
        <w:spacing w:after="0" w:line="200" w:lineRule="exact"/>
        <w:rPr>
          <w:sz w:val="20"/>
          <w:szCs w:val="20"/>
          <w:color w:val="auto"/>
        </w:rPr>
      </w:pPr>
    </w:p>
    <w:p>
      <w:pPr>
        <w:spacing w:after="0" w:line="333" w:lineRule="exact"/>
        <w:rPr>
          <w:sz w:val="20"/>
          <w:szCs w:val="20"/>
          <w:color w:val="auto"/>
        </w:rPr>
      </w:pPr>
    </w:p>
    <w:p>
      <w:pPr>
        <w:ind w:left="260" w:right="100" w:firstLine="7"/>
        <w:spacing w:after="0" w:line="279" w:lineRule="auto"/>
        <w:rPr>
          <w:sz w:val="20"/>
          <w:szCs w:val="20"/>
          <w:color w:val="auto"/>
        </w:rPr>
      </w:pPr>
      <w:r>
        <w:rPr>
          <w:sz w:val="1"/>
          <w:szCs w:val="1"/>
          <w:color w:val="auto"/>
        </w:rPr>
        <w:drawing>
          <wp:inline distT="0" distB="0" distL="0" distR="0">
            <wp:extent cx="262890" cy="27114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2890" cy="271145"/>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FOR the ratification of the selection of Ernst &amp; Young LLP as our independent registered public accounting firm for the 2019 fiscal year.</w:t>
      </w:r>
    </w:p>
    <w:p>
      <w:pPr>
        <w:spacing w:after="0" w:line="5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71</w:t>
      </w:r>
    </w:p>
    <w:p>
      <w:pPr>
        <w:sectPr>
          <w:pgSz w:w="11900" w:h="16838" w:orient="portrait"/>
          <w:cols w:equalWidth="0" w:num="1">
            <w:col w:w="11160"/>
          </w:cols>
          <w:pgMar w:left="240" w:top="453"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432435</wp:posOffset>
            </wp:positionV>
            <wp:extent cx="6917690" cy="398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17690" cy="39814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FFFFFF"/>
        </w:rPr>
        <w:t>PROPOSAL 4</w:t>
      </w: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SHAREHOLDER PROPOSAL RELATING TO A DIVERSITY REPORT</w:t>
      </w:r>
    </w:p>
    <w:p>
      <w:pPr>
        <w:spacing w:after="0" w:line="235" w:lineRule="exact"/>
        <w:rPr>
          <w:sz w:val="20"/>
          <w:szCs w:val="20"/>
          <w:color w:val="auto"/>
        </w:rPr>
      </w:pPr>
    </w:p>
    <w:p>
      <w:pPr>
        <w:ind w:left="260" w:right="80" w:firstLine="435"/>
        <w:spacing w:after="0" w:line="262" w:lineRule="auto"/>
        <w:rPr>
          <w:sz w:val="20"/>
          <w:szCs w:val="20"/>
          <w:color w:val="auto"/>
        </w:rPr>
      </w:pPr>
      <w:r>
        <w:rPr>
          <w:rFonts w:ascii="Arial" w:cs="Arial" w:eastAsia="Arial" w:hAnsi="Arial"/>
          <w:sz w:val="17"/>
          <w:szCs w:val="17"/>
          <w:color w:val="auto"/>
        </w:rPr>
        <w:t>Trillium Asset Management, LLC, located at Two Financial Center, 60 South Street, Suite 1100, Boston, MA 02111, has advised us that they plan to introduce the following resolution at this year’s Annual Meeting on behalf of the Episcopal City Mission and Sundance Family Foundation, who have indicated that they beneficially own 2,609 shares and 46 shares of our common stock, respectively. The Company is not responsible for the accuracy or content of the proposal, which is presented as received from the proponent in accordance with SEC rules. As explained below, our Board unanimously recommends that you vote “</w:t>
      </w:r>
      <w:r>
        <w:rPr>
          <w:rFonts w:ascii="Arial" w:cs="Arial" w:eastAsia="Arial" w:hAnsi="Arial"/>
          <w:sz w:val="17"/>
          <w:szCs w:val="17"/>
          <w:b w:val="1"/>
          <w:bCs w:val="1"/>
          <w:color w:val="auto"/>
        </w:rPr>
        <w:t>AGAINST</w:t>
      </w:r>
      <w:r>
        <w:rPr>
          <w:rFonts w:ascii="Arial" w:cs="Arial" w:eastAsia="Arial" w:hAnsi="Arial"/>
          <w:sz w:val="17"/>
          <w:szCs w:val="17"/>
          <w:color w:val="auto"/>
        </w:rPr>
        <w:t>” this shareholder proposal.</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DIVERSITY REPORT</w:t>
      </w:r>
    </w:p>
    <w:p>
      <w:pPr>
        <w:spacing w:after="0" w:line="100" w:lineRule="exact"/>
        <w:rPr>
          <w:sz w:val="20"/>
          <w:szCs w:val="20"/>
          <w:color w:val="auto"/>
        </w:rPr>
      </w:pPr>
    </w:p>
    <w:p>
      <w:pPr>
        <w:ind w:left="260" w:right="320" w:firstLine="435"/>
        <w:spacing w:after="0" w:line="264"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business case for workforce diversity is compelling. McKinsey &amp; Company, for example, found in 2015, and in a</w:t>
      </w:r>
      <w:r>
        <w:rPr>
          <w:rFonts w:ascii="Arial" w:cs="Arial" w:eastAsia="Arial" w:hAnsi="Arial"/>
          <w:sz w:val="17"/>
          <w:szCs w:val="17"/>
          <w:b w:val="1"/>
          <w:bCs w:val="1"/>
          <w:color w:val="auto"/>
        </w:rPr>
        <w:t xml:space="preserve"> </w:t>
      </w:r>
      <w:r>
        <w:rPr>
          <w:rFonts w:ascii="Arial" w:cs="Arial" w:eastAsia="Arial" w:hAnsi="Arial"/>
          <w:sz w:val="17"/>
          <w:szCs w:val="17"/>
          <w:color w:val="auto"/>
        </w:rPr>
        <w:t>larger study in 2017 that highly diverse executive teams had higher returns on equity and earnings performance than those with low diversity. Companies in the top quartile for gender diversity on executive teams were 21 percent more likely to have industry-leading profitability. Companies in the top quartile for ethnic/cultural diversity were 33 percent more likely to have industry-leading profitability.</w:t>
      </w:r>
    </w:p>
    <w:p>
      <w:pPr>
        <w:spacing w:after="0" w:line="157" w:lineRule="exact"/>
        <w:rPr>
          <w:sz w:val="20"/>
          <w:szCs w:val="20"/>
          <w:color w:val="auto"/>
        </w:rPr>
      </w:pPr>
    </w:p>
    <w:p>
      <w:pPr>
        <w:ind w:left="260" w:firstLine="435"/>
        <w:spacing w:after="0" w:line="250" w:lineRule="auto"/>
        <w:rPr>
          <w:sz w:val="20"/>
          <w:szCs w:val="20"/>
          <w:color w:val="auto"/>
        </w:rPr>
      </w:pPr>
      <w:r>
        <w:rPr>
          <w:rFonts w:ascii="Arial" w:cs="Arial" w:eastAsia="Arial" w:hAnsi="Arial"/>
          <w:sz w:val="18"/>
          <w:szCs w:val="18"/>
          <w:color w:val="auto"/>
        </w:rPr>
        <w:t>Further, the lack of diversity among high tech workers is a central public policy concern according to the U.S. Equal Employment Opportunity Commission. In 2014, the Commission reported that the high-tech sector employed a larger share of whites, Asian Americans, and men, and a smaller share of African-Americans, Hispanics and women than the “overall private industry.”</w:t>
      </w:r>
    </w:p>
    <w:p>
      <w:pPr>
        <w:spacing w:after="0" w:line="168" w:lineRule="exact"/>
        <w:rPr>
          <w:sz w:val="20"/>
          <w:szCs w:val="20"/>
          <w:color w:val="auto"/>
        </w:rPr>
      </w:pPr>
    </w:p>
    <w:p>
      <w:pPr>
        <w:ind w:left="260" w:right="140" w:firstLine="435"/>
        <w:spacing w:after="0" w:line="272" w:lineRule="auto"/>
        <w:rPr>
          <w:sz w:val="20"/>
          <w:szCs w:val="20"/>
          <w:color w:val="auto"/>
        </w:rPr>
      </w:pPr>
      <w:r>
        <w:rPr>
          <w:rFonts w:ascii="Arial" w:cs="Arial" w:eastAsia="Arial" w:hAnsi="Arial"/>
          <w:sz w:val="17"/>
          <w:szCs w:val="17"/>
          <w:color w:val="auto"/>
        </w:rPr>
        <w:t>Analog Devices states that it has “become the world leader in high performance signal processing solutions by ensuring that we not only have the best products in the industry, but the best people.” Yet, no information is provided describing how its business strategy of delivering the best product is aligned with a strategy to attract and retain top talent to serve its diverse, global customer base.</w:t>
      </w:r>
    </w:p>
    <w:p>
      <w:pPr>
        <w:spacing w:after="0" w:line="150" w:lineRule="exact"/>
        <w:rPr>
          <w:sz w:val="20"/>
          <w:szCs w:val="20"/>
          <w:color w:val="auto"/>
        </w:rPr>
      </w:pPr>
    </w:p>
    <w:p>
      <w:pPr>
        <w:ind w:left="260" w:right="200" w:firstLine="435"/>
        <w:spacing w:after="0" w:line="241" w:lineRule="auto"/>
        <w:rPr>
          <w:sz w:val="20"/>
          <w:szCs w:val="20"/>
          <w:color w:val="auto"/>
        </w:rPr>
      </w:pPr>
      <w:r>
        <w:rPr>
          <w:rFonts w:ascii="Arial" w:cs="Arial" w:eastAsia="Arial" w:hAnsi="Arial"/>
          <w:sz w:val="18"/>
          <w:szCs w:val="18"/>
          <w:color w:val="auto"/>
        </w:rPr>
        <w:t>Sector peers including Cisco, Palo Alto Networks and Adobe Systems publish EEO-1 data and disclosure inclusion and diversity strategies. Intel set targets for raising the percentage of women and underrepresented minorities in their workforce. Symantec created a sub-goal of increasing its percentage of women in leadership (Director-level and above) to 30 percent by 2020. Financial services sector companies, similarly, have begun setting diversity targets. Citigroup, in August 2018, announced plans to reverse “falling diversity” by setting public quantitative goals and holding senior leaders accountable for meeting them.</w:t>
      </w:r>
    </w:p>
    <w:p>
      <w:pPr>
        <w:spacing w:after="0" w:line="176" w:lineRule="exact"/>
        <w:rPr>
          <w:sz w:val="20"/>
          <w:szCs w:val="20"/>
          <w:color w:val="auto"/>
        </w:rPr>
      </w:pPr>
    </w:p>
    <w:p>
      <w:pPr>
        <w:ind w:left="260" w:right="100" w:firstLine="435"/>
        <w:spacing w:after="0" w:line="263" w:lineRule="auto"/>
        <w:rPr>
          <w:sz w:val="20"/>
          <w:szCs w:val="20"/>
          <w:color w:val="auto"/>
        </w:rPr>
      </w:pPr>
      <w:r>
        <w:rPr>
          <w:rFonts w:ascii="Arial" w:cs="Arial" w:eastAsia="Arial" w:hAnsi="Arial"/>
          <w:sz w:val="17"/>
          <w:szCs w:val="17"/>
          <w:color w:val="auto"/>
        </w:rPr>
        <w:t>Global companies are increasingly recognizing the importance of diversity and inclusion as business and social imperatives. Leveraging the contributions of a diverse employee population creates an environment in which individual differences and capabilities are valued. Further, operationalizing an effective inclusion and diversity strategy requires inclusive leadership and goal setting. Companies that hold themselves publicly accountable to diversity goals are more likely to make rapid progress toward achieving those goals.</w:t>
      </w:r>
    </w:p>
    <w:p>
      <w:pPr>
        <w:spacing w:after="0" w:line="156" w:lineRule="exact"/>
        <w:rPr>
          <w:sz w:val="20"/>
          <w:szCs w:val="20"/>
          <w:color w:val="auto"/>
        </w:rPr>
      </w:pPr>
    </w:p>
    <w:p>
      <w:pPr>
        <w:ind w:left="260" w:right="500" w:firstLine="435"/>
        <w:spacing w:after="0" w:line="27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Analog Devices prepare a diversity report, at reasonable cost and omitting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available to investors including:</w:t>
      </w:r>
    </w:p>
    <w:p>
      <w:pPr>
        <w:spacing w:after="0" w:line="55" w:lineRule="exact"/>
        <w:rPr>
          <w:sz w:val="20"/>
          <w:szCs w:val="20"/>
          <w:color w:val="auto"/>
        </w:rPr>
      </w:pPr>
    </w:p>
    <w:p>
      <w:pPr>
        <w:ind w:left="700" w:right="20" w:hanging="433"/>
        <w:spacing w:after="0" w:line="269" w:lineRule="auto"/>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chart identifying employees according to gender and race in major EEOC-defined job categories, listing numbers or percentages in each category;</w:t>
      </w:r>
    </w:p>
    <w:p>
      <w:pPr>
        <w:spacing w:after="0" w:line="56" w:lineRule="exact"/>
        <w:rPr>
          <w:rFonts w:ascii="Arial" w:cs="Arial" w:eastAsia="Arial" w:hAnsi="Arial"/>
          <w:sz w:val="18"/>
          <w:szCs w:val="18"/>
          <w:color w:val="auto"/>
        </w:rPr>
      </w:pPr>
    </w:p>
    <w:p>
      <w:pPr>
        <w:ind w:left="700" w:hanging="433"/>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description of policies/programs focused on increasing diversity in the workplace.</w:t>
      </w:r>
    </w:p>
    <w:p>
      <w:pPr>
        <w:spacing w:after="0" w:line="205" w:lineRule="exact"/>
        <w:rPr>
          <w:sz w:val="20"/>
          <w:szCs w:val="20"/>
          <w:color w:val="auto"/>
        </w:rPr>
      </w:pPr>
    </w:p>
    <w:p>
      <w:pPr>
        <w:ind w:left="260" w:right="960" w:firstLine="435"/>
        <w:spacing w:after="0" w:line="271" w:lineRule="auto"/>
        <w:rPr>
          <w:sz w:val="20"/>
          <w:szCs w:val="20"/>
          <w:color w:val="auto"/>
        </w:rPr>
      </w:pPr>
      <w:r>
        <w:rPr>
          <w:rFonts w:ascii="Arial" w:cs="Arial" w:eastAsia="Arial" w:hAnsi="Arial"/>
          <w:sz w:val="18"/>
          <w:szCs w:val="18"/>
          <w:b w:val="1"/>
          <w:bCs w:val="1"/>
          <w:color w:val="auto"/>
        </w:rPr>
        <w:t xml:space="preserve">Shareholder Supporting Statement: </w:t>
      </w:r>
      <w:r>
        <w:rPr>
          <w:rFonts w:ascii="Arial" w:cs="Arial" w:eastAsia="Arial" w:hAnsi="Arial"/>
          <w:sz w:val="18"/>
          <w:szCs w:val="18"/>
          <w:color w:val="auto"/>
        </w:rPr>
        <w:t>A report adequate for investors to assess strategy and performance would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disclosures, such as a review of appropriate time-bound benchmarks for judging</w:t>
      </w:r>
    </w:p>
    <w:p>
      <w:pPr>
        <w:spacing w:after="0" w:line="110" w:lineRule="exact"/>
        <w:rPr>
          <w:sz w:val="20"/>
          <w:szCs w:val="20"/>
          <w:color w:val="auto"/>
        </w:rPr>
      </w:pPr>
    </w:p>
    <w:p>
      <w:pPr>
        <w:ind w:left="660" w:hanging="393"/>
        <w:spacing w:after="0"/>
        <w:tabs>
          <w:tab w:leader="none" w:pos="660" w:val="left"/>
        </w:tabs>
        <w:numPr>
          <w:ilvl w:val="0"/>
          <w:numId w:val="120"/>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820"/>
        <w:spacing w:after="0" w:line="269" w:lineRule="auto"/>
        <w:rPr>
          <w:sz w:val="20"/>
          <w:szCs w:val="20"/>
          <w:color w:val="auto"/>
        </w:rPr>
      </w:pPr>
      <w:r>
        <w:rPr>
          <w:rFonts w:ascii="Arial" w:cs="Arial" w:eastAsia="Arial" w:hAnsi="Arial"/>
          <w:sz w:val="18"/>
          <w:szCs w:val="18"/>
          <w:color w:val="auto"/>
        </w:rPr>
        <w:t>current and future progress, and practices in use to ensure progress can be achieved, for example, the extent to which incentive compensation packages include diversity and inclusion goals for named executive officers.</w:t>
      </w:r>
    </w:p>
    <w:p>
      <w:pPr>
        <w:spacing w:after="0" w:line="348"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COMPANY’S OPPOSITION STATEMENT</w:t>
      </w:r>
    </w:p>
    <w:p>
      <w:pPr>
        <w:spacing w:after="0" w:line="233" w:lineRule="exact"/>
        <w:rPr>
          <w:sz w:val="20"/>
          <w:szCs w:val="20"/>
          <w:color w:val="auto"/>
        </w:rPr>
      </w:pPr>
    </w:p>
    <w:p>
      <w:pPr>
        <w:ind w:left="260" w:right="700"/>
        <w:spacing w:after="0" w:line="283" w:lineRule="auto"/>
        <w:rPr>
          <w:sz w:val="20"/>
          <w:szCs w:val="20"/>
          <w:color w:val="auto"/>
        </w:rPr>
      </w:pPr>
      <w:r>
        <w:rPr>
          <w:rFonts w:ascii="Arial" w:cs="Arial" w:eastAsia="Arial" w:hAnsi="Arial"/>
          <w:sz w:val="18"/>
          <w:szCs w:val="18"/>
          <w:b w:val="1"/>
          <w:bCs w:val="1"/>
          <w:color w:val="auto"/>
        </w:rPr>
        <w:t xml:space="preserve">The Analog Devices Board of Directors unanimously recommends that shareholders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proposal for the following reasons: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ANALOG DEVICES’ COMMITMENT TO DIVERSITY AND INCLUSION</w:t>
      </w:r>
    </w:p>
    <w:p>
      <w:pPr>
        <w:spacing w:after="0" w:line="102" w:lineRule="exact"/>
        <w:rPr>
          <w:sz w:val="20"/>
          <w:szCs w:val="20"/>
          <w:color w:val="auto"/>
        </w:rPr>
      </w:pPr>
    </w:p>
    <w:p>
      <w:pPr>
        <w:ind w:left="260" w:firstLine="435"/>
        <w:spacing w:after="0" w:line="237" w:lineRule="auto"/>
        <w:rPr>
          <w:sz w:val="20"/>
          <w:szCs w:val="20"/>
          <w:color w:val="auto"/>
        </w:rPr>
      </w:pPr>
      <w:r>
        <w:rPr>
          <w:rFonts w:ascii="Arial" w:cs="Arial" w:eastAsia="Arial" w:hAnsi="Arial"/>
          <w:sz w:val="18"/>
          <w:szCs w:val="18"/>
          <w:color w:val="auto"/>
        </w:rPr>
        <w:t>Analog Devices is a global company with design, development, field application engineering, sales, and manufacturing employees and facilities worldwide. We believe that our more than 15,000 employees worldwide are one of our most valuable assets. We want people whose diverse backgrounds open our “innovation aperture” and allow ADI to think differently, come at complex problems from many different vantage points, and find the best possible solutions. Consistent with this belief, we are committed to ensuring that our employees are treated with respect and dignity in order to drive a culture of inclusion that values and leverages the uniqueness and broad perspective of each employee. Diversity and inclusion are recognized as critical business imperatives at ADI. When people feel appreciated and included, they can be more creative, innovative and successful, which in turn drives the success of ADI and enhanced value for you, our shareholders. Our more than fifty years of success is a testament to our commitment to developing a highly productive, talented and motivated global workforce.</w:t>
      </w:r>
    </w:p>
    <w:p>
      <w:pPr>
        <w:spacing w:after="0" w:line="176" w:lineRule="exact"/>
        <w:rPr>
          <w:sz w:val="20"/>
          <w:szCs w:val="20"/>
          <w:color w:val="auto"/>
        </w:rPr>
      </w:pPr>
    </w:p>
    <w:p>
      <w:pPr>
        <w:jc w:val="both"/>
        <w:ind w:left="260" w:right="380" w:firstLine="435"/>
        <w:spacing w:after="0" w:line="250" w:lineRule="auto"/>
        <w:rPr>
          <w:sz w:val="20"/>
          <w:szCs w:val="20"/>
          <w:color w:val="auto"/>
        </w:rPr>
      </w:pPr>
      <w:r>
        <w:rPr>
          <w:rFonts w:ascii="Arial" w:cs="Arial" w:eastAsia="Arial" w:hAnsi="Arial"/>
          <w:sz w:val="18"/>
          <w:szCs w:val="18"/>
          <w:color w:val="auto"/>
        </w:rPr>
        <w:t>The integration of diversity and inclusion into our organization is demonstrated by our appointment of a Director of Diversity and Inclusion who reports up through our Senior Director of Talent into the Chief People Officer, an executive officer of ADI, demonstrating cross functional integration and access to the highest governing level of the Company.</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DIVERSITY AND INCLUSION PROGRAMS AT ADI</w:t>
      </w:r>
    </w:p>
    <w:p>
      <w:pPr>
        <w:spacing w:after="0" w:line="209" w:lineRule="exact"/>
        <w:rPr>
          <w:sz w:val="20"/>
          <w:szCs w:val="20"/>
          <w:color w:val="auto"/>
        </w:rPr>
      </w:pPr>
    </w:p>
    <w:p>
      <w:pPr>
        <w:ind w:left="260" w:right="720" w:firstLine="435"/>
        <w:spacing w:after="0" w:line="269" w:lineRule="auto"/>
        <w:rPr>
          <w:sz w:val="20"/>
          <w:szCs w:val="20"/>
          <w:color w:val="auto"/>
        </w:rPr>
      </w:pPr>
      <w:r>
        <w:rPr>
          <w:rFonts w:ascii="Arial" w:cs="Arial" w:eastAsia="Arial" w:hAnsi="Arial"/>
          <w:sz w:val="18"/>
          <w:szCs w:val="18"/>
          <w:color w:val="auto"/>
        </w:rPr>
        <w:t>Our commitment to diversity is reflected in the Company’s diversity and inclusion programs and initiatives, which include the following:</w:t>
      </w:r>
    </w:p>
    <w:p>
      <w:pPr>
        <w:spacing w:after="0" w:line="55" w:lineRule="exact"/>
        <w:rPr>
          <w:sz w:val="20"/>
          <w:szCs w:val="20"/>
          <w:color w:val="auto"/>
        </w:rPr>
      </w:pPr>
    </w:p>
    <w:p>
      <w:pPr>
        <w:ind w:left="1120" w:right="300" w:hanging="319"/>
        <w:spacing w:after="0" w:line="242" w:lineRule="auto"/>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Inclusion Program. </w:t>
      </w:r>
      <w:r>
        <w:rPr>
          <w:rFonts w:ascii="Arial" w:cs="Arial" w:eastAsia="Arial" w:hAnsi="Arial"/>
          <w:sz w:val="18"/>
          <w:szCs w:val="18"/>
          <w:color w:val="auto"/>
        </w:rPr>
        <w:t>This is a company-wide initiative to educate all our employees about the business benefits of inclusion.</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this initiative, employees receive unconscious bias training, and we will track throughout the year the actions our teams will be taking to be a more inclusive workforce. We believe that by helping our employees begin to recognize, acknowledge and potentially minimize potential blind spots with respect to unconscious biases, we may continue building a culture of inclusion in which diverse perspectives and voices are heard and thrive.</w:t>
      </w:r>
    </w:p>
    <w:p>
      <w:pPr>
        <w:spacing w:after="0" w:line="77" w:lineRule="exact"/>
        <w:rPr>
          <w:rFonts w:ascii="Arial" w:cs="Arial" w:eastAsia="Arial" w:hAnsi="Arial"/>
          <w:sz w:val="18"/>
          <w:szCs w:val="18"/>
          <w:color w:val="auto"/>
        </w:rPr>
      </w:pPr>
    </w:p>
    <w:p>
      <w:pPr>
        <w:ind w:left="1120" w:right="100" w:hanging="319"/>
        <w:spacing w:after="0" w:line="242" w:lineRule="auto"/>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Pay it Forward</w:t>
      </w:r>
      <w:r>
        <w:rPr>
          <w:rFonts w:ascii="Arial" w:cs="Arial" w:eastAsia="Arial" w:hAnsi="Arial"/>
          <w:sz w:val="18"/>
          <w:szCs w:val="18"/>
          <w:color w:val="auto"/>
        </w:rPr>
        <w:t>. This is a program open to high performing or high potential women at ADI to help with mobility into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grades by providing them with a mentor. In exchange, we mobilize these women to help increase the pool size of female applicants by sending them to different university programs, providing them a female intern over the summer, and encouraging the participants to find other ways of paying it forward. Many participants volunteer with their local schools to help with STEM initiatives and other community-based projects.</w:t>
      </w:r>
    </w:p>
    <w:p>
      <w:pPr>
        <w:spacing w:after="0" w:line="77" w:lineRule="exact"/>
        <w:rPr>
          <w:rFonts w:ascii="Arial" w:cs="Arial" w:eastAsia="Arial" w:hAnsi="Arial"/>
          <w:sz w:val="18"/>
          <w:szCs w:val="18"/>
          <w:color w:val="auto"/>
        </w:rPr>
      </w:pPr>
    </w:p>
    <w:p>
      <w:pPr>
        <w:ind w:left="1120" w:hanging="319"/>
        <w:spacing w:after="0" w:line="242" w:lineRule="auto"/>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Diversity Networks</w:t>
      </w:r>
      <w:r>
        <w:rPr>
          <w:rFonts w:ascii="Arial" w:cs="Arial" w:eastAsia="Arial" w:hAnsi="Arial"/>
          <w:sz w:val="18"/>
          <w:szCs w:val="18"/>
          <w:color w:val="auto"/>
        </w:rPr>
        <w:t>. Our global employee diversity networks are voluntary organizations led by a team of employees dedicated</w:t>
      </w:r>
      <w:r>
        <w:rPr>
          <w:rFonts w:ascii="Arial" w:cs="Arial" w:eastAsia="Arial" w:hAnsi="Arial"/>
          <w:sz w:val="18"/>
          <w:szCs w:val="18"/>
          <w:b w:val="1"/>
          <w:bCs w:val="1"/>
          <w:color w:val="auto"/>
        </w:rPr>
        <w:t xml:space="preserve"> </w:t>
      </w:r>
      <w:r>
        <w:rPr>
          <w:rFonts w:ascii="Arial" w:cs="Arial" w:eastAsia="Arial" w:hAnsi="Arial"/>
          <w:sz w:val="18"/>
          <w:szCs w:val="18"/>
          <w:color w:val="auto"/>
        </w:rPr>
        <w:t>to fostering a diverse and inclusive work environment. Open to all employees, the networks aim to assist the Company in fostering the retention, development and success of our employees by connecting employees with one another and providing mentoring, learning and development opportunities. The Company’s current diversity networks include the Women’s Leadership Network, the Young Professional Network and the LGBT+ Network.</w:t>
      </w:r>
    </w:p>
    <w:p>
      <w:pPr>
        <w:spacing w:after="0" w:line="77" w:lineRule="exact"/>
        <w:rPr>
          <w:rFonts w:ascii="Arial" w:cs="Arial" w:eastAsia="Arial" w:hAnsi="Arial"/>
          <w:sz w:val="18"/>
          <w:szCs w:val="18"/>
          <w:color w:val="auto"/>
        </w:rPr>
      </w:pPr>
    </w:p>
    <w:p>
      <w:pPr>
        <w:ind w:left="1120" w:right="500" w:hanging="319"/>
        <w:spacing w:after="0" w:line="271" w:lineRule="auto"/>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Respect the Workplace Training</w:t>
      </w:r>
      <w:r>
        <w:rPr>
          <w:rFonts w:ascii="Arial" w:cs="Arial" w:eastAsia="Arial" w:hAnsi="Arial"/>
          <w:sz w:val="18"/>
          <w:szCs w:val="18"/>
          <w:color w:val="auto"/>
        </w:rPr>
        <w:t>. This is a company-wide training program to help strengthen our culture of respect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inclusion within our organization.</w:t>
      </w:r>
    </w:p>
    <w:p>
      <w:pPr>
        <w:spacing w:after="0" w:line="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73</w:t>
      </w:r>
    </w:p>
    <w:p>
      <w:pPr>
        <w:sectPr>
          <w:pgSz w:w="11900" w:h="16838" w:orient="portrait"/>
          <w:cols w:equalWidth="0" w:num="1">
            <w:col w:w="11160"/>
          </w:cols>
          <w:pgMar w:left="240" w:top="453" w:right="49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RECOGNITION AS A LEADER IN DIVERSITY AND INCLUSION</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commitment to diversity and inclusion has been recognized by outside organizations. Recent recognitions include:</w:t>
      </w:r>
    </w:p>
    <w:p>
      <w:pPr>
        <w:spacing w:after="0" w:line="111" w:lineRule="exact"/>
        <w:rPr>
          <w:sz w:val="20"/>
          <w:szCs w:val="20"/>
          <w:color w:val="auto"/>
        </w:rPr>
      </w:pPr>
    </w:p>
    <w:p>
      <w:pPr>
        <w:ind w:left="1120" w:right="880" w:hanging="319"/>
        <w:spacing w:after="0" w:line="301" w:lineRule="auto"/>
        <w:tabs>
          <w:tab w:leader="none" w:pos="112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Forbes’ 2018 World’s Best Employer</w:t>
      </w:r>
      <w:r>
        <w:rPr>
          <w:rFonts w:ascii="Arial" w:cs="Arial" w:eastAsia="Arial" w:hAnsi="Arial"/>
          <w:sz w:val="17"/>
          <w:szCs w:val="17"/>
          <w:color w:val="auto"/>
        </w:rPr>
        <w:t>. Recipients were chosen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Forbes</w:t>
      </w:r>
      <w:r>
        <w:rPr>
          <w:rFonts w:ascii="Arial" w:cs="Arial" w:eastAsia="Arial" w:hAnsi="Arial"/>
          <w:sz w:val="17"/>
          <w:szCs w:val="17"/>
          <w:color w:val="auto"/>
        </w:rPr>
        <w:t>’ list of the 2,000 largest publicly traded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across the globe. Also in 2018, ADI was named to the publication’s list of America’s Best Employers.</w:t>
      </w:r>
    </w:p>
    <w:p>
      <w:pPr>
        <w:spacing w:after="0" w:line="30" w:lineRule="exact"/>
        <w:rPr>
          <w:rFonts w:ascii="Arial" w:cs="Arial" w:eastAsia="Arial" w:hAnsi="Arial"/>
          <w:sz w:val="17"/>
          <w:szCs w:val="17"/>
          <w:color w:val="auto"/>
        </w:rPr>
      </w:pPr>
    </w:p>
    <w:p>
      <w:pPr>
        <w:ind w:left="1120" w:hanging="319"/>
        <w:spacing w:after="0" w:line="251"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 xml:space="preserve">2018 Thompson Reuters Top 100 Global Tech Leader. </w:t>
      </w:r>
      <w:r>
        <w:rPr>
          <w:rFonts w:ascii="Arial" w:cs="Arial" w:eastAsia="Arial" w:hAnsi="Arial"/>
          <w:sz w:val="18"/>
          <w:szCs w:val="18"/>
          <w:color w:val="auto"/>
        </w:rPr>
        <w:t>ADI received a placement on Thompson Reuters’ Top 100 Global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Leaders list, a program that identifies the technology industries’ most operationally sound and financially successful companies.</w:t>
      </w:r>
    </w:p>
    <w:p>
      <w:pPr>
        <w:spacing w:after="0" w:line="71" w:lineRule="exact"/>
        <w:rPr>
          <w:rFonts w:ascii="Arial" w:cs="Arial" w:eastAsia="Arial" w:hAnsi="Arial"/>
          <w:sz w:val="18"/>
          <w:szCs w:val="18"/>
          <w:color w:val="auto"/>
        </w:rPr>
      </w:pPr>
    </w:p>
    <w:p>
      <w:pPr>
        <w:ind w:left="1120" w:hanging="319"/>
        <w:spacing w:after="0" w:line="271"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The Boston Globe Top Places to Work</w:t>
      </w:r>
      <w:r>
        <w:rPr>
          <w:rFonts w:ascii="Arial" w:cs="Arial" w:eastAsia="Arial" w:hAnsi="Arial"/>
          <w:sz w:val="18"/>
          <w:szCs w:val="18"/>
          <w:color w:val="auto"/>
        </w:rPr>
        <w:t>. The Boston Globe named ADI as a Top Place to Work in Massachusetts in both 2017</w:t>
      </w:r>
      <w:r>
        <w:rPr>
          <w:rFonts w:ascii="Arial" w:cs="Arial" w:eastAsia="Arial" w:hAnsi="Arial"/>
          <w:sz w:val="18"/>
          <w:szCs w:val="18"/>
          <w:b w:val="1"/>
          <w:bCs w:val="1"/>
          <w:color w:val="auto"/>
        </w:rPr>
        <w:t xml:space="preserve"> </w:t>
      </w:r>
      <w:r>
        <w:rPr>
          <w:rFonts w:ascii="Arial" w:cs="Arial" w:eastAsia="Arial" w:hAnsi="Arial"/>
          <w:sz w:val="18"/>
          <w:szCs w:val="18"/>
          <w:color w:val="auto"/>
        </w:rPr>
        <w:t>and 2018. ADI ranked 21st in 2017 and 18th in 2018 in the “largest companies” category.</w:t>
      </w:r>
    </w:p>
    <w:p>
      <w:pPr>
        <w:spacing w:after="0" w:line="53" w:lineRule="exact"/>
        <w:rPr>
          <w:rFonts w:ascii="Arial" w:cs="Arial" w:eastAsia="Arial" w:hAnsi="Arial"/>
          <w:sz w:val="18"/>
          <w:szCs w:val="18"/>
          <w:color w:val="auto"/>
        </w:rPr>
      </w:pPr>
    </w:p>
    <w:p>
      <w:pPr>
        <w:ind w:left="1120" w:right="360" w:hanging="319"/>
        <w:spacing w:after="0" w:line="271"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Just Capital 2017 Just 100</w:t>
      </w:r>
      <w:r>
        <w:rPr>
          <w:rFonts w:ascii="Arial" w:cs="Arial" w:eastAsia="Arial" w:hAnsi="Arial"/>
          <w:sz w:val="18"/>
          <w:szCs w:val="18"/>
          <w:color w:val="auto"/>
        </w:rPr>
        <w:t>. ADI was listed on Just Capital’s “2017 Just 100” list that ranks the largest publicly-traded U.S.</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Companies are evaluated on public attitude towards corporate behaviors.</w:t>
      </w:r>
    </w:p>
    <w:p>
      <w:pPr>
        <w:spacing w:after="0" w:line="53" w:lineRule="exact"/>
        <w:rPr>
          <w:rFonts w:ascii="Arial" w:cs="Arial" w:eastAsia="Arial" w:hAnsi="Arial"/>
          <w:sz w:val="18"/>
          <w:szCs w:val="18"/>
          <w:color w:val="auto"/>
        </w:rPr>
      </w:pPr>
    </w:p>
    <w:p>
      <w:pPr>
        <w:ind w:left="1120" w:hanging="319"/>
        <w:spacing w:after="0"/>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“Most Respected Public Semiconductor Company Achieving $1 Billion to $5 Billion in Annual Sales” award from </w:t>
      </w:r>
      <w:r>
        <w:rPr>
          <w:rFonts w:ascii="Arial" w:cs="Arial" w:eastAsia="Arial" w:hAnsi="Arial"/>
          <w:sz w:val="18"/>
          <w:szCs w:val="18"/>
          <w:b w:val="1"/>
          <w:bCs w:val="1"/>
          <w:color w:val="auto"/>
        </w:rPr>
        <w:t>Global</w:t>
      </w:r>
    </w:p>
    <w:p>
      <w:pPr>
        <w:spacing w:after="0" w:line="17"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b w:val="1"/>
          <w:bCs w:val="1"/>
          <w:color w:val="auto"/>
        </w:rPr>
        <w:t>Semiconductor Alliance.</w:t>
      </w:r>
    </w:p>
    <w:p>
      <w:pPr>
        <w:spacing w:after="0" w:line="91" w:lineRule="exact"/>
        <w:rPr>
          <w:rFonts w:ascii="Arial" w:cs="Arial" w:eastAsia="Arial" w:hAnsi="Arial"/>
          <w:sz w:val="18"/>
          <w:szCs w:val="18"/>
          <w:color w:val="auto"/>
        </w:rPr>
      </w:pPr>
    </w:p>
    <w:p>
      <w:pPr>
        <w:ind w:left="1120" w:right="120" w:hanging="319"/>
        <w:spacing w:after="0" w:line="244"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ADI’s Vice President of Consumer and Healthcare Systems, Jennifer Lloyd, and Area Sales Director, North America West and Latin American regions, Kay Rhind, were recognized by the YWCA, Silicon Valley, as “</w:t>
      </w:r>
      <w:r>
        <w:rPr>
          <w:rFonts w:ascii="Arial" w:cs="Arial" w:eastAsia="Arial" w:hAnsi="Arial"/>
          <w:sz w:val="18"/>
          <w:szCs w:val="18"/>
          <w:b w:val="1"/>
          <w:bCs w:val="1"/>
          <w:color w:val="auto"/>
        </w:rPr>
        <w:t>2018 Tribute to Women Award”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honorees </w:t>
      </w:r>
      <w:r>
        <w:rPr>
          <w:rFonts w:ascii="Arial" w:cs="Arial" w:eastAsia="Arial" w:hAnsi="Arial"/>
          <w:sz w:val="18"/>
          <w:szCs w:val="18"/>
          <w:color w:val="auto"/>
        </w:rPr>
        <w:t>for their respective efforts to promote women’s leadership and advancement opportunities in the Silicon Valley</w:t>
      </w:r>
      <w:r>
        <w:rPr>
          <w:rFonts w:ascii="Arial" w:cs="Arial" w:eastAsia="Arial" w:hAnsi="Arial"/>
          <w:sz w:val="18"/>
          <w:szCs w:val="18"/>
          <w:b w:val="1"/>
          <w:bCs w:val="1"/>
          <w:color w:val="auto"/>
        </w:rPr>
        <w:t xml:space="preserve"> </w:t>
      </w:r>
      <w:r>
        <w:rPr>
          <w:rFonts w:ascii="Arial" w:cs="Arial" w:eastAsia="Arial" w:hAnsi="Arial"/>
          <w:sz w:val="18"/>
          <w:szCs w:val="18"/>
          <w:color w:val="auto"/>
        </w:rPr>
        <w:t>region.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DATA REQUESTED BY SHAREHOLDER PROPOSAL</w:t>
      </w:r>
    </w:p>
    <w:p>
      <w:pPr>
        <w:spacing w:after="0" w:line="102" w:lineRule="exact"/>
        <w:rPr>
          <w:sz w:val="20"/>
          <w:szCs w:val="20"/>
          <w:color w:val="auto"/>
        </w:rPr>
      </w:pPr>
    </w:p>
    <w:p>
      <w:pPr>
        <w:ind w:left="260" w:right="20" w:firstLine="435"/>
        <w:spacing w:after="0" w:line="239" w:lineRule="auto"/>
        <w:rPr>
          <w:sz w:val="20"/>
          <w:szCs w:val="20"/>
          <w:color w:val="auto"/>
        </w:rPr>
      </w:pPr>
      <w:r>
        <w:rPr>
          <w:rFonts w:ascii="Arial" w:cs="Arial" w:eastAsia="Arial" w:hAnsi="Arial"/>
          <w:sz w:val="18"/>
          <w:szCs w:val="18"/>
          <w:color w:val="auto"/>
        </w:rPr>
        <w:t>The shareholder proposal requests that we create a report including, among other things, a chart identifying U.S. employees according to gender and race in major EEOC-defined job categories, listing numbers or percentages in each category. As a government contractor, the Company files this information annually with the EEOC (Equal Employment Opportunity Commission) for its U.S.-based employee population on a confidential Form EEO-1. This confidential form requires companies to categorize their U.S. workforce solely by gender and race according to EEOC-defined generalized job categories that are applied across a broad variety of industries and companies.</w:t>
      </w:r>
    </w:p>
    <w:p>
      <w:pPr>
        <w:spacing w:after="0" w:line="178" w:lineRule="exact"/>
        <w:rPr>
          <w:sz w:val="20"/>
          <w:szCs w:val="20"/>
          <w:color w:val="auto"/>
        </w:rPr>
      </w:pPr>
    </w:p>
    <w:p>
      <w:pPr>
        <w:ind w:left="260" w:firstLine="435"/>
        <w:spacing w:after="0" w:line="235" w:lineRule="auto"/>
        <w:rPr>
          <w:sz w:val="20"/>
          <w:szCs w:val="20"/>
          <w:color w:val="auto"/>
        </w:rPr>
      </w:pPr>
      <w:r>
        <w:rPr>
          <w:rFonts w:ascii="Arial" w:cs="Arial" w:eastAsia="Arial" w:hAnsi="Arial"/>
          <w:sz w:val="18"/>
          <w:szCs w:val="18"/>
          <w:color w:val="auto"/>
        </w:rPr>
        <w:t>We agree with our shareholder proponent that reporting diversity metrics is appropriate, however, we also believe that such reporting should be meaningful and reflective of ADI as a truly global employer. For purposes of the EEO-1 report, we ask our U.S. employees to voluntarily self-identify their race and ethnicity, and we do not obtain information on the race and ethnicity of our employees outside of the United States. Because we are a global organization with more than half of our employee population outside the United States, we do not believe that presenting U.S.-only information is useful to investors and other constituents as it is not representative of the diversity of our global employee population. Furthermore, we do not believe that public dissemination of the EEO-1 reported information, which could be manipulated or misinterpreted by third parties, is appropriate, nor would it further promote or enhance ADI’s serious commitment to diversity and inclusion in any meaningful way. We do, however, believe that presenting the metrics that our management team considers to be meaningful disclosure for our Company at this time is appropriate and will demonstrate to our shareholders our commitment to diversity in our workplace. We already include gender diversity metrics disclosure in the “Social Sustainability” section of our website. Led by our new Chief People Officer, our senior leadership team is also in the process of developing additional appropriate metrics to benchmark and monitor ADI’s progress against our diversity objectives.</w:t>
      </w:r>
    </w:p>
    <w:p>
      <w:pPr>
        <w:spacing w:after="0" w:line="185" w:lineRule="exact"/>
        <w:rPr>
          <w:sz w:val="20"/>
          <w:szCs w:val="20"/>
          <w:color w:val="auto"/>
        </w:rPr>
      </w:pPr>
    </w:p>
    <w:p>
      <w:pPr>
        <w:ind w:left="260" w:right="20" w:firstLine="435"/>
        <w:spacing w:after="0" w:line="250" w:lineRule="auto"/>
        <w:rPr>
          <w:sz w:val="20"/>
          <w:szCs w:val="20"/>
          <w:color w:val="auto"/>
        </w:rPr>
      </w:pPr>
      <w:r>
        <w:rPr>
          <w:rFonts w:ascii="Arial" w:cs="Arial" w:eastAsia="Arial" w:hAnsi="Arial"/>
          <w:sz w:val="18"/>
          <w:szCs w:val="18"/>
          <w:color w:val="auto"/>
        </w:rPr>
        <w:t>We reviewed our current gender diversity metrics disclosure with our shareholder proponent, who did not accept it as responsive enough to their proposal and did not accept our invitation to meet and work with our Chief People Officer and her team to help develop the additional appropriate metrics.</w:t>
      </w:r>
    </w:p>
    <w:p>
      <w:pPr>
        <w:spacing w:after="0" w:line="129" w:lineRule="exact"/>
        <w:rPr>
          <w:sz w:val="20"/>
          <w:szCs w:val="20"/>
          <w:color w:val="auto"/>
        </w:rPr>
      </w:pPr>
    </w:p>
    <w:p>
      <w:pPr>
        <w:ind w:left="660" w:hanging="393"/>
        <w:spacing w:after="0"/>
        <w:tabs>
          <w:tab w:leader="none" w:pos="660" w:val="left"/>
        </w:tabs>
        <w:numPr>
          <w:ilvl w:val="0"/>
          <w:numId w:val="123"/>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40"/>
          </w:cols>
          <w:pgMar w:left="240" w:top="453" w:right="51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52B82"/>
        </w:rPr>
        <w:t>SUMMARY</w:t>
      </w:r>
    </w:p>
    <w:p>
      <w:pPr>
        <w:spacing w:after="0" w:line="102" w:lineRule="exact"/>
        <w:rPr>
          <w:sz w:val="20"/>
          <w:szCs w:val="20"/>
          <w:color w:val="auto"/>
        </w:rPr>
      </w:pPr>
    </w:p>
    <w:p>
      <w:pPr>
        <w:ind w:left="260" w:right="40" w:firstLine="435"/>
        <w:spacing w:after="0" w:line="244" w:lineRule="auto"/>
        <w:rPr>
          <w:sz w:val="20"/>
          <w:szCs w:val="20"/>
          <w:color w:val="auto"/>
        </w:rPr>
      </w:pPr>
      <w:r>
        <w:rPr>
          <w:rFonts w:ascii="Arial" w:cs="Arial" w:eastAsia="Arial" w:hAnsi="Arial"/>
          <w:sz w:val="18"/>
          <w:szCs w:val="18"/>
          <w:color w:val="auto"/>
        </w:rPr>
        <w:t>In summary, the Company remains fully committed to our ongoing efforts to promote diversity and foster an inclusive environment for all employees throughout the Company, which we agree is critical for continued success. However, we do not believe that this shareholder proposal would advance those goals or serve to enhance our shareholders’ understanding of our diversity and inclusion efforts and achievements.</w:t>
      </w: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sz w:val="1"/>
          <w:szCs w:val="1"/>
          <w:color w:val="auto"/>
        </w:rPr>
        <w:drawing>
          <wp:inline distT="0" distB="0" distL="0" distR="0">
            <wp:extent cx="245745" cy="24574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5745" cy="245745"/>
                    </a:xfrm>
                    <a:prstGeom prst="rect">
                      <a:avLst/>
                    </a:prstGeom>
                    <a:noFill/>
                    <a:ln>
                      <a:noFill/>
                    </a:ln>
                  </pic:spPr>
                </pic:pic>
              </a:graphicData>
            </a:graphic>
          </wp:inline>
        </w:drawing>
      </w:r>
      <w:r>
        <w:rPr>
          <w:rFonts w:ascii="Arial" w:cs="Arial" w:eastAsia="Arial" w:hAnsi="Arial"/>
          <w:sz w:val="18"/>
          <w:szCs w:val="18"/>
          <w:b w:val="1"/>
          <w:bCs w:val="1"/>
          <w:i w:val="1"/>
          <w:iCs w:val="1"/>
          <w:color w:val="052B82"/>
        </w:rPr>
        <w:t xml:space="preserve"> Our Board of Directors unanimously recommends that you vote </w:t>
      </w:r>
      <w:r>
        <w:rPr>
          <w:rFonts w:ascii="Arial" w:cs="Arial" w:eastAsia="Arial" w:hAnsi="Arial"/>
          <w:sz w:val="18"/>
          <w:szCs w:val="18"/>
          <w:b w:val="1"/>
          <w:bCs w:val="1"/>
          <w:i w:val="1"/>
          <w:iCs w:val="1"/>
          <w:u w:val="single" w:color="auto"/>
          <w:color w:val="052B82"/>
        </w:rPr>
        <w:t>AGAINST</w:t>
      </w:r>
      <w:r>
        <w:rPr>
          <w:rFonts w:ascii="Arial" w:cs="Arial" w:eastAsia="Arial" w:hAnsi="Arial"/>
          <w:sz w:val="18"/>
          <w:szCs w:val="18"/>
          <w:b w:val="1"/>
          <w:bCs w:val="1"/>
          <w:i w:val="1"/>
          <w:iCs w:val="1"/>
          <w:color w:val="052B82"/>
        </w:rPr>
        <w:t xml:space="preserve"> this proposal.</w:t>
      </w:r>
    </w:p>
    <w:p>
      <w:pPr>
        <w:spacing w:after="0" w:line="391"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OTHER MATTERS</w:t>
      </w:r>
    </w:p>
    <w:p>
      <w:pPr>
        <w:spacing w:after="0" w:line="235" w:lineRule="exact"/>
        <w:rPr>
          <w:sz w:val="20"/>
          <w:szCs w:val="20"/>
          <w:color w:val="auto"/>
        </w:rPr>
      </w:pPr>
    </w:p>
    <w:p>
      <w:pPr>
        <w:jc w:val="both"/>
        <w:ind w:left="260" w:right="80" w:firstLine="435"/>
        <w:spacing w:after="0" w:line="250" w:lineRule="auto"/>
        <w:rPr>
          <w:sz w:val="20"/>
          <w:szCs w:val="20"/>
          <w:color w:val="auto"/>
        </w:rPr>
      </w:pPr>
      <w:r>
        <w:rPr>
          <w:rFonts w:ascii="Arial" w:cs="Arial" w:eastAsia="Arial" w:hAnsi="Arial"/>
          <w:sz w:val="18"/>
          <w:szCs w:val="18"/>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1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75</w:t>
      </w:r>
    </w:p>
    <w:p>
      <w:pPr>
        <w:sectPr>
          <w:pgSz w:w="11900" w:h="16838" w:orient="portrait"/>
          <w:cols w:equalWidth="0" w:num="1">
            <w:col w:w="11160"/>
          </w:cols>
          <w:pgMar w:left="240" w:top="453"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ELECTRONIC VOTING</w:t>
      </w:r>
    </w:p>
    <w:p>
      <w:pPr>
        <w:spacing w:after="0" w:line="235" w:lineRule="exact"/>
        <w:rPr>
          <w:sz w:val="20"/>
          <w:szCs w:val="20"/>
          <w:color w:val="auto"/>
        </w:rPr>
      </w:pPr>
    </w:p>
    <w:p>
      <w:pPr>
        <w:ind w:left="260" w:right="100" w:firstLine="435"/>
        <w:spacing w:after="0" w:line="250" w:lineRule="auto"/>
        <w:rPr>
          <w:sz w:val="20"/>
          <w:szCs w:val="20"/>
          <w:color w:val="auto"/>
        </w:rPr>
      </w:pPr>
      <w:r>
        <w:rPr>
          <w:rFonts w:ascii="Arial" w:cs="Arial" w:eastAsia="Arial" w:hAnsi="Arial"/>
          <w:sz w:val="18"/>
          <w:szCs w:val="18"/>
          <w:color w:val="auto"/>
        </w:rPr>
        <w:t>If you own your shares of common stock of record, you may vote your shares over the Internet at www.proxyvote.com or telephonically by calling 1-800-690-6903 and by following the instructions on the Notice or proxy card. Proxies submitted over the Internet or by telephone must be received by 11:59 p.m. Eastern Time on March 12, 2019.</w:t>
      </w:r>
    </w:p>
    <w:p>
      <w:pPr>
        <w:spacing w:after="0" w:line="168" w:lineRule="exact"/>
        <w:rPr>
          <w:sz w:val="20"/>
          <w:szCs w:val="20"/>
          <w:color w:val="auto"/>
        </w:rPr>
      </w:pPr>
    </w:p>
    <w:p>
      <w:pPr>
        <w:ind w:left="260" w:firstLine="435"/>
        <w:spacing w:after="0" w:line="239" w:lineRule="auto"/>
        <w:rPr>
          <w:sz w:val="20"/>
          <w:szCs w:val="20"/>
          <w:color w:val="auto"/>
        </w:rPr>
      </w:pPr>
      <w:r>
        <w:rPr>
          <w:rFonts w:ascii="Arial" w:cs="Arial" w:eastAsia="Arial" w:hAnsi="Arial"/>
          <w:sz w:val="18"/>
          <w:szCs w:val="18"/>
          <w:color w:val="auto"/>
        </w:rPr>
        <w:t xml:space="preserve">If the shares you own are held in “street name” by a bank, broker or other nominee, your bank, broker or other nominee will provide a voting instruction form to you with this proxy statement, which you may use to direct how your shares will be voted. </w:t>
      </w:r>
      <w:r>
        <w:rPr>
          <w:rFonts w:ascii="Arial" w:cs="Arial" w:eastAsia="Arial" w:hAnsi="Arial"/>
          <w:sz w:val="18"/>
          <w:szCs w:val="18"/>
          <w:b w:val="1"/>
          <w:bCs w:val="1"/>
          <w:color w:val="auto"/>
        </w:rPr>
        <w:t>You must instruct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your bank, broker or other nominee how to vote with respect to the election of directors, the “say on pay” advisory vote and the shareholder proposal; your bank, broker or other nominee cannot exercise its discretion to vote on these matters on your behalf. </w:t>
      </w:r>
      <w:r>
        <w:rPr>
          <w:rFonts w:ascii="Arial" w:cs="Arial" w:eastAsia="Arial" w:hAnsi="Arial"/>
          <w:sz w:val="18"/>
          <w:szCs w:val="18"/>
          <w:color w:val="auto"/>
        </w:rPr>
        <w:t>Many banks and brokers also offer the option of voting over the Internet or by telephone, instructions for which would be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by your bank or broker on your voting instruction form.</w:t>
      </w:r>
    </w:p>
    <w:p>
      <w:pPr>
        <w:spacing w:after="0" w:line="176" w:lineRule="exact"/>
        <w:rPr>
          <w:sz w:val="20"/>
          <w:szCs w:val="20"/>
          <w:color w:val="auto"/>
        </w:rPr>
      </w:pPr>
    </w:p>
    <w:p>
      <w:pPr>
        <w:ind w:left="260" w:firstLine="435"/>
        <w:spacing w:after="0" w:line="244" w:lineRule="auto"/>
        <w:rPr>
          <w:sz w:val="20"/>
          <w:szCs w:val="20"/>
          <w:color w:val="auto"/>
        </w:rPr>
      </w:pPr>
      <w:r>
        <w:rPr>
          <w:rFonts w:ascii="Arial" w:cs="Arial" w:eastAsia="Arial" w:hAnsi="Arial"/>
          <w:sz w:val="18"/>
          <w:szCs w:val="18"/>
          <w:b w:val="1"/>
          <w:bCs w:val="1"/>
          <w:color w:val="auto"/>
        </w:rPr>
        <w:t>We hope that shareholders will attend the Annual Meeting. Whether or not you plan to attend, we urge you to vote your shares over the Internet or by telephone, or complete, date, sign and return the proxy card in the accompanying postage-prepaid envelope if you received a printed proxy card. A prompt response will greatly facilitate arrangements for the Annual Meeting and your cooperation will be appreciated. Shareholders who attend the Annual Meeting may vote their shares personally even though they have previously sent in their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135890</wp:posOffset>
            </wp:positionV>
            <wp:extent cx="5561330" cy="20008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561330" cy="200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hanging="393"/>
        <w:spacing w:after="0"/>
        <w:tabs>
          <w:tab w:leader="none" w:pos="660" w:val="left"/>
        </w:tabs>
        <w:numPr>
          <w:ilvl w:val="0"/>
          <w:numId w:val="124"/>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Arial" w:cs="Arial" w:eastAsia="Arial" w:hAnsi="Arial"/>
          <w:sz w:val="32"/>
          <w:szCs w:val="32"/>
          <w:color w:val="052B82"/>
        </w:rPr>
        <w:t>APPENDIX A</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9120" w:type="dxa"/>
            <w:vAlign w:val="bottom"/>
          </w:tcPr>
          <w:p>
            <w:pPr>
              <w:ind w:left="2300"/>
              <w:spacing w:after="0"/>
              <w:rPr>
                <w:sz w:val="20"/>
                <w:szCs w:val="20"/>
                <w:color w:val="auto"/>
              </w:rPr>
            </w:pPr>
            <w:r>
              <w:rPr>
                <w:rFonts w:ascii="Arial" w:cs="Arial" w:eastAsia="Arial" w:hAnsi="Arial"/>
                <w:sz w:val="18"/>
                <w:szCs w:val="18"/>
                <w:b w:val="1"/>
                <w:bCs w:val="1"/>
                <w:color w:val="auto"/>
              </w:rPr>
              <w:t>Reconciliation from GAAP to Non-GAAP Revenue and Earnings Measures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1"/>
        </w:trPr>
        <w:tc>
          <w:tcPr>
            <w:tcW w:w="9120" w:type="dxa"/>
            <w:vAlign w:val="bottom"/>
          </w:tcPr>
          <w:p>
            <w:pPr>
              <w:ind w:left="3660"/>
              <w:spacing w:after="0"/>
              <w:rPr>
                <w:sz w:val="20"/>
                <w:szCs w:val="20"/>
                <w:color w:val="auto"/>
              </w:rPr>
            </w:pPr>
            <w:r>
              <w:rPr>
                <w:rFonts w:ascii="Arial" w:cs="Arial" w:eastAsia="Arial" w:hAnsi="Arial"/>
                <w:sz w:val="18"/>
                <w:szCs w:val="18"/>
                <w:b w:val="1"/>
                <w:bCs w:val="1"/>
                <w:color w:val="auto"/>
              </w:rPr>
              <w:t>(In thousands, except per-share amounts)</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14"/>
        </w:trPr>
        <w:tc>
          <w:tcPr>
            <w:tcW w:w="9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9120" w:type="dxa"/>
            <w:vAlign w:val="bottom"/>
            <w:shd w:val="clear" w:color="auto" w:fill="052B82"/>
          </w:tcPr>
          <w:p>
            <w:pPr>
              <w:spacing w:after="0"/>
              <w:rPr>
                <w:sz w:val="18"/>
                <w:szCs w:val="18"/>
                <w:color w:val="auto"/>
              </w:rPr>
            </w:pPr>
          </w:p>
        </w:tc>
        <w:tc>
          <w:tcPr>
            <w:tcW w:w="440" w:type="dxa"/>
            <w:vAlign w:val="bottom"/>
            <w:tcBorders>
              <w:right w:val="single" w:sz="8" w:color="052B82"/>
            </w:tcBorders>
            <w:shd w:val="clear" w:color="auto" w:fill="052B82"/>
          </w:tcPr>
          <w:p>
            <w:pPr>
              <w:spacing w:after="0"/>
              <w:rPr>
                <w:sz w:val="18"/>
                <w:szCs w:val="18"/>
                <w:color w:val="auto"/>
              </w:rPr>
            </w:pPr>
          </w:p>
        </w:tc>
        <w:tc>
          <w:tcPr>
            <w:tcW w:w="1320" w:type="dxa"/>
            <w:vAlign w:val="bottom"/>
            <w:gridSpan w:val="3"/>
            <w:shd w:val="clear" w:color="auto" w:fill="052B82"/>
          </w:tcPr>
          <w:p>
            <w:pPr>
              <w:spacing w:after="0"/>
              <w:rPr>
                <w:sz w:val="20"/>
                <w:szCs w:val="20"/>
                <w:color w:val="auto"/>
              </w:rPr>
            </w:pPr>
            <w:r>
              <w:rPr>
                <w:rFonts w:ascii="Arial" w:cs="Arial" w:eastAsia="Arial" w:hAnsi="Arial"/>
                <w:sz w:val="14"/>
                <w:szCs w:val="14"/>
                <w:b w:val="1"/>
                <w:bCs w:val="1"/>
                <w:color w:val="FFFFFF"/>
              </w:rPr>
              <w:t>Twelve Months</w:t>
            </w:r>
          </w:p>
        </w:tc>
      </w:tr>
      <w:tr>
        <w:trPr>
          <w:trHeight w:val="201"/>
        </w:trPr>
        <w:tc>
          <w:tcPr>
            <w:tcW w:w="9120" w:type="dxa"/>
            <w:vAlign w:val="bottom"/>
            <w:shd w:val="clear" w:color="auto" w:fill="052B82"/>
          </w:tcPr>
          <w:p>
            <w:pPr>
              <w:spacing w:after="0"/>
              <w:rPr>
                <w:sz w:val="17"/>
                <w:szCs w:val="17"/>
                <w:color w:val="auto"/>
              </w:rPr>
            </w:pPr>
          </w:p>
        </w:tc>
        <w:tc>
          <w:tcPr>
            <w:tcW w:w="440" w:type="dxa"/>
            <w:vAlign w:val="bottom"/>
            <w:tcBorders>
              <w:right w:val="single" w:sz="8" w:color="052B82"/>
            </w:tcBorders>
            <w:shd w:val="clear" w:color="auto" w:fill="052B82"/>
          </w:tcPr>
          <w:p>
            <w:pPr>
              <w:spacing w:after="0"/>
              <w:rPr>
                <w:sz w:val="17"/>
                <w:szCs w:val="17"/>
                <w:color w:val="auto"/>
              </w:rPr>
            </w:pPr>
          </w:p>
        </w:tc>
        <w:tc>
          <w:tcPr>
            <w:tcW w:w="80" w:type="dxa"/>
            <w:vAlign w:val="bottom"/>
            <w:shd w:val="clear" w:color="auto" w:fill="052B82"/>
          </w:tcPr>
          <w:p>
            <w:pPr>
              <w:spacing w:after="0"/>
              <w:rPr>
                <w:sz w:val="17"/>
                <w:szCs w:val="17"/>
                <w:color w:val="auto"/>
              </w:rPr>
            </w:pPr>
          </w:p>
        </w:tc>
        <w:tc>
          <w:tcPr>
            <w:tcW w:w="1240" w:type="dxa"/>
            <w:vAlign w:val="bottom"/>
            <w:gridSpan w:val="2"/>
            <w:shd w:val="clear" w:color="auto" w:fill="052B82"/>
          </w:tcPr>
          <w:p>
            <w:pPr>
              <w:jc w:val="center"/>
              <w:ind w:right="400"/>
              <w:spacing w:after="0"/>
              <w:rPr>
                <w:sz w:val="20"/>
                <w:szCs w:val="20"/>
                <w:color w:val="auto"/>
              </w:rPr>
            </w:pPr>
            <w:r>
              <w:rPr>
                <w:rFonts w:ascii="Arial" w:cs="Arial" w:eastAsia="Arial" w:hAnsi="Arial"/>
                <w:sz w:val="14"/>
                <w:szCs w:val="14"/>
                <w:b w:val="1"/>
                <w:bCs w:val="1"/>
                <w:color w:val="FFFFFF"/>
              </w:rPr>
              <w:t>Ended</w:t>
            </w:r>
          </w:p>
        </w:tc>
      </w:tr>
      <w:tr>
        <w:trPr>
          <w:trHeight w:val="200"/>
        </w:trPr>
        <w:tc>
          <w:tcPr>
            <w:tcW w:w="9120" w:type="dxa"/>
            <w:vAlign w:val="bottom"/>
            <w:shd w:val="clear" w:color="auto" w:fill="052B82"/>
          </w:tcPr>
          <w:p>
            <w:pPr>
              <w:spacing w:after="0"/>
              <w:rPr>
                <w:sz w:val="17"/>
                <w:szCs w:val="17"/>
                <w:color w:val="auto"/>
              </w:rPr>
            </w:pPr>
          </w:p>
        </w:tc>
        <w:tc>
          <w:tcPr>
            <w:tcW w:w="440" w:type="dxa"/>
            <w:vAlign w:val="bottom"/>
            <w:tcBorders>
              <w:right w:val="single" w:sz="8" w:color="052B82"/>
            </w:tcBorders>
            <w:shd w:val="clear" w:color="auto" w:fill="052B82"/>
          </w:tcPr>
          <w:p>
            <w:pPr>
              <w:spacing w:after="0"/>
              <w:rPr>
                <w:sz w:val="17"/>
                <w:szCs w:val="17"/>
                <w:color w:val="auto"/>
              </w:rPr>
            </w:pPr>
          </w:p>
        </w:tc>
        <w:tc>
          <w:tcPr>
            <w:tcW w:w="80" w:type="dxa"/>
            <w:vAlign w:val="bottom"/>
            <w:shd w:val="clear" w:color="auto" w:fill="052B82"/>
          </w:tcPr>
          <w:p>
            <w:pPr>
              <w:spacing w:after="0"/>
              <w:rPr>
                <w:sz w:val="17"/>
                <w:szCs w:val="17"/>
                <w:color w:val="auto"/>
              </w:rPr>
            </w:pPr>
          </w:p>
        </w:tc>
        <w:tc>
          <w:tcPr>
            <w:tcW w:w="1240" w:type="dxa"/>
            <w:vAlign w:val="bottom"/>
            <w:gridSpan w:val="2"/>
            <w:shd w:val="clear" w:color="auto" w:fill="052B82"/>
          </w:tcPr>
          <w:p>
            <w:pPr>
              <w:jc w:val="center"/>
              <w:ind w:right="420"/>
              <w:spacing w:after="0"/>
              <w:rPr>
                <w:sz w:val="20"/>
                <w:szCs w:val="20"/>
                <w:color w:val="auto"/>
              </w:rPr>
            </w:pPr>
            <w:r>
              <w:rPr>
                <w:rFonts w:ascii="Arial" w:cs="Arial" w:eastAsia="Arial" w:hAnsi="Arial"/>
                <w:sz w:val="14"/>
                <w:szCs w:val="14"/>
                <w:b w:val="1"/>
                <w:bCs w:val="1"/>
                <w:color w:val="FFFFFF"/>
              </w:rPr>
              <w:t>FY 18</w:t>
            </w:r>
          </w:p>
        </w:tc>
      </w:tr>
      <w:tr>
        <w:trPr>
          <w:trHeight w:val="189"/>
        </w:trPr>
        <w:tc>
          <w:tcPr>
            <w:tcW w:w="9120" w:type="dxa"/>
            <w:vAlign w:val="bottom"/>
            <w:shd w:val="clear" w:color="auto" w:fill="052B82"/>
          </w:tcPr>
          <w:p>
            <w:pPr>
              <w:spacing w:after="0"/>
              <w:rPr>
                <w:sz w:val="16"/>
                <w:szCs w:val="16"/>
                <w:color w:val="auto"/>
              </w:rPr>
            </w:pPr>
          </w:p>
        </w:tc>
        <w:tc>
          <w:tcPr>
            <w:tcW w:w="440" w:type="dxa"/>
            <w:vAlign w:val="bottom"/>
            <w:tcBorders>
              <w:right w:val="single" w:sz="8" w:color="052B82"/>
            </w:tcBorders>
            <w:shd w:val="clear" w:color="auto" w:fill="052B82"/>
          </w:tcPr>
          <w:p>
            <w:pPr>
              <w:spacing w:after="0"/>
              <w:rPr>
                <w:sz w:val="16"/>
                <w:szCs w:val="16"/>
                <w:color w:val="auto"/>
              </w:rPr>
            </w:pPr>
          </w:p>
        </w:tc>
        <w:tc>
          <w:tcPr>
            <w:tcW w:w="80" w:type="dxa"/>
            <w:vAlign w:val="bottom"/>
            <w:shd w:val="clear" w:color="auto" w:fill="052B82"/>
          </w:tcPr>
          <w:p>
            <w:pPr>
              <w:spacing w:after="0"/>
              <w:rPr>
                <w:sz w:val="16"/>
                <w:szCs w:val="16"/>
                <w:color w:val="auto"/>
              </w:rPr>
            </w:pPr>
          </w:p>
        </w:tc>
        <w:tc>
          <w:tcPr>
            <w:tcW w:w="1240" w:type="dxa"/>
            <w:vAlign w:val="bottom"/>
            <w:gridSpan w:val="2"/>
            <w:shd w:val="clear" w:color="auto" w:fill="052B82"/>
          </w:tcPr>
          <w:p>
            <w:pPr>
              <w:jc w:val="center"/>
              <w:ind w:right="420"/>
              <w:spacing w:after="0"/>
              <w:rPr>
                <w:sz w:val="20"/>
                <w:szCs w:val="20"/>
                <w:color w:val="auto"/>
              </w:rPr>
            </w:pPr>
            <w:r>
              <w:rPr>
                <w:rFonts w:ascii="Arial" w:cs="Arial" w:eastAsia="Arial" w:hAnsi="Arial"/>
                <w:sz w:val="14"/>
                <w:szCs w:val="14"/>
                <w:b w:val="1"/>
                <w:bCs w:val="1"/>
                <w:color w:val="FFFFFF"/>
              </w:rPr>
              <w:t>Nov. 3, 2018</w:t>
            </w:r>
          </w:p>
        </w:tc>
      </w:tr>
      <w:tr>
        <w:trPr>
          <w:trHeight w:val="214"/>
        </w:trPr>
        <w:tc>
          <w:tcPr>
            <w:tcW w:w="9120" w:type="dxa"/>
            <w:vAlign w:val="bottom"/>
          </w:tcPr>
          <w:p>
            <w:pPr>
              <w:ind w:left="40"/>
              <w:spacing w:after="0"/>
              <w:rPr>
                <w:sz w:val="20"/>
                <w:szCs w:val="20"/>
                <w:color w:val="auto"/>
              </w:rPr>
            </w:pPr>
            <w:r>
              <w:rPr>
                <w:rFonts w:ascii="Arial" w:cs="Arial" w:eastAsia="Arial" w:hAnsi="Arial"/>
                <w:sz w:val="18"/>
                <w:szCs w:val="18"/>
                <w:color w:val="auto"/>
              </w:rPr>
              <w:t>GAAP Revenue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6,200,942</w:t>
            </w:r>
          </w:p>
        </w:tc>
        <w:tc>
          <w:tcPr>
            <w:tcW w:w="320" w:type="dxa"/>
            <w:vAlign w:val="bottom"/>
          </w:tcPr>
          <w:p>
            <w:pPr>
              <w:spacing w:after="0"/>
              <w:rPr>
                <w:sz w:val="18"/>
                <w:szCs w:val="18"/>
                <w:color w:val="auto"/>
              </w:rPr>
            </w:pPr>
          </w:p>
        </w:tc>
      </w:tr>
      <w:tr>
        <w:trPr>
          <w:trHeight w:val="200"/>
        </w:trPr>
        <w:tc>
          <w:tcPr>
            <w:tcW w:w="912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i w:val="1"/>
                <w:iCs w:val="1"/>
                <w:color w:val="auto"/>
              </w:rPr>
              <w:t>Y/Y Revenue growth %</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1240" w:type="dxa"/>
            <w:vAlign w:val="bottom"/>
            <w:gridSpan w:val="2"/>
            <w:shd w:val="clear" w:color="auto" w:fill="E8EDF4"/>
          </w:tcPr>
          <w:p>
            <w:pPr>
              <w:jc w:val="right"/>
              <w:ind w:right="160"/>
              <w:spacing w:after="0" w:line="201" w:lineRule="exact"/>
              <w:rPr>
                <w:sz w:val="20"/>
                <w:szCs w:val="20"/>
                <w:color w:val="auto"/>
              </w:rPr>
            </w:pPr>
            <w:r>
              <w:rPr>
                <w:rFonts w:ascii="Arial" w:cs="Arial" w:eastAsia="Arial" w:hAnsi="Arial"/>
                <w:sz w:val="18"/>
                <w:szCs w:val="18"/>
                <w:color w:val="auto"/>
              </w:rPr>
              <w:t>21.4%</w:t>
            </w:r>
          </w:p>
        </w:tc>
      </w:tr>
      <w:tr>
        <w:trPr>
          <w:trHeight w:val="200"/>
        </w:trPr>
        <w:tc>
          <w:tcPr>
            <w:tcW w:w="9120" w:type="dxa"/>
            <w:vAlign w:val="bottom"/>
          </w:tcPr>
          <w:p>
            <w:pPr>
              <w:ind w:left="40"/>
              <w:spacing w:after="0" w:line="201" w:lineRule="exact"/>
              <w:rPr>
                <w:sz w:val="20"/>
                <w:szCs w:val="20"/>
                <w:color w:val="auto"/>
              </w:rPr>
            </w:pPr>
            <w:r>
              <w:rPr>
                <w:rFonts w:ascii="Arial" w:cs="Arial" w:eastAsia="Arial" w:hAnsi="Arial"/>
                <w:sz w:val="18"/>
                <w:szCs w:val="18"/>
                <w:color w:val="auto"/>
              </w:rPr>
              <w:t>GAAP Gross Margin</w:t>
            </w:r>
          </w:p>
        </w:tc>
        <w:tc>
          <w:tcPr>
            <w:tcW w:w="52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4,233,302</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340"/>
              <w:spacing w:after="0" w:line="201" w:lineRule="exact"/>
              <w:rPr>
                <w:sz w:val="20"/>
                <w:szCs w:val="20"/>
                <w:color w:val="auto"/>
              </w:rPr>
            </w:pPr>
            <w:r>
              <w:rPr>
                <w:rFonts w:ascii="Arial" w:cs="Arial" w:eastAsia="Arial" w:hAnsi="Arial"/>
                <w:sz w:val="18"/>
                <w:szCs w:val="18"/>
                <w:i w:val="1"/>
                <w:iCs w:val="1"/>
                <w:color w:val="auto"/>
              </w:rPr>
              <w:t>Gross Margin Percentage</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1240" w:type="dxa"/>
            <w:vAlign w:val="bottom"/>
            <w:gridSpan w:val="2"/>
            <w:shd w:val="clear" w:color="auto" w:fill="E8EDF4"/>
          </w:tcPr>
          <w:p>
            <w:pPr>
              <w:jc w:val="right"/>
              <w:ind w:right="160"/>
              <w:spacing w:after="0" w:line="201" w:lineRule="exact"/>
              <w:rPr>
                <w:sz w:val="20"/>
                <w:szCs w:val="20"/>
                <w:color w:val="auto"/>
              </w:rPr>
            </w:pPr>
            <w:r>
              <w:rPr>
                <w:rFonts w:ascii="Arial" w:cs="Arial" w:eastAsia="Arial" w:hAnsi="Arial"/>
                <w:sz w:val="18"/>
                <w:szCs w:val="18"/>
                <w:color w:val="auto"/>
              </w:rPr>
              <w:t>68.3%</w:t>
            </w:r>
          </w:p>
        </w:tc>
      </w:tr>
      <w:tr>
        <w:trPr>
          <w:trHeight w:val="207"/>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Acquisition-Related Expenses</w:t>
            </w:r>
          </w:p>
        </w:tc>
        <w:tc>
          <w:tcPr>
            <w:tcW w:w="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180,903</w:t>
            </w:r>
          </w:p>
        </w:tc>
        <w:tc>
          <w:tcPr>
            <w:tcW w:w="320" w:type="dxa"/>
            <w:vAlign w:val="bottom"/>
          </w:tcPr>
          <w:p>
            <w:pPr>
              <w:spacing w:after="0"/>
              <w:rPr>
                <w:sz w:val="17"/>
                <w:szCs w:val="17"/>
                <w:color w:val="auto"/>
              </w:rPr>
            </w:pPr>
          </w:p>
        </w:tc>
      </w:tr>
      <w:tr>
        <w:trPr>
          <w:trHeight w:val="220"/>
        </w:trPr>
        <w:tc>
          <w:tcPr>
            <w:tcW w:w="9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Non-GAAP Gross Margin</w:t>
            </w:r>
          </w:p>
        </w:tc>
        <w:tc>
          <w:tcPr>
            <w:tcW w:w="520" w:type="dxa"/>
            <w:vAlign w:val="bottom"/>
            <w:gridSpan w:val="2"/>
            <w:shd w:val="clear" w:color="auto" w:fill="E8EDF4"/>
          </w:tcPr>
          <w:p>
            <w:pPr>
              <w:ind w:left="4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4,414,205</w:t>
            </w:r>
          </w:p>
        </w:tc>
        <w:tc>
          <w:tcPr>
            <w:tcW w:w="320" w:type="dxa"/>
            <w:vAlign w:val="bottom"/>
            <w:shd w:val="clear" w:color="auto" w:fill="E8EDF4"/>
          </w:tcPr>
          <w:p>
            <w:pPr>
              <w:spacing w:after="0"/>
              <w:rPr>
                <w:sz w:val="19"/>
                <w:szCs w:val="19"/>
                <w:color w:val="auto"/>
              </w:rPr>
            </w:pPr>
          </w:p>
        </w:tc>
      </w:tr>
      <w:tr>
        <w:trPr>
          <w:trHeight w:val="20"/>
        </w:trPr>
        <w:tc>
          <w:tcPr>
            <w:tcW w:w="9120" w:type="dxa"/>
            <w:vAlign w:val="bottom"/>
            <w:tcBorders>
              <w:top w:val="single" w:sz="8" w:color="E8EDF4"/>
            </w:tcBorders>
            <w:shd w:val="clear" w:color="auto" w:fill="E8EDF4"/>
          </w:tcPr>
          <w:p>
            <w:pPr>
              <w:spacing w:after="0" w:line="20" w:lineRule="exact"/>
              <w:rPr>
                <w:sz w:val="1"/>
                <w:szCs w:val="1"/>
                <w:color w:val="auto"/>
              </w:rPr>
            </w:pPr>
          </w:p>
        </w:tc>
        <w:tc>
          <w:tcPr>
            <w:tcW w:w="440" w:type="dxa"/>
            <w:vAlign w:val="bottom"/>
            <w:tcBorders>
              <w:top w:val="single" w:sz="8" w:color="E8EDF4"/>
              <w:right w:val="single" w:sz="8" w:color="E8EDF4"/>
            </w:tcBorders>
            <w:shd w:val="clear" w:color="auto" w:fill="E8EDF4"/>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8EDF4"/>
            </w:tcBorders>
            <w:shd w:val="clear" w:color="auto" w:fill="E8EDF4"/>
          </w:tcPr>
          <w:p>
            <w:pPr>
              <w:spacing w:after="0" w:line="20" w:lineRule="exact"/>
              <w:rPr>
                <w:sz w:val="1"/>
                <w:szCs w:val="1"/>
                <w:color w:val="auto"/>
              </w:rPr>
            </w:pPr>
          </w:p>
        </w:tc>
      </w:tr>
      <w:tr>
        <w:trPr>
          <w:trHeight w:val="194"/>
        </w:trPr>
        <w:tc>
          <w:tcPr>
            <w:tcW w:w="9120" w:type="dxa"/>
            <w:vAlign w:val="bottom"/>
          </w:tcPr>
          <w:p>
            <w:pPr>
              <w:ind w:left="340"/>
              <w:spacing w:after="0" w:line="194" w:lineRule="exact"/>
              <w:rPr>
                <w:sz w:val="20"/>
                <w:szCs w:val="20"/>
                <w:color w:val="auto"/>
              </w:rPr>
            </w:pPr>
            <w:r>
              <w:rPr>
                <w:rFonts w:ascii="Arial" w:cs="Arial" w:eastAsia="Arial" w:hAnsi="Arial"/>
                <w:sz w:val="18"/>
                <w:szCs w:val="18"/>
                <w:i w:val="1"/>
                <w:iCs w:val="1"/>
                <w:color w:val="auto"/>
              </w:rPr>
              <w:t>Gross Margin Percentage</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8"/>
                <w:szCs w:val="18"/>
                <w:i w:val="1"/>
                <w:iCs w:val="1"/>
                <w:color w:val="auto"/>
              </w:rPr>
              <w:t>71.2%</w:t>
            </w:r>
          </w:p>
        </w:tc>
      </w:tr>
      <w:tr>
        <w:trPr>
          <w:trHeight w:val="200"/>
        </w:trPr>
        <w:tc>
          <w:tcPr>
            <w:tcW w:w="9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GAAP Operating Income/Margin</w:t>
            </w:r>
          </w:p>
        </w:tc>
        <w:tc>
          <w:tcPr>
            <w:tcW w:w="520" w:type="dxa"/>
            <w:vAlign w:val="bottom"/>
            <w:gridSpan w:val="2"/>
            <w:shd w:val="clear" w:color="auto" w:fill="E8EDF4"/>
          </w:tcPr>
          <w:p>
            <w:pPr>
              <w:ind w:left="4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1,881,735</w:t>
            </w:r>
          </w:p>
        </w:tc>
        <w:tc>
          <w:tcPr>
            <w:tcW w:w="320" w:type="dxa"/>
            <w:vAlign w:val="bottom"/>
            <w:shd w:val="clear" w:color="auto" w:fill="E8EDF4"/>
          </w:tcPr>
          <w:p>
            <w:pPr>
              <w:spacing w:after="0"/>
              <w:rPr>
                <w:sz w:val="17"/>
                <w:szCs w:val="17"/>
                <w:color w:val="auto"/>
              </w:rPr>
            </w:pPr>
          </w:p>
        </w:tc>
      </w:tr>
      <w:tr>
        <w:trPr>
          <w:trHeight w:val="200"/>
        </w:trPr>
        <w:tc>
          <w:tcPr>
            <w:tcW w:w="9120" w:type="dxa"/>
            <w:vAlign w:val="bottom"/>
          </w:tcPr>
          <w:p>
            <w:pPr>
              <w:ind w:left="340"/>
              <w:spacing w:after="0" w:line="201" w:lineRule="exact"/>
              <w:rPr>
                <w:sz w:val="20"/>
                <w:szCs w:val="20"/>
                <w:color w:val="auto"/>
              </w:rPr>
            </w:pPr>
            <w:r>
              <w:rPr>
                <w:rFonts w:ascii="Arial" w:cs="Arial" w:eastAsia="Arial" w:hAnsi="Arial"/>
                <w:sz w:val="18"/>
                <w:szCs w:val="18"/>
                <w:i w:val="1"/>
                <w:iCs w:val="1"/>
                <w:color w:val="auto"/>
              </w:rPr>
              <w:t>Percent of Revenue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160"/>
              <w:spacing w:after="0" w:line="201" w:lineRule="exact"/>
              <w:rPr>
                <w:sz w:val="20"/>
                <w:szCs w:val="20"/>
                <w:color w:val="auto"/>
              </w:rPr>
            </w:pPr>
            <w:r>
              <w:rPr>
                <w:rFonts w:ascii="Arial" w:cs="Arial" w:eastAsia="Arial" w:hAnsi="Arial"/>
                <w:sz w:val="18"/>
                <w:szCs w:val="18"/>
                <w:i w:val="1"/>
                <w:iCs w:val="1"/>
                <w:color w:val="auto"/>
              </w:rPr>
              <w:t>30.3%</w:t>
            </w: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Acquisition-Related Expenses</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658,035</w:t>
            </w:r>
          </w:p>
        </w:tc>
        <w:tc>
          <w:tcPr>
            <w:tcW w:w="320" w:type="dxa"/>
            <w:vAlign w:val="bottom"/>
            <w:shd w:val="clear" w:color="auto" w:fill="E8EDF4"/>
          </w:tcPr>
          <w:p>
            <w:pPr>
              <w:spacing w:after="0"/>
              <w:rPr>
                <w:sz w:val="17"/>
                <w:szCs w:val="17"/>
                <w:color w:val="auto"/>
              </w:rPr>
            </w:pP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Acquisition-Related Transaction Costs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22,197</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Accelerated Stock-Based Compensation Expense</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3,402</w:t>
            </w:r>
          </w:p>
        </w:tc>
        <w:tc>
          <w:tcPr>
            <w:tcW w:w="320" w:type="dxa"/>
            <w:vAlign w:val="bottom"/>
            <w:shd w:val="clear" w:color="auto" w:fill="E8EDF4"/>
          </w:tcPr>
          <w:p>
            <w:pPr>
              <w:spacing w:after="0"/>
              <w:rPr>
                <w:sz w:val="17"/>
                <w:szCs w:val="17"/>
                <w:color w:val="auto"/>
              </w:rPr>
            </w:pPr>
          </w:p>
        </w:tc>
      </w:tr>
      <w:tr>
        <w:trPr>
          <w:trHeight w:val="207"/>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Restructuring-Related Expense</w:t>
            </w:r>
          </w:p>
        </w:tc>
        <w:tc>
          <w:tcPr>
            <w:tcW w:w="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61,318</w:t>
            </w:r>
          </w:p>
        </w:tc>
        <w:tc>
          <w:tcPr>
            <w:tcW w:w="320" w:type="dxa"/>
            <w:vAlign w:val="bottom"/>
          </w:tcPr>
          <w:p>
            <w:pPr>
              <w:spacing w:after="0"/>
              <w:rPr>
                <w:sz w:val="17"/>
                <w:szCs w:val="17"/>
                <w:color w:val="auto"/>
              </w:rPr>
            </w:pPr>
          </w:p>
        </w:tc>
      </w:tr>
      <w:tr>
        <w:trPr>
          <w:trHeight w:val="220"/>
        </w:trPr>
        <w:tc>
          <w:tcPr>
            <w:tcW w:w="9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Non-GAAP Operating Income/Margin</w:t>
            </w:r>
          </w:p>
        </w:tc>
        <w:tc>
          <w:tcPr>
            <w:tcW w:w="520" w:type="dxa"/>
            <w:vAlign w:val="bottom"/>
            <w:gridSpan w:val="2"/>
            <w:shd w:val="clear" w:color="auto" w:fill="E8EDF4"/>
          </w:tcPr>
          <w:p>
            <w:pPr>
              <w:ind w:left="4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2,626,687</w:t>
            </w:r>
          </w:p>
        </w:tc>
        <w:tc>
          <w:tcPr>
            <w:tcW w:w="320" w:type="dxa"/>
            <w:vAlign w:val="bottom"/>
            <w:shd w:val="clear" w:color="auto" w:fill="E8EDF4"/>
          </w:tcPr>
          <w:p>
            <w:pPr>
              <w:spacing w:after="0"/>
              <w:rPr>
                <w:sz w:val="19"/>
                <w:szCs w:val="19"/>
                <w:color w:val="auto"/>
              </w:rPr>
            </w:pPr>
          </w:p>
        </w:tc>
      </w:tr>
      <w:tr>
        <w:trPr>
          <w:trHeight w:val="20"/>
        </w:trPr>
        <w:tc>
          <w:tcPr>
            <w:tcW w:w="9120" w:type="dxa"/>
            <w:vAlign w:val="bottom"/>
            <w:tcBorders>
              <w:top w:val="single" w:sz="8" w:color="E8EDF4"/>
            </w:tcBorders>
            <w:shd w:val="clear" w:color="auto" w:fill="E8EDF4"/>
          </w:tcPr>
          <w:p>
            <w:pPr>
              <w:spacing w:after="0" w:line="20" w:lineRule="exact"/>
              <w:rPr>
                <w:sz w:val="1"/>
                <w:szCs w:val="1"/>
                <w:color w:val="auto"/>
              </w:rPr>
            </w:pPr>
          </w:p>
        </w:tc>
        <w:tc>
          <w:tcPr>
            <w:tcW w:w="440" w:type="dxa"/>
            <w:vAlign w:val="bottom"/>
            <w:tcBorders>
              <w:top w:val="single" w:sz="8" w:color="E8EDF4"/>
              <w:right w:val="single" w:sz="8" w:color="E8EDF4"/>
            </w:tcBorders>
            <w:shd w:val="clear" w:color="auto" w:fill="E8EDF4"/>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8EDF4"/>
            </w:tcBorders>
            <w:shd w:val="clear" w:color="auto" w:fill="E8EDF4"/>
          </w:tcPr>
          <w:p>
            <w:pPr>
              <w:spacing w:after="0" w:line="20" w:lineRule="exact"/>
              <w:rPr>
                <w:sz w:val="1"/>
                <w:szCs w:val="1"/>
                <w:color w:val="auto"/>
              </w:rPr>
            </w:pPr>
          </w:p>
        </w:tc>
      </w:tr>
      <w:tr>
        <w:trPr>
          <w:trHeight w:val="194"/>
        </w:trPr>
        <w:tc>
          <w:tcPr>
            <w:tcW w:w="9120" w:type="dxa"/>
            <w:vAlign w:val="bottom"/>
          </w:tcPr>
          <w:p>
            <w:pPr>
              <w:ind w:left="340"/>
              <w:spacing w:after="0" w:line="194" w:lineRule="exact"/>
              <w:rPr>
                <w:sz w:val="20"/>
                <w:szCs w:val="20"/>
                <w:color w:val="auto"/>
              </w:rPr>
            </w:pPr>
            <w:r>
              <w:rPr>
                <w:rFonts w:ascii="Arial" w:cs="Arial" w:eastAsia="Arial" w:hAnsi="Arial"/>
                <w:sz w:val="18"/>
                <w:szCs w:val="18"/>
                <w:i w:val="1"/>
                <w:iCs w:val="1"/>
                <w:color w:val="auto"/>
              </w:rPr>
              <w:t>Percent of Revenue</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160"/>
              <w:spacing w:after="0" w:line="194" w:lineRule="exact"/>
              <w:rPr>
                <w:sz w:val="20"/>
                <w:szCs w:val="20"/>
                <w:color w:val="auto"/>
              </w:rPr>
            </w:pPr>
            <w:r>
              <w:rPr>
                <w:rFonts w:ascii="Arial" w:cs="Arial" w:eastAsia="Arial" w:hAnsi="Arial"/>
                <w:sz w:val="18"/>
                <w:szCs w:val="18"/>
                <w:i w:val="1"/>
                <w:iCs w:val="1"/>
                <w:color w:val="auto"/>
              </w:rPr>
              <w:t>42.4%</w:t>
            </w:r>
          </w:p>
        </w:tc>
      </w:tr>
      <w:tr>
        <w:trPr>
          <w:trHeight w:val="200"/>
        </w:trPr>
        <w:tc>
          <w:tcPr>
            <w:tcW w:w="9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b w:val="1"/>
                <w:bCs w:val="1"/>
                <w:color w:val="auto"/>
              </w:rPr>
              <w:t>GAAP Diluted EPS</w:t>
            </w:r>
          </w:p>
        </w:tc>
        <w:tc>
          <w:tcPr>
            <w:tcW w:w="520" w:type="dxa"/>
            <w:vAlign w:val="bottom"/>
            <w:gridSpan w:val="2"/>
            <w:shd w:val="clear" w:color="auto" w:fill="E8EDF4"/>
          </w:tcPr>
          <w:p>
            <w:pPr>
              <w:ind w:left="420"/>
              <w:spacing w:after="0" w:line="201" w:lineRule="exact"/>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b w:val="1"/>
                <w:bCs w:val="1"/>
                <w:color w:val="auto"/>
              </w:rPr>
              <w:t>3.97</w:t>
            </w:r>
          </w:p>
        </w:tc>
        <w:tc>
          <w:tcPr>
            <w:tcW w:w="320" w:type="dxa"/>
            <w:vAlign w:val="bottom"/>
            <w:shd w:val="clear" w:color="auto" w:fill="E8EDF4"/>
          </w:tcPr>
          <w:p>
            <w:pPr>
              <w:spacing w:after="0"/>
              <w:rPr>
                <w:sz w:val="17"/>
                <w:szCs w:val="17"/>
                <w:color w:val="auto"/>
              </w:rPr>
            </w:pP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Acquisition-Related Expenses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1.76</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Acquisition-Related Transaction Costs</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0.06</w:t>
            </w:r>
          </w:p>
        </w:tc>
        <w:tc>
          <w:tcPr>
            <w:tcW w:w="320" w:type="dxa"/>
            <w:vAlign w:val="bottom"/>
            <w:shd w:val="clear" w:color="auto" w:fill="E8EDF4"/>
          </w:tcPr>
          <w:p>
            <w:pPr>
              <w:spacing w:after="0"/>
              <w:rPr>
                <w:sz w:val="17"/>
                <w:szCs w:val="17"/>
                <w:color w:val="auto"/>
              </w:rPr>
            </w:pP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Accelerated Stock-Based Compensation Expense</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0.01</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Restructuring-Related Expense</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920" w:type="dxa"/>
            <w:vAlign w:val="bottom"/>
            <w:shd w:val="clear" w:color="auto" w:fill="E8EDF4"/>
          </w:tcPr>
          <w:p>
            <w:pPr>
              <w:jc w:val="right"/>
              <w:spacing w:after="0" w:line="201" w:lineRule="exact"/>
              <w:rPr>
                <w:sz w:val="20"/>
                <w:szCs w:val="20"/>
                <w:color w:val="auto"/>
              </w:rPr>
            </w:pPr>
            <w:r>
              <w:rPr>
                <w:rFonts w:ascii="Arial" w:cs="Arial" w:eastAsia="Arial" w:hAnsi="Arial"/>
                <w:sz w:val="18"/>
                <w:szCs w:val="18"/>
                <w:color w:val="auto"/>
              </w:rPr>
              <w:t>0.16</w:t>
            </w:r>
          </w:p>
        </w:tc>
        <w:tc>
          <w:tcPr>
            <w:tcW w:w="320" w:type="dxa"/>
            <w:vAlign w:val="bottom"/>
            <w:shd w:val="clear" w:color="auto" w:fill="E8EDF4"/>
          </w:tcPr>
          <w:p>
            <w:pPr>
              <w:spacing w:after="0"/>
              <w:rPr>
                <w:sz w:val="17"/>
                <w:szCs w:val="17"/>
                <w:color w:val="auto"/>
              </w:rPr>
            </w:pP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Income Tax Effect of Above Items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(0.09)</w:t>
            </w: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Impact of State Tax Valuation Release</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1240" w:type="dxa"/>
            <w:vAlign w:val="bottom"/>
            <w:gridSpan w:val="2"/>
            <w:shd w:val="clear" w:color="auto" w:fill="E8EDF4"/>
          </w:tcPr>
          <w:p>
            <w:pPr>
              <w:jc w:val="right"/>
              <w:ind w:right="260"/>
              <w:spacing w:after="0" w:line="201" w:lineRule="exact"/>
              <w:rPr>
                <w:sz w:val="20"/>
                <w:szCs w:val="20"/>
                <w:color w:val="auto"/>
              </w:rPr>
            </w:pPr>
            <w:r>
              <w:rPr>
                <w:rFonts w:ascii="Arial" w:cs="Arial" w:eastAsia="Arial" w:hAnsi="Arial"/>
                <w:sz w:val="18"/>
                <w:szCs w:val="18"/>
                <w:color w:val="auto"/>
              </w:rPr>
              <w:t>(0.03)</w:t>
            </w: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Impact of Prior Period Tax Liabilities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0.03</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Impact of Uncertain Tax Positions</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1240" w:type="dxa"/>
            <w:vAlign w:val="bottom"/>
            <w:gridSpan w:val="2"/>
            <w:shd w:val="clear" w:color="auto" w:fill="E8EDF4"/>
          </w:tcPr>
          <w:p>
            <w:pPr>
              <w:jc w:val="right"/>
              <w:ind w:right="260"/>
              <w:spacing w:after="0" w:line="201" w:lineRule="exact"/>
              <w:rPr>
                <w:sz w:val="20"/>
                <w:szCs w:val="20"/>
                <w:color w:val="auto"/>
              </w:rPr>
            </w:pPr>
            <w:r>
              <w:rPr>
                <w:rFonts w:ascii="Arial" w:cs="Arial" w:eastAsia="Arial" w:hAnsi="Arial"/>
                <w:sz w:val="18"/>
                <w:szCs w:val="18"/>
                <w:color w:val="auto"/>
              </w:rPr>
              <w:t>(0.09)</w:t>
            </w:r>
          </w:p>
        </w:tc>
      </w:tr>
      <w:tr>
        <w:trPr>
          <w:trHeight w:val="200"/>
        </w:trPr>
        <w:tc>
          <w:tcPr>
            <w:tcW w:w="9120" w:type="dxa"/>
            <w:vAlign w:val="bottom"/>
          </w:tcPr>
          <w:p>
            <w:pPr>
              <w:ind w:left="700"/>
              <w:spacing w:after="0" w:line="201" w:lineRule="exact"/>
              <w:rPr>
                <w:sz w:val="20"/>
                <w:szCs w:val="20"/>
                <w:color w:val="auto"/>
              </w:rPr>
            </w:pPr>
            <w:r>
              <w:rPr>
                <w:rFonts w:ascii="Arial" w:cs="Arial" w:eastAsia="Arial" w:hAnsi="Arial"/>
                <w:sz w:val="18"/>
                <w:szCs w:val="18"/>
                <w:color w:val="auto"/>
              </w:rPr>
              <w:t>Impact of Toll Tax</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1.84</w:t>
            </w:r>
          </w:p>
        </w:tc>
        <w:tc>
          <w:tcPr>
            <w:tcW w:w="320" w:type="dxa"/>
            <w:vAlign w:val="bottom"/>
          </w:tcPr>
          <w:p>
            <w:pPr>
              <w:spacing w:after="0"/>
              <w:rPr>
                <w:sz w:val="17"/>
                <w:szCs w:val="17"/>
                <w:color w:val="auto"/>
              </w:rPr>
            </w:pPr>
          </w:p>
        </w:tc>
      </w:tr>
      <w:tr>
        <w:trPr>
          <w:trHeight w:val="200"/>
        </w:trPr>
        <w:tc>
          <w:tcPr>
            <w:tcW w:w="9120" w:type="dxa"/>
            <w:vAlign w:val="bottom"/>
            <w:shd w:val="clear" w:color="auto" w:fill="E8EDF4"/>
          </w:tcPr>
          <w:p>
            <w:pPr>
              <w:ind w:left="700"/>
              <w:spacing w:after="0" w:line="201" w:lineRule="exact"/>
              <w:rPr>
                <w:sz w:val="20"/>
                <w:szCs w:val="20"/>
                <w:color w:val="auto"/>
              </w:rPr>
            </w:pPr>
            <w:r>
              <w:rPr>
                <w:rFonts w:ascii="Arial" w:cs="Arial" w:eastAsia="Arial" w:hAnsi="Arial"/>
                <w:sz w:val="18"/>
                <w:szCs w:val="18"/>
                <w:color w:val="auto"/>
              </w:rPr>
              <w:t>Impact of Deferred Tax Recalibration</w:t>
            </w:r>
          </w:p>
        </w:tc>
        <w:tc>
          <w:tcPr>
            <w:tcW w:w="440" w:type="dxa"/>
            <w:vAlign w:val="bottom"/>
            <w:tcBorders>
              <w:right w:val="single" w:sz="8" w:color="E8EDF4"/>
            </w:tcBorders>
            <w:shd w:val="clear" w:color="auto" w:fill="E8EDF4"/>
          </w:tcPr>
          <w:p>
            <w:pPr>
              <w:spacing w:after="0"/>
              <w:rPr>
                <w:sz w:val="17"/>
                <w:szCs w:val="17"/>
                <w:color w:val="auto"/>
              </w:rPr>
            </w:pPr>
          </w:p>
        </w:tc>
        <w:tc>
          <w:tcPr>
            <w:tcW w:w="80" w:type="dxa"/>
            <w:vAlign w:val="bottom"/>
            <w:shd w:val="clear" w:color="auto" w:fill="E8EDF4"/>
          </w:tcPr>
          <w:p>
            <w:pPr>
              <w:spacing w:after="0"/>
              <w:rPr>
                <w:sz w:val="17"/>
                <w:szCs w:val="17"/>
                <w:color w:val="auto"/>
              </w:rPr>
            </w:pPr>
          </w:p>
        </w:tc>
        <w:tc>
          <w:tcPr>
            <w:tcW w:w="1240" w:type="dxa"/>
            <w:vAlign w:val="bottom"/>
            <w:gridSpan w:val="2"/>
            <w:shd w:val="clear" w:color="auto" w:fill="E8EDF4"/>
          </w:tcPr>
          <w:p>
            <w:pPr>
              <w:jc w:val="right"/>
              <w:ind w:right="260"/>
              <w:spacing w:after="0" w:line="201" w:lineRule="exact"/>
              <w:rPr>
                <w:sz w:val="20"/>
                <w:szCs w:val="20"/>
                <w:color w:val="auto"/>
              </w:rPr>
            </w:pPr>
            <w:r>
              <w:rPr>
                <w:rFonts w:ascii="Arial" w:cs="Arial" w:eastAsia="Arial" w:hAnsi="Arial"/>
                <w:sz w:val="18"/>
                <w:szCs w:val="18"/>
                <w:color w:val="auto"/>
              </w:rPr>
              <w:t>(1.69)</w:t>
            </w:r>
          </w:p>
        </w:tc>
      </w:tr>
      <w:tr>
        <w:trPr>
          <w:trHeight w:val="27"/>
        </w:trPr>
        <w:tc>
          <w:tcPr>
            <w:tcW w:w="9120" w:type="dxa"/>
            <w:vAlign w:val="bottom"/>
            <w:shd w:val="clear" w:color="auto" w:fill="E8EDF4"/>
          </w:tcPr>
          <w:p>
            <w:pPr>
              <w:spacing w:after="0"/>
              <w:rPr>
                <w:sz w:val="2"/>
                <w:szCs w:val="2"/>
                <w:color w:val="auto"/>
              </w:rPr>
            </w:pPr>
          </w:p>
        </w:tc>
        <w:tc>
          <w:tcPr>
            <w:tcW w:w="440" w:type="dxa"/>
            <w:vAlign w:val="bottom"/>
            <w:tcBorders>
              <w:right w:val="single" w:sz="8" w:color="E8EDF4"/>
            </w:tcBorders>
            <w:shd w:val="clear" w:color="auto" w:fill="E8EDF4"/>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E8EDF4"/>
          </w:tcPr>
          <w:p>
            <w:pPr>
              <w:spacing w:after="0"/>
              <w:rPr>
                <w:sz w:val="2"/>
                <w:szCs w:val="2"/>
                <w:color w:val="auto"/>
              </w:rPr>
            </w:pPr>
          </w:p>
        </w:tc>
      </w:tr>
      <w:tr>
        <w:trPr>
          <w:trHeight w:val="200"/>
        </w:trPr>
        <w:tc>
          <w:tcPr>
            <w:tcW w:w="9120" w:type="dxa"/>
            <w:vAlign w:val="bottom"/>
          </w:tcPr>
          <w:p>
            <w:pPr>
              <w:ind w:left="40"/>
              <w:spacing w:after="0" w:line="201" w:lineRule="exact"/>
              <w:rPr>
                <w:sz w:val="20"/>
                <w:szCs w:val="20"/>
                <w:color w:val="auto"/>
              </w:rPr>
            </w:pPr>
            <w:r>
              <w:rPr>
                <w:rFonts w:ascii="Arial" w:cs="Arial" w:eastAsia="Arial" w:hAnsi="Arial"/>
                <w:sz w:val="18"/>
                <w:szCs w:val="18"/>
                <w:b w:val="1"/>
                <w:bCs w:val="1"/>
                <w:color w:val="auto"/>
              </w:rPr>
              <w:t>Non-GAAP Diluted EPS (1)</w:t>
            </w:r>
          </w:p>
        </w:tc>
        <w:tc>
          <w:tcPr>
            <w:tcW w:w="520" w:type="dxa"/>
            <w:vAlign w:val="bottom"/>
            <w:gridSpan w:val="2"/>
          </w:tcPr>
          <w:p>
            <w:pPr>
              <w:ind w:left="420"/>
              <w:spacing w:after="0" w:line="201"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5.94</w:t>
            </w:r>
          </w:p>
        </w:tc>
        <w:tc>
          <w:tcPr>
            <w:tcW w:w="320" w:type="dxa"/>
            <w:vAlign w:val="bottom"/>
          </w:tcPr>
          <w:p>
            <w:pPr>
              <w:spacing w:after="0"/>
              <w:rPr>
                <w:sz w:val="17"/>
                <w:szCs w:val="17"/>
                <w:color w:val="auto"/>
              </w:rPr>
            </w:pPr>
          </w:p>
        </w:tc>
      </w:tr>
      <w:tr>
        <w:trPr>
          <w:trHeight w:val="20"/>
        </w:trPr>
        <w:tc>
          <w:tcPr>
            <w:tcW w:w="9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-3839845</wp:posOffset>
            </wp:positionV>
            <wp:extent cx="1118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8870"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93345</wp:posOffset>
            </wp:positionV>
            <wp:extent cx="686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57" w:lineRule="exact"/>
        <w:rPr>
          <w:sz w:val="20"/>
          <w:szCs w:val="20"/>
          <w:color w:val="auto"/>
        </w:rPr>
      </w:pPr>
    </w:p>
    <w:p>
      <w:pPr>
        <w:ind w:left="260"/>
        <w:spacing w:after="0"/>
        <w:tabs>
          <w:tab w:leader="none" w:pos="680" w:val="left"/>
        </w:tabs>
        <w:rPr>
          <w:sz w:val="20"/>
          <w:szCs w:val="20"/>
          <w:color w:val="auto"/>
        </w:rPr>
      </w:pPr>
      <w:r>
        <w:rPr>
          <w:rFonts w:ascii="Arial" w:cs="Arial" w:eastAsia="Arial" w:hAnsi="Arial"/>
          <w:sz w:val="18"/>
          <w:szCs w:val="18"/>
          <w:color w:val="auto"/>
        </w:rPr>
        <w:t>(1)</w:t>
        <w:tab/>
        <w:t>The sum of the individual per share amounts may not equal the total due to rounding</w:t>
      </w:r>
    </w:p>
    <w:p>
      <w:pPr>
        <w:spacing w:after="0" w:line="140" w:lineRule="exact"/>
        <w:rPr>
          <w:sz w:val="20"/>
          <w:szCs w:val="20"/>
          <w:color w:val="auto"/>
        </w:rPr>
      </w:pPr>
    </w:p>
    <w:p>
      <w:pPr>
        <w:ind w:left="9280"/>
        <w:spacing w:after="0"/>
        <w:tabs>
          <w:tab w:leader="none" w:pos="1094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77</w:t>
      </w:r>
    </w:p>
    <w:p>
      <w:pPr>
        <w:sectPr>
          <w:pgSz w:w="11900" w:h="16838" w:orient="portrait"/>
          <w:cols w:equalWidth="0" w:num="1">
            <w:col w:w="11160"/>
          </w:cols>
          <w:pgMar w:left="240" w:top="453" w:right="4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203200</wp:posOffset>
            </wp:positionV>
            <wp:extent cx="2619375" cy="135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1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8120" w:type="dxa"/>
            <w:vAlign w:val="bottom"/>
            <w:shd w:val="clear" w:color="auto" w:fill="052B82"/>
          </w:tcPr>
          <w:p>
            <w:pPr>
              <w:spacing w:after="0"/>
              <w:rPr>
                <w:sz w:val="14"/>
                <w:szCs w:val="14"/>
                <w:color w:val="auto"/>
              </w:rPr>
            </w:pPr>
          </w:p>
        </w:tc>
        <w:tc>
          <w:tcPr>
            <w:tcW w:w="400" w:type="dxa"/>
            <w:vAlign w:val="bottom"/>
            <w:shd w:val="clear" w:color="auto" w:fill="052B82"/>
          </w:tcPr>
          <w:p>
            <w:pPr>
              <w:spacing w:after="0"/>
              <w:rPr>
                <w:sz w:val="14"/>
                <w:szCs w:val="14"/>
                <w:color w:val="auto"/>
              </w:rPr>
            </w:pPr>
          </w:p>
        </w:tc>
        <w:tc>
          <w:tcPr>
            <w:tcW w:w="2360" w:type="dxa"/>
            <w:vAlign w:val="bottom"/>
            <w:gridSpan w:val="5"/>
            <w:shd w:val="clear" w:color="auto" w:fill="052B82"/>
          </w:tcPr>
          <w:p>
            <w:pPr>
              <w:jc w:val="right"/>
              <w:ind w:right="540"/>
              <w:spacing w:after="0"/>
              <w:rPr>
                <w:sz w:val="20"/>
                <w:szCs w:val="20"/>
                <w:color w:val="auto"/>
              </w:rPr>
            </w:pPr>
            <w:r>
              <w:rPr>
                <w:rFonts w:ascii="Arial" w:cs="Arial" w:eastAsia="Arial" w:hAnsi="Arial"/>
                <w:sz w:val="14"/>
                <w:szCs w:val="14"/>
                <w:b w:val="1"/>
                <w:bCs w:val="1"/>
                <w:color w:val="FFFFFF"/>
              </w:rPr>
              <w:t>Twelve Months Ended</w:t>
            </w:r>
          </w:p>
        </w:tc>
      </w:tr>
      <w:tr>
        <w:trPr>
          <w:trHeight w:val="158"/>
        </w:trPr>
        <w:tc>
          <w:tcPr>
            <w:tcW w:w="8120" w:type="dxa"/>
            <w:vAlign w:val="bottom"/>
            <w:shd w:val="clear" w:color="auto" w:fill="052B82"/>
          </w:tcPr>
          <w:p>
            <w:pPr>
              <w:spacing w:after="0"/>
              <w:rPr>
                <w:sz w:val="13"/>
                <w:szCs w:val="13"/>
                <w:color w:val="auto"/>
              </w:rPr>
            </w:pPr>
          </w:p>
        </w:tc>
        <w:tc>
          <w:tcPr>
            <w:tcW w:w="400" w:type="dxa"/>
            <w:vAlign w:val="bottom"/>
            <w:shd w:val="clear" w:color="auto" w:fill="052B82"/>
          </w:tcPr>
          <w:p>
            <w:pPr>
              <w:spacing w:after="0"/>
              <w:rPr>
                <w:sz w:val="13"/>
                <w:szCs w:val="13"/>
                <w:color w:val="auto"/>
              </w:rPr>
            </w:pPr>
          </w:p>
        </w:tc>
        <w:tc>
          <w:tcPr>
            <w:tcW w:w="1200" w:type="dxa"/>
            <w:vAlign w:val="bottom"/>
            <w:gridSpan w:val="2"/>
            <w:shd w:val="clear" w:color="auto" w:fill="052B82"/>
          </w:tcPr>
          <w:p>
            <w:pPr>
              <w:jc w:val="center"/>
              <w:ind w:right="300"/>
              <w:spacing w:after="0" w:line="158" w:lineRule="exact"/>
              <w:rPr>
                <w:sz w:val="20"/>
                <w:szCs w:val="20"/>
                <w:color w:val="auto"/>
              </w:rPr>
            </w:pPr>
            <w:r>
              <w:rPr>
                <w:rFonts w:ascii="Arial" w:cs="Arial" w:eastAsia="Arial" w:hAnsi="Arial"/>
                <w:sz w:val="14"/>
                <w:szCs w:val="14"/>
                <w:b w:val="1"/>
                <w:bCs w:val="1"/>
                <w:color w:val="FFFFFF"/>
              </w:rPr>
              <w:t>FY 18</w:t>
            </w:r>
          </w:p>
        </w:tc>
        <w:tc>
          <w:tcPr>
            <w:tcW w:w="140" w:type="dxa"/>
            <w:vAlign w:val="bottom"/>
            <w:shd w:val="clear" w:color="auto" w:fill="052B82"/>
          </w:tcPr>
          <w:p>
            <w:pPr>
              <w:spacing w:after="0"/>
              <w:rPr>
                <w:sz w:val="13"/>
                <w:szCs w:val="13"/>
                <w:color w:val="auto"/>
              </w:rPr>
            </w:pPr>
          </w:p>
        </w:tc>
        <w:tc>
          <w:tcPr>
            <w:tcW w:w="1020" w:type="dxa"/>
            <w:vAlign w:val="bottom"/>
            <w:gridSpan w:val="2"/>
            <w:shd w:val="clear" w:color="auto" w:fill="052B82"/>
          </w:tcPr>
          <w:p>
            <w:pPr>
              <w:jc w:val="center"/>
              <w:ind w:right="220"/>
              <w:spacing w:after="0" w:line="158" w:lineRule="exact"/>
              <w:rPr>
                <w:sz w:val="20"/>
                <w:szCs w:val="20"/>
                <w:color w:val="auto"/>
              </w:rPr>
            </w:pPr>
            <w:r>
              <w:rPr>
                <w:rFonts w:ascii="Arial" w:cs="Arial" w:eastAsia="Arial" w:hAnsi="Arial"/>
                <w:sz w:val="14"/>
                <w:szCs w:val="14"/>
                <w:b w:val="1"/>
                <w:bCs w:val="1"/>
                <w:color w:val="FFFFFF"/>
                <w:w w:val="96"/>
              </w:rPr>
              <w:t>FY 13</w:t>
            </w:r>
          </w:p>
        </w:tc>
      </w:tr>
      <w:tr>
        <w:trPr>
          <w:trHeight w:val="160"/>
        </w:trPr>
        <w:tc>
          <w:tcPr>
            <w:tcW w:w="8120" w:type="dxa"/>
            <w:vAlign w:val="bottom"/>
            <w:shd w:val="clear" w:color="auto" w:fill="052B82"/>
          </w:tcPr>
          <w:p>
            <w:pPr>
              <w:spacing w:after="0"/>
              <w:rPr>
                <w:sz w:val="13"/>
                <w:szCs w:val="13"/>
                <w:color w:val="auto"/>
              </w:rPr>
            </w:pPr>
          </w:p>
        </w:tc>
        <w:tc>
          <w:tcPr>
            <w:tcW w:w="400" w:type="dxa"/>
            <w:vAlign w:val="bottom"/>
            <w:shd w:val="clear" w:color="auto" w:fill="052B82"/>
          </w:tcPr>
          <w:p>
            <w:pPr>
              <w:spacing w:after="0"/>
              <w:rPr>
                <w:sz w:val="13"/>
                <w:szCs w:val="13"/>
                <w:color w:val="auto"/>
              </w:rPr>
            </w:pPr>
          </w:p>
        </w:tc>
        <w:tc>
          <w:tcPr>
            <w:tcW w:w="1200" w:type="dxa"/>
            <w:vAlign w:val="bottom"/>
            <w:gridSpan w:val="2"/>
            <w:shd w:val="clear" w:color="auto" w:fill="052B82"/>
          </w:tcPr>
          <w:p>
            <w:pPr>
              <w:jc w:val="center"/>
              <w:ind w:right="300"/>
              <w:spacing w:after="0"/>
              <w:rPr>
                <w:sz w:val="20"/>
                <w:szCs w:val="20"/>
                <w:color w:val="auto"/>
              </w:rPr>
            </w:pPr>
            <w:r>
              <w:rPr>
                <w:rFonts w:ascii="Arial" w:cs="Arial" w:eastAsia="Arial" w:hAnsi="Arial"/>
                <w:sz w:val="14"/>
                <w:szCs w:val="14"/>
                <w:b w:val="1"/>
                <w:bCs w:val="1"/>
                <w:color w:val="FFFFFF"/>
              </w:rPr>
              <w:t>Nov. 3,</w:t>
            </w:r>
          </w:p>
        </w:tc>
        <w:tc>
          <w:tcPr>
            <w:tcW w:w="140" w:type="dxa"/>
            <w:vAlign w:val="bottom"/>
            <w:shd w:val="clear" w:color="auto" w:fill="052B82"/>
          </w:tcPr>
          <w:p>
            <w:pPr>
              <w:spacing w:after="0"/>
              <w:rPr>
                <w:sz w:val="13"/>
                <w:szCs w:val="13"/>
                <w:color w:val="auto"/>
              </w:rPr>
            </w:pPr>
          </w:p>
        </w:tc>
        <w:tc>
          <w:tcPr>
            <w:tcW w:w="1020" w:type="dxa"/>
            <w:vAlign w:val="bottom"/>
            <w:gridSpan w:val="2"/>
            <w:shd w:val="clear" w:color="auto" w:fill="052B82"/>
          </w:tcPr>
          <w:p>
            <w:pPr>
              <w:jc w:val="center"/>
              <w:ind w:right="220"/>
              <w:spacing w:after="0"/>
              <w:rPr>
                <w:sz w:val="20"/>
                <w:szCs w:val="20"/>
                <w:color w:val="auto"/>
              </w:rPr>
            </w:pPr>
            <w:r>
              <w:rPr>
                <w:rFonts w:ascii="Arial" w:cs="Arial" w:eastAsia="Arial" w:hAnsi="Arial"/>
                <w:sz w:val="14"/>
                <w:szCs w:val="14"/>
                <w:b w:val="1"/>
                <w:bCs w:val="1"/>
                <w:color w:val="FFFFFF"/>
                <w:w w:val="95"/>
              </w:rPr>
              <w:t>Nov. 2,</w:t>
            </w:r>
          </w:p>
        </w:tc>
      </w:tr>
      <w:tr>
        <w:trPr>
          <w:trHeight w:val="189"/>
        </w:trPr>
        <w:tc>
          <w:tcPr>
            <w:tcW w:w="8120" w:type="dxa"/>
            <w:vAlign w:val="bottom"/>
            <w:shd w:val="clear" w:color="auto" w:fill="052B82"/>
          </w:tcPr>
          <w:p>
            <w:pPr>
              <w:spacing w:after="0"/>
              <w:rPr>
                <w:sz w:val="16"/>
                <w:szCs w:val="16"/>
                <w:color w:val="auto"/>
              </w:rPr>
            </w:pPr>
          </w:p>
        </w:tc>
        <w:tc>
          <w:tcPr>
            <w:tcW w:w="1320" w:type="dxa"/>
            <w:vAlign w:val="bottom"/>
            <w:gridSpan w:val="2"/>
            <w:shd w:val="clear" w:color="auto" w:fill="052B82"/>
          </w:tcPr>
          <w:p>
            <w:pPr>
              <w:jc w:val="center"/>
              <w:ind w:left="315"/>
              <w:spacing w:after="0"/>
              <w:rPr>
                <w:sz w:val="20"/>
                <w:szCs w:val="20"/>
                <w:color w:val="auto"/>
              </w:rPr>
            </w:pPr>
            <w:r>
              <w:rPr>
                <w:rFonts w:ascii="Arial" w:cs="Arial" w:eastAsia="Arial" w:hAnsi="Arial"/>
                <w:sz w:val="14"/>
                <w:szCs w:val="14"/>
                <w:b w:val="1"/>
                <w:bCs w:val="1"/>
                <w:color w:val="FFFFFF"/>
              </w:rPr>
              <w:t>2018</w:t>
            </w:r>
          </w:p>
        </w:tc>
        <w:tc>
          <w:tcPr>
            <w:tcW w:w="280" w:type="dxa"/>
            <w:vAlign w:val="bottom"/>
            <w:shd w:val="clear" w:color="auto" w:fill="052B82"/>
          </w:tcPr>
          <w:p>
            <w:pPr>
              <w:spacing w:after="0"/>
              <w:rPr>
                <w:sz w:val="16"/>
                <w:szCs w:val="16"/>
                <w:color w:val="auto"/>
              </w:rPr>
            </w:pPr>
          </w:p>
        </w:tc>
        <w:tc>
          <w:tcPr>
            <w:tcW w:w="960" w:type="dxa"/>
            <w:vAlign w:val="bottom"/>
            <w:gridSpan w:val="2"/>
            <w:shd w:val="clear" w:color="auto" w:fill="052B82"/>
          </w:tcPr>
          <w:p>
            <w:pPr>
              <w:jc w:val="center"/>
              <w:ind w:left="34"/>
              <w:spacing w:after="0"/>
              <w:rPr>
                <w:sz w:val="20"/>
                <w:szCs w:val="20"/>
                <w:color w:val="auto"/>
              </w:rPr>
            </w:pPr>
            <w:r>
              <w:rPr>
                <w:rFonts w:ascii="Arial" w:cs="Arial" w:eastAsia="Arial" w:hAnsi="Arial"/>
                <w:sz w:val="14"/>
                <w:szCs w:val="14"/>
                <w:b w:val="1"/>
                <w:bCs w:val="1"/>
                <w:color w:val="FFFFFF"/>
              </w:rPr>
              <w:t>2013</w:t>
            </w:r>
          </w:p>
        </w:tc>
        <w:tc>
          <w:tcPr>
            <w:tcW w:w="200" w:type="dxa"/>
            <w:vAlign w:val="bottom"/>
            <w:shd w:val="clear" w:color="auto" w:fill="052B82"/>
          </w:tcPr>
          <w:p>
            <w:pPr>
              <w:spacing w:after="0"/>
              <w:rPr>
                <w:sz w:val="16"/>
                <w:szCs w:val="16"/>
                <w:color w:val="auto"/>
              </w:rPr>
            </w:pPr>
          </w:p>
        </w:tc>
      </w:tr>
      <w:tr>
        <w:trPr>
          <w:trHeight w:val="200"/>
        </w:trPr>
        <w:tc>
          <w:tcPr>
            <w:tcW w:w="8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Net cash provided by operating activities</w:t>
            </w:r>
          </w:p>
        </w:tc>
        <w:tc>
          <w:tcPr>
            <w:tcW w:w="1320" w:type="dxa"/>
            <w:vAlign w:val="bottom"/>
            <w:gridSpan w:val="2"/>
            <w:shd w:val="clear" w:color="auto" w:fill="E8EDF4"/>
          </w:tcPr>
          <w:p>
            <w:pPr>
              <w:jc w:val="right"/>
              <w:spacing w:after="0" w:line="201" w:lineRule="exact"/>
              <w:rPr>
                <w:sz w:val="20"/>
                <w:szCs w:val="20"/>
                <w:color w:val="auto"/>
              </w:rPr>
            </w:pPr>
            <w:r>
              <w:rPr>
                <w:rFonts w:ascii="Arial" w:cs="Arial" w:eastAsia="Arial" w:hAnsi="Arial"/>
                <w:sz w:val="18"/>
                <w:szCs w:val="18"/>
                <w:color w:val="auto"/>
              </w:rPr>
              <w:t>$2,442,361</w:t>
            </w:r>
          </w:p>
        </w:tc>
        <w:tc>
          <w:tcPr>
            <w:tcW w:w="280" w:type="dxa"/>
            <w:vAlign w:val="bottom"/>
            <w:shd w:val="clear" w:color="auto" w:fill="E8EDF4"/>
          </w:tcPr>
          <w:p>
            <w:pPr>
              <w:spacing w:after="0"/>
              <w:rPr>
                <w:sz w:val="17"/>
                <w:szCs w:val="17"/>
                <w:color w:val="auto"/>
              </w:rPr>
            </w:pPr>
          </w:p>
        </w:tc>
        <w:tc>
          <w:tcPr>
            <w:tcW w:w="960" w:type="dxa"/>
            <w:vAlign w:val="bottom"/>
            <w:gridSpan w:val="2"/>
            <w:shd w:val="clear" w:color="auto" w:fill="E8EDF4"/>
          </w:tcPr>
          <w:p>
            <w:pPr>
              <w:jc w:val="right"/>
              <w:spacing w:after="0" w:line="201" w:lineRule="exact"/>
              <w:rPr>
                <w:sz w:val="20"/>
                <w:szCs w:val="20"/>
                <w:color w:val="auto"/>
              </w:rPr>
            </w:pPr>
            <w:r>
              <w:rPr>
                <w:rFonts w:ascii="Arial" w:cs="Arial" w:eastAsia="Arial" w:hAnsi="Arial"/>
                <w:sz w:val="18"/>
                <w:szCs w:val="18"/>
                <w:color w:val="auto"/>
              </w:rPr>
              <w:t>$ 912,345</w:t>
            </w:r>
          </w:p>
        </w:tc>
        <w:tc>
          <w:tcPr>
            <w:tcW w:w="200" w:type="dxa"/>
            <w:vAlign w:val="bottom"/>
            <w:shd w:val="clear" w:color="auto" w:fill="E8EDF4"/>
          </w:tcPr>
          <w:p>
            <w:pPr>
              <w:spacing w:after="0"/>
              <w:rPr>
                <w:sz w:val="17"/>
                <w:szCs w:val="17"/>
                <w:color w:val="auto"/>
              </w:rPr>
            </w:pPr>
          </w:p>
        </w:tc>
      </w:tr>
      <w:tr>
        <w:trPr>
          <w:trHeight w:val="200"/>
        </w:trPr>
        <w:tc>
          <w:tcPr>
            <w:tcW w:w="8120" w:type="dxa"/>
            <w:vAlign w:val="bottom"/>
          </w:tcPr>
          <w:p>
            <w:pPr>
              <w:ind w:left="40"/>
              <w:spacing w:after="0" w:line="201" w:lineRule="exact"/>
              <w:rPr>
                <w:sz w:val="20"/>
                <w:szCs w:val="20"/>
                <w:color w:val="auto"/>
              </w:rPr>
            </w:pPr>
            <w:r>
              <w:rPr>
                <w:rFonts w:ascii="Arial" w:cs="Arial" w:eastAsia="Arial" w:hAnsi="Arial"/>
                <w:sz w:val="18"/>
                <w:szCs w:val="18"/>
                <w:color w:val="auto"/>
              </w:rPr>
              <w:t>% of revenue</w:t>
            </w:r>
          </w:p>
        </w:tc>
        <w:tc>
          <w:tcPr>
            <w:tcW w:w="16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39.4%</w:t>
            </w:r>
          </w:p>
        </w:tc>
        <w:tc>
          <w:tcPr>
            <w:tcW w:w="11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34.6%</w:t>
            </w:r>
          </w:p>
        </w:tc>
      </w:tr>
      <w:tr>
        <w:trPr>
          <w:trHeight w:val="200"/>
        </w:trPr>
        <w:tc>
          <w:tcPr>
            <w:tcW w:w="8120" w:type="dxa"/>
            <w:vAlign w:val="bottom"/>
            <w:shd w:val="clear" w:color="auto" w:fill="E8EDF4"/>
          </w:tcPr>
          <w:p>
            <w:pPr>
              <w:ind w:left="40"/>
              <w:spacing w:after="0" w:line="201" w:lineRule="exact"/>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E8EDF4"/>
          </w:tcPr>
          <w:p>
            <w:pPr>
              <w:spacing w:after="0"/>
              <w:rPr>
                <w:sz w:val="17"/>
                <w:szCs w:val="17"/>
                <w:color w:val="auto"/>
              </w:rPr>
            </w:pPr>
          </w:p>
        </w:tc>
        <w:tc>
          <w:tcPr>
            <w:tcW w:w="1200" w:type="dxa"/>
            <w:vAlign w:val="bottom"/>
            <w:gridSpan w:val="2"/>
            <w:shd w:val="clear" w:color="auto" w:fill="E8EDF4"/>
          </w:tcPr>
          <w:p>
            <w:pPr>
              <w:jc w:val="right"/>
              <w:ind w:right="240"/>
              <w:spacing w:after="0" w:line="201" w:lineRule="exact"/>
              <w:rPr>
                <w:sz w:val="20"/>
                <w:szCs w:val="20"/>
                <w:color w:val="auto"/>
              </w:rPr>
            </w:pPr>
            <w:r>
              <w:rPr>
                <w:rFonts w:ascii="Arial" w:cs="Arial" w:eastAsia="Arial" w:hAnsi="Arial"/>
                <w:sz w:val="18"/>
                <w:szCs w:val="18"/>
                <w:color w:val="auto"/>
              </w:rPr>
              <w:t>(254,876)</w:t>
            </w:r>
          </w:p>
        </w:tc>
        <w:tc>
          <w:tcPr>
            <w:tcW w:w="1160" w:type="dxa"/>
            <w:vAlign w:val="bottom"/>
            <w:gridSpan w:val="3"/>
            <w:shd w:val="clear" w:color="auto" w:fill="E8EDF4"/>
          </w:tcPr>
          <w:p>
            <w:pPr>
              <w:jc w:val="right"/>
              <w:ind w:right="160"/>
              <w:spacing w:after="0" w:line="201" w:lineRule="exact"/>
              <w:rPr>
                <w:sz w:val="20"/>
                <w:szCs w:val="20"/>
                <w:color w:val="auto"/>
              </w:rPr>
            </w:pPr>
            <w:r>
              <w:rPr>
                <w:rFonts w:ascii="Arial" w:cs="Arial" w:eastAsia="Arial" w:hAnsi="Arial"/>
                <w:sz w:val="18"/>
                <w:szCs w:val="18"/>
                <w:color w:val="auto"/>
              </w:rPr>
              <w:t>(123,074)</w:t>
            </w:r>
          </w:p>
        </w:tc>
      </w:tr>
      <w:tr>
        <w:trPr>
          <w:trHeight w:val="27"/>
        </w:trPr>
        <w:tc>
          <w:tcPr>
            <w:tcW w:w="8120" w:type="dxa"/>
            <w:vAlign w:val="bottom"/>
            <w:shd w:val="clear" w:color="auto" w:fill="E8EDF4"/>
          </w:tcPr>
          <w:p>
            <w:pPr>
              <w:spacing w:after="0"/>
              <w:rPr>
                <w:sz w:val="2"/>
                <w:szCs w:val="2"/>
                <w:color w:val="auto"/>
              </w:rPr>
            </w:pPr>
          </w:p>
        </w:tc>
        <w:tc>
          <w:tcPr>
            <w:tcW w:w="400" w:type="dxa"/>
            <w:vAlign w:val="bottom"/>
            <w:shd w:val="clear" w:color="auto" w:fill="E8EDF4"/>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E8EDF4"/>
          </w:tcPr>
          <w:p>
            <w:pPr>
              <w:spacing w:after="0"/>
              <w:rPr>
                <w:sz w:val="2"/>
                <w:szCs w:val="2"/>
                <w:color w:val="auto"/>
              </w:rPr>
            </w:pPr>
          </w:p>
        </w:tc>
        <w:tc>
          <w:tcPr>
            <w:tcW w:w="140" w:type="dxa"/>
            <w:vAlign w:val="bottom"/>
            <w:shd w:val="clear" w:color="auto" w:fill="E8EDF4"/>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E8EDF4"/>
          </w:tcPr>
          <w:p>
            <w:pPr>
              <w:spacing w:after="0"/>
              <w:rPr>
                <w:sz w:val="2"/>
                <w:szCs w:val="2"/>
                <w:color w:val="auto"/>
              </w:rPr>
            </w:pPr>
          </w:p>
        </w:tc>
      </w:tr>
      <w:tr>
        <w:trPr>
          <w:trHeight w:val="200"/>
        </w:trPr>
        <w:tc>
          <w:tcPr>
            <w:tcW w:w="8120" w:type="dxa"/>
            <w:vAlign w:val="bottom"/>
          </w:tcPr>
          <w:p>
            <w:pPr>
              <w:ind w:left="40"/>
              <w:spacing w:after="0" w:line="201" w:lineRule="exact"/>
              <w:rPr>
                <w:sz w:val="20"/>
                <w:szCs w:val="20"/>
                <w:color w:val="auto"/>
              </w:rPr>
            </w:pPr>
            <w:r>
              <w:rPr>
                <w:rFonts w:ascii="Arial" w:cs="Arial" w:eastAsia="Arial" w:hAnsi="Arial"/>
                <w:sz w:val="18"/>
                <w:szCs w:val="18"/>
                <w:color w:val="auto"/>
              </w:rPr>
              <w:t>Free cash flow (1)</w:t>
            </w: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2,187,485</w:t>
            </w:r>
          </w:p>
        </w:tc>
        <w:tc>
          <w:tcPr>
            <w:tcW w:w="280" w:type="dxa"/>
            <w:vAlign w:val="bottom"/>
          </w:tcPr>
          <w:p>
            <w:pPr>
              <w:spacing w:after="0"/>
              <w:rPr>
                <w:sz w:val="17"/>
                <w:szCs w:val="17"/>
                <w:color w:val="auto"/>
              </w:rPr>
            </w:pPr>
          </w:p>
        </w:tc>
        <w:tc>
          <w:tcPr>
            <w:tcW w:w="9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$ 789,271</w:t>
            </w:r>
          </w:p>
        </w:tc>
        <w:tc>
          <w:tcPr>
            <w:tcW w:w="20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4"/>
        </w:trPr>
        <w:tc>
          <w:tcPr>
            <w:tcW w:w="8120" w:type="dxa"/>
            <w:vAlign w:val="bottom"/>
            <w:shd w:val="clear" w:color="auto" w:fill="E8EDF4"/>
          </w:tcPr>
          <w:p>
            <w:pPr>
              <w:ind w:left="40"/>
              <w:spacing w:after="0" w:line="194" w:lineRule="exact"/>
              <w:rPr>
                <w:sz w:val="20"/>
                <w:szCs w:val="20"/>
                <w:color w:val="auto"/>
              </w:rPr>
            </w:pPr>
            <w:r>
              <w:rPr>
                <w:rFonts w:ascii="Arial" w:cs="Arial" w:eastAsia="Arial" w:hAnsi="Arial"/>
                <w:sz w:val="18"/>
                <w:szCs w:val="18"/>
                <w:color w:val="auto"/>
              </w:rPr>
              <w:t>% of revenue</w:t>
            </w:r>
          </w:p>
        </w:tc>
        <w:tc>
          <w:tcPr>
            <w:tcW w:w="1600" w:type="dxa"/>
            <w:vAlign w:val="bottom"/>
            <w:gridSpan w:val="3"/>
            <w:shd w:val="clear" w:color="auto" w:fill="E8EDF4"/>
          </w:tcPr>
          <w:p>
            <w:pPr>
              <w:jc w:val="right"/>
              <w:ind w:right="140"/>
              <w:spacing w:after="0" w:line="194" w:lineRule="exact"/>
              <w:rPr>
                <w:sz w:val="20"/>
                <w:szCs w:val="20"/>
                <w:color w:val="auto"/>
              </w:rPr>
            </w:pPr>
            <w:r>
              <w:rPr>
                <w:rFonts w:ascii="Arial" w:cs="Arial" w:eastAsia="Arial" w:hAnsi="Arial"/>
                <w:sz w:val="18"/>
                <w:szCs w:val="18"/>
                <w:color w:val="auto"/>
              </w:rPr>
              <w:t>35.3%</w:t>
            </w:r>
          </w:p>
        </w:tc>
        <w:tc>
          <w:tcPr>
            <w:tcW w:w="1160" w:type="dxa"/>
            <w:vAlign w:val="bottom"/>
            <w:gridSpan w:val="3"/>
            <w:shd w:val="clear" w:color="auto" w:fill="E8EDF4"/>
          </w:tcPr>
          <w:p>
            <w:pPr>
              <w:jc w:val="right"/>
              <w:ind w:right="60"/>
              <w:spacing w:after="0" w:line="194" w:lineRule="exact"/>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-1008380</wp:posOffset>
            </wp:positionV>
            <wp:extent cx="17633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6339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85090</wp:posOffset>
            </wp:positionV>
            <wp:extent cx="686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44" w:lineRule="exact"/>
        <w:rPr>
          <w:sz w:val="20"/>
          <w:szCs w:val="20"/>
          <w:color w:val="auto"/>
        </w:rPr>
      </w:pPr>
    </w:p>
    <w:p>
      <w:pPr>
        <w:ind w:left="700" w:hanging="433"/>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Free cash flow is defined as net cash provided by (used in) operating activities, less capital expenditures.</w:t>
      </w:r>
    </w:p>
    <w:p>
      <w:pPr>
        <w:spacing w:after="0" w:line="207" w:lineRule="exact"/>
        <w:rPr>
          <w:sz w:val="20"/>
          <w:szCs w:val="20"/>
          <w:color w:val="auto"/>
        </w:rPr>
      </w:pPr>
    </w:p>
    <w:p>
      <w:pPr>
        <w:jc w:val="both"/>
        <w:ind w:left="260" w:right="480" w:firstLine="435"/>
        <w:spacing w:after="0" w:line="250" w:lineRule="auto"/>
        <w:rPr>
          <w:sz w:val="20"/>
          <w:szCs w:val="20"/>
          <w:color w:val="auto"/>
        </w:rPr>
      </w:pPr>
      <w:r>
        <w:rPr>
          <w:rFonts w:ascii="Arial" w:cs="Arial" w:eastAsia="Arial" w:hAnsi="Arial"/>
          <w:sz w:val="18"/>
          <w:szCs w:val="18"/>
          <w:color w:val="auto"/>
        </w:rPr>
        <w:t>Non-GAAP financial measures included in this Proxy Statement are financial measures that are not in accordance with, nor an alternative to, generally accepted accounting principles and may be different from non-GAAP measures used by other companies. In addition, these non-GAAP measures are not based on any comprehensive set of accounting rules or principles.</w:t>
      </w:r>
    </w:p>
    <w:p>
      <w:pPr>
        <w:spacing w:after="0" w:line="168" w:lineRule="exact"/>
        <w:rPr>
          <w:sz w:val="20"/>
          <w:szCs w:val="20"/>
          <w:color w:val="auto"/>
        </w:rPr>
      </w:pPr>
    </w:p>
    <w:p>
      <w:pPr>
        <w:ind w:left="260" w:right="20" w:firstLine="435"/>
        <w:spacing w:after="0" w:line="238" w:lineRule="auto"/>
        <w:rPr>
          <w:sz w:val="20"/>
          <w:szCs w:val="20"/>
          <w:color w:val="auto"/>
        </w:rPr>
      </w:pPr>
      <w:r>
        <w:rPr>
          <w:rFonts w:ascii="Arial" w:cs="Arial" w:eastAsia="Arial" w:hAnsi="Arial"/>
          <w:sz w:val="18"/>
          <w:szCs w:val="18"/>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believes that the presentation of these non-GAAP measures is useful to investors because it provides investors with the operating results that management uses to manage the Company and enables investors and analysts to evaluate the Company’s core business.</w:t>
      </w:r>
    </w:p>
    <w:p>
      <w:pPr>
        <w:spacing w:after="0" w:line="179" w:lineRule="exact"/>
        <w:rPr>
          <w:sz w:val="20"/>
          <w:szCs w:val="20"/>
          <w:color w:val="auto"/>
        </w:rPr>
      </w:pPr>
    </w:p>
    <w:p>
      <w:pPr>
        <w:ind w:left="260" w:right="20" w:firstLine="435"/>
        <w:spacing w:after="0" w:line="238" w:lineRule="auto"/>
        <w:rPr>
          <w:sz w:val="20"/>
          <w:szCs w:val="20"/>
          <w:color w:val="auto"/>
        </w:rPr>
      </w:pPr>
      <w:r>
        <w:rPr>
          <w:rFonts w:ascii="Arial" w:cs="Arial" w:eastAsia="Arial" w:hAnsi="Arial"/>
          <w:sz w:val="18"/>
          <w:szCs w:val="18"/>
          <w:color w:val="auto"/>
        </w:rPr>
        <w:t>Analog Devices believes that non-GAAP measures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when excluding certain items, is not necessarily an indication of the results of operations that may be expected in the future, or that the Company will not, in fact, record such items in future periods. Investors should consider our non-GAAP financial measures in conjunction with the corresponding GAAP measures.</w:t>
      </w:r>
    </w:p>
    <w:p>
      <w:pPr>
        <w:spacing w:after="0" w:line="283" w:lineRule="exact"/>
        <w:rPr>
          <w:sz w:val="20"/>
          <w:szCs w:val="20"/>
          <w:color w:val="auto"/>
        </w:rPr>
      </w:pPr>
    </w:p>
    <w:p>
      <w:pPr>
        <w:ind w:left="260" w:right="320"/>
        <w:spacing w:after="0" w:line="283" w:lineRule="auto"/>
        <w:rPr>
          <w:sz w:val="20"/>
          <w:szCs w:val="20"/>
          <w:color w:val="auto"/>
        </w:rPr>
      </w:pPr>
      <w:r>
        <w:rPr>
          <w:rFonts w:ascii="Arial" w:cs="Arial" w:eastAsia="Arial" w:hAnsi="Arial"/>
          <w:sz w:val="18"/>
          <w:szCs w:val="18"/>
          <w:b w:val="1"/>
          <w:bCs w:val="1"/>
          <w:color w:val="auto"/>
        </w:rPr>
        <w:t>The following item is excluded from our non-GAAP gross margin, non-GAAP operating income, non-GAAP operating margin, and non-GAAP diluted earnings per share:</w:t>
      </w:r>
    </w:p>
    <w:p>
      <w:pPr>
        <w:spacing w:after="0" w:line="21" w:lineRule="exact"/>
        <w:rPr>
          <w:sz w:val="20"/>
          <w:szCs w:val="20"/>
          <w:color w:val="auto"/>
        </w:rPr>
      </w:pPr>
    </w:p>
    <w:p>
      <w:pPr>
        <w:ind w:left="260" w:right="40" w:firstLine="435"/>
        <w:spacing w:after="0" w:line="239" w:lineRule="auto"/>
        <w:rPr>
          <w:sz w:val="20"/>
          <w:szCs w:val="20"/>
          <w:color w:val="auto"/>
        </w:rPr>
      </w:pPr>
      <w:r>
        <w:rPr>
          <w:rFonts w:ascii="Arial" w:cs="Arial" w:eastAsia="Arial" w:hAnsi="Arial"/>
          <w:sz w:val="18"/>
          <w:szCs w:val="18"/>
          <w:i w:val="1"/>
          <w:iCs w:val="1"/>
          <w:color w:val="auto"/>
        </w:rPr>
        <w:t>Acquisition-Related Expenses</w:t>
      </w:r>
      <w:r>
        <w:rPr>
          <w:rFonts w:ascii="Arial" w:cs="Arial" w:eastAsia="Arial" w:hAnsi="Arial"/>
          <w:sz w:val="18"/>
          <w:szCs w:val="18"/>
          <w:color w:val="auto"/>
        </w:rPr>
        <w:t>: Expenses incurred as a result of current and prior period acquisitions and primarily include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 acquisition. We excluded these costs from our non-GAAP measures because they relate to specific transactions and are not reflective of our ongoing financial performance.</w:t>
      </w:r>
    </w:p>
    <w:p>
      <w:pPr>
        <w:spacing w:after="0" w:line="283" w:lineRule="exact"/>
        <w:rPr>
          <w:sz w:val="20"/>
          <w:szCs w:val="20"/>
          <w:color w:val="auto"/>
        </w:rPr>
      </w:pPr>
    </w:p>
    <w:p>
      <w:pPr>
        <w:ind w:left="260" w:right="340"/>
        <w:spacing w:after="0" w:line="283" w:lineRule="auto"/>
        <w:rPr>
          <w:sz w:val="20"/>
          <w:szCs w:val="20"/>
          <w:color w:val="auto"/>
        </w:rPr>
      </w:pPr>
      <w:r>
        <w:rPr>
          <w:rFonts w:ascii="Arial" w:cs="Arial" w:eastAsia="Arial" w:hAnsi="Arial"/>
          <w:sz w:val="18"/>
          <w:szCs w:val="18"/>
          <w:b w:val="1"/>
          <w:bCs w:val="1"/>
          <w:color w:val="auto"/>
        </w:rPr>
        <w:t>The following items are excluded from our non-GAAP operating income, non-GAAP operating margin, and non-GAAP diluted earnings per share:</w:t>
      </w:r>
    </w:p>
    <w:p>
      <w:pPr>
        <w:spacing w:after="0" w:line="21" w:lineRule="exact"/>
        <w:rPr>
          <w:sz w:val="20"/>
          <w:szCs w:val="20"/>
          <w:color w:val="auto"/>
        </w:rPr>
      </w:pPr>
    </w:p>
    <w:p>
      <w:pPr>
        <w:ind w:left="260" w:right="140" w:firstLine="435"/>
        <w:spacing w:after="0" w:line="250" w:lineRule="auto"/>
        <w:rPr>
          <w:sz w:val="20"/>
          <w:szCs w:val="20"/>
          <w:color w:val="auto"/>
        </w:rPr>
      </w:pPr>
      <w:r>
        <w:rPr>
          <w:rFonts w:ascii="Arial" w:cs="Arial" w:eastAsia="Arial" w:hAnsi="Arial"/>
          <w:sz w:val="18"/>
          <w:szCs w:val="18"/>
          <w:i w:val="1"/>
          <w:iCs w:val="1"/>
          <w:color w:val="auto"/>
        </w:rPr>
        <w:t xml:space="preserve">Acquisition-Related Transaction Costs: </w:t>
      </w:r>
      <w:r>
        <w:rPr>
          <w:rFonts w:ascii="Arial" w:cs="Arial" w:eastAsia="Arial" w:hAnsi="Arial"/>
          <w:sz w:val="18"/>
          <w:szCs w:val="18"/>
          <w:color w:val="auto"/>
        </w:rPr>
        <w:t>Costs directly related to the Linear Technology acquisition, including legal, accounting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professional fees, as well as integration-related costs. We excluded these costs from our non-GAAP measures because they relate to a specific transaction and are not reflective of our ongoing financial performance.</w:t>
      </w:r>
    </w:p>
    <w:p>
      <w:pPr>
        <w:spacing w:after="0" w:line="129" w:lineRule="exact"/>
        <w:rPr>
          <w:sz w:val="20"/>
          <w:szCs w:val="20"/>
          <w:color w:val="auto"/>
        </w:rPr>
      </w:pPr>
    </w:p>
    <w:p>
      <w:pPr>
        <w:ind w:left="660" w:hanging="393"/>
        <w:spacing w:after="0"/>
        <w:tabs>
          <w:tab w:leader="none" w:pos="660" w:val="left"/>
        </w:tabs>
        <w:numPr>
          <w:ilvl w:val="0"/>
          <w:numId w:val="126"/>
        </w:numPr>
        <w:rPr>
          <w:rFonts w:ascii="Arial" w:cs="Arial" w:eastAsia="Arial" w:hAnsi="Arial"/>
          <w:sz w:val="18"/>
          <w:szCs w:val="18"/>
          <w:color w:val="999999"/>
        </w:rPr>
      </w:pPr>
      <w:r>
        <w:rPr>
          <w:rFonts w:ascii="Arial" w:cs="Arial" w:eastAsia="Arial" w:hAnsi="Arial"/>
          <w:sz w:val="14"/>
          <w:szCs w:val="14"/>
          <w:b w:val="1"/>
          <w:bCs w:val="1"/>
          <w:color w:val="052B82"/>
        </w:rPr>
        <w:t>Analog Devices, Inc.</w:t>
      </w:r>
    </w:p>
    <w:p>
      <w:pPr>
        <w:sectPr>
          <w:pgSz w:w="11900" w:h="16838" w:orient="portrait"/>
          <w:cols w:equalWidth="0" w:num="1">
            <w:col w:w="11160"/>
          </w:cols>
          <w:pgMar w:left="240" w:top="453" w:right="4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203200</wp:posOffset>
            </wp:positionV>
            <wp:extent cx="2619375" cy="135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19375"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right="140" w:firstLine="435"/>
        <w:spacing w:after="0" w:line="244" w:lineRule="auto"/>
        <w:rPr>
          <w:sz w:val="20"/>
          <w:szCs w:val="20"/>
          <w:color w:val="auto"/>
        </w:rPr>
      </w:pPr>
      <w:r>
        <w:rPr>
          <w:rFonts w:ascii="Arial" w:cs="Arial" w:eastAsia="Arial" w:hAnsi="Arial"/>
          <w:sz w:val="18"/>
          <w:szCs w:val="18"/>
          <w:i w:val="1"/>
          <w:iCs w:val="1"/>
          <w:color w:val="auto"/>
        </w:rPr>
        <w:t xml:space="preserve">Restructuring-Related Expense: </w:t>
      </w:r>
      <w:r>
        <w:rPr>
          <w:rFonts w:ascii="Arial" w:cs="Arial" w:eastAsia="Arial" w:hAnsi="Arial"/>
          <w:sz w:val="18"/>
          <w:szCs w:val="18"/>
          <w:color w:val="auto"/>
        </w:rPr>
        <w:t>These expenses are incurred in connection with facility closures, consolidation of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severance, and other cost reduction efforts. We excluded these expenses from our non-GAAP measures because apart from ongoing expense savings as a result of such items, these expenses and the related tax effects have no direct correlation to the operation of our business in the future.</w:t>
      </w:r>
    </w:p>
    <w:p>
      <w:pPr>
        <w:spacing w:after="0" w:line="173" w:lineRule="exact"/>
        <w:rPr>
          <w:sz w:val="20"/>
          <w:szCs w:val="20"/>
          <w:color w:val="auto"/>
        </w:rPr>
      </w:pPr>
    </w:p>
    <w:p>
      <w:pPr>
        <w:ind w:left="260" w:right="80" w:firstLine="435"/>
        <w:spacing w:after="0" w:line="244" w:lineRule="auto"/>
        <w:rPr>
          <w:sz w:val="20"/>
          <w:szCs w:val="20"/>
          <w:color w:val="auto"/>
        </w:rPr>
      </w:pPr>
      <w:r>
        <w:rPr>
          <w:rFonts w:ascii="Arial" w:cs="Arial" w:eastAsia="Arial" w:hAnsi="Arial"/>
          <w:sz w:val="18"/>
          <w:szCs w:val="18"/>
          <w:i w:val="1"/>
          <w:iCs w:val="1"/>
          <w:color w:val="auto"/>
        </w:rPr>
        <w:t xml:space="preserve">Accelerated Stock-Based Compensation Expense: </w:t>
      </w:r>
      <w:r>
        <w:rPr>
          <w:rFonts w:ascii="Arial" w:cs="Arial" w:eastAsia="Arial" w:hAnsi="Arial"/>
          <w:sz w:val="18"/>
          <w:szCs w:val="18"/>
          <w:color w:val="auto"/>
        </w:rPr>
        <w:t>The Company recorded stock-based compensation expense for one of its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due to the accelerated vesting of restricted stock units and stock options resulting from a reduction in the requisite service period for each in accordance with the terms of the applicable agreements. This stock-based compensation expense and the related tax effect have no direct correlation to the operation of our business in the future.</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following item is excluded from our non-GAAP diluted earnings per share:</w:t>
      </w:r>
    </w:p>
    <w:p>
      <w:pPr>
        <w:spacing w:after="0" w:line="102" w:lineRule="exact"/>
        <w:rPr>
          <w:sz w:val="20"/>
          <w:szCs w:val="20"/>
          <w:color w:val="auto"/>
        </w:rPr>
      </w:pPr>
    </w:p>
    <w:p>
      <w:pPr>
        <w:ind w:left="260" w:right="20" w:firstLine="435"/>
        <w:spacing w:after="0" w:line="256" w:lineRule="auto"/>
        <w:rPr>
          <w:sz w:val="20"/>
          <w:szCs w:val="20"/>
          <w:color w:val="auto"/>
        </w:rPr>
      </w:pPr>
      <w:r>
        <w:rPr>
          <w:rFonts w:ascii="Arial" w:cs="Arial" w:eastAsia="Arial" w:hAnsi="Arial"/>
          <w:sz w:val="17"/>
          <w:szCs w:val="17"/>
          <w:i w:val="1"/>
          <w:iCs w:val="1"/>
          <w:color w:val="auto"/>
        </w:rPr>
        <w:t xml:space="preserve">Tax-Related Items: </w:t>
      </w:r>
      <w:r>
        <w:rPr>
          <w:rFonts w:ascii="Arial" w:cs="Arial" w:eastAsia="Arial" w:hAnsi="Arial"/>
          <w:sz w:val="17"/>
          <w:szCs w:val="17"/>
          <w:color w:val="auto"/>
        </w:rPr>
        <w:t>Tax adjustments associated with the non-GAAP items discussed above. Discrete tax items including tax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or benefit related to prior periods; tax benefits related to the release of a tax reserves for an expired tax years; the release of reserves associated with a favorable ruling on petitions with the U.S. Tax Court; tax expense or benefit from changes to state tax valuation allowances; tax expense associated with the remittance of cash held outside of the United States related to the post-acquisition integration of Linear Technology and tax expense related to the impact of the Tax Cuts and Jobs Act of 2017. We excluded these tax-related items from our non-GAAP measures because they are not associated with the tax expense on our current operating results.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Investors should consider our non-GAAP financial measures in conjunction with the corresponding GAAP measures.</w:t>
      </w:r>
    </w:p>
    <w:p>
      <w:pPr>
        <w:spacing w:after="0" w:line="1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4"/>
          <w:szCs w:val="14"/>
          <w:b w:val="1"/>
          <w:bCs w:val="1"/>
          <w:color w:val="052B82"/>
        </w:rPr>
        <w:t>2019 Proxy Statement</w:t>
      </w:r>
      <w:r>
        <w:rPr>
          <w:sz w:val="20"/>
          <w:szCs w:val="20"/>
          <w:color w:val="auto"/>
        </w:rPr>
        <w:tab/>
      </w:r>
      <w:r>
        <w:rPr>
          <w:rFonts w:ascii="Arial" w:cs="Arial" w:eastAsia="Arial" w:hAnsi="Arial"/>
          <w:sz w:val="17"/>
          <w:szCs w:val="17"/>
          <w:color w:val="999999"/>
        </w:rPr>
        <w:t>79</w:t>
      </w:r>
    </w:p>
    <w:p>
      <w:pPr>
        <w:sectPr>
          <w:pgSz w:w="11900" w:h="16838" w:orient="portrait"/>
          <w:cols w:equalWidth="0" w:num="1">
            <w:col w:w="11160"/>
          </w:cols>
          <w:pgMar w:left="240" w:top="453" w:right="499" w:bottom="1440" w:gutter="0" w:footer="0" w:header="0"/>
        </w:sectPr>
      </w:pPr>
    </w:p>
    <w:bookmarkStart w:id="84" w:name="page85"/>
    <w:bookmarkEnd w:id="8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2321560</wp:posOffset>
            </wp:positionV>
            <wp:extent cx="1483360" cy="1847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83360" cy="1847850"/>
                    </a:xfrm>
                    <a:prstGeom prst="rect">
                      <a:avLst/>
                    </a:prstGeom>
                    <a:noFill/>
                  </pic:spPr>
                </pic:pic>
              </a:graphicData>
            </a:graphic>
          </wp:anchor>
        </w:drawing>
      </w:r>
    </w:p>
    <w:p>
      <w:pPr>
        <w:sectPr>
          <w:pgSz w:w="11900" w:h="16838" w:orient="portrait"/>
          <w:cols w:equalWidth="0" w:num="1">
            <w:col w:w="10219"/>
          </w:cols>
          <w:pgMar w:left="240" w:top="453" w:right="1440"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236855</wp:posOffset>
            </wp:positionV>
            <wp:extent cx="1381760" cy="407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81760" cy="40703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4000" w:type="dxa"/>
            <w:vAlign w:val="bottom"/>
          </w:tcPr>
          <w:p>
            <w:pPr>
              <w:spacing w:after="0"/>
              <w:rPr>
                <w:sz w:val="12"/>
                <w:szCs w:val="12"/>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ELECTRONIC DELIVERY OF FUTURE PROXY MATERIALS</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6480" w:type="dxa"/>
            <w:vAlign w:val="bottom"/>
            <w:gridSpan w:val="3"/>
          </w:tcPr>
          <w:p>
            <w:pPr>
              <w:ind w:left="1160"/>
              <w:spacing w:after="0" w:line="134" w:lineRule="exact"/>
              <w:rPr>
                <w:sz w:val="20"/>
                <w:szCs w:val="20"/>
                <w:color w:val="auto"/>
              </w:rPr>
            </w:pPr>
            <w:r>
              <w:rPr>
                <w:rFonts w:ascii="Times New Roman" w:cs="Times New Roman" w:eastAsia="Times New Roman" w:hAnsi="Times New Roman"/>
                <w:sz w:val="12"/>
                <w:szCs w:val="12"/>
                <w:color w:val="auto"/>
              </w:rPr>
              <w:t>If you would like to reduce the costs incurred by our company in mailing proxy materials, you can consent</w:t>
            </w: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6480" w:type="dxa"/>
            <w:vAlign w:val="bottom"/>
            <w:gridSpan w:val="3"/>
          </w:tcPr>
          <w:p>
            <w:pPr>
              <w:ind w:left="1160"/>
              <w:spacing w:after="0" w:line="132" w:lineRule="exact"/>
              <w:rPr>
                <w:sz w:val="20"/>
                <w:szCs w:val="20"/>
                <w:color w:val="auto"/>
              </w:rPr>
            </w:pPr>
            <w:r>
              <w:rPr>
                <w:rFonts w:ascii="Times New Roman" w:cs="Times New Roman" w:eastAsia="Times New Roman" w:hAnsi="Times New Roman"/>
                <w:sz w:val="12"/>
                <w:szCs w:val="12"/>
                <w:color w:val="auto"/>
              </w:rPr>
              <w:t>to receiving all future proxy statements, proxy cards and annual reports electronically via e-mail or the</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6480" w:type="dxa"/>
            <w:vAlign w:val="bottom"/>
            <w:gridSpan w:val="3"/>
          </w:tcPr>
          <w:p>
            <w:pPr>
              <w:ind w:left="1160"/>
              <w:spacing w:after="0" w:line="134" w:lineRule="exact"/>
              <w:rPr>
                <w:sz w:val="20"/>
                <w:szCs w:val="20"/>
                <w:color w:val="auto"/>
              </w:rPr>
            </w:pPr>
            <w:r>
              <w:rPr>
                <w:rFonts w:ascii="Times New Roman" w:cs="Times New Roman" w:eastAsia="Times New Roman" w:hAnsi="Times New Roman"/>
                <w:sz w:val="12"/>
                <w:szCs w:val="12"/>
                <w:color w:val="auto"/>
              </w:rPr>
              <w:t xml:space="preserve">Internet. </w:t>
            </w:r>
            <w:r>
              <w:rPr>
                <w:rFonts w:ascii="Times New Roman" w:cs="Times New Roman" w:eastAsia="Times New Roman" w:hAnsi="Times New Roman"/>
                <w:sz w:val="12"/>
                <w:szCs w:val="12"/>
                <w:b w:val="1"/>
                <w:bCs w:val="1"/>
                <w:color w:val="auto"/>
              </w:rPr>
              <w:t>To sign up for electronic delivery, please follow the instructions below to vote using the</w:t>
            </w:r>
          </w:p>
        </w:tc>
        <w:tc>
          <w:tcPr>
            <w:tcW w:w="0" w:type="dxa"/>
            <w:vAlign w:val="bottom"/>
          </w:tcPr>
          <w:p>
            <w:pPr>
              <w:spacing w:after="0"/>
              <w:rPr>
                <w:sz w:val="1"/>
                <w:szCs w:val="1"/>
                <w:color w:val="auto"/>
              </w:rPr>
            </w:pPr>
          </w:p>
        </w:tc>
      </w:tr>
      <w:tr>
        <w:trPr>
          <w:trHeight w:val="167"/>
        </w:trPr>
        <w:tc>
          <w:tcPr>
            <w:tcW w:w="40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ANALOG DEVICES, INC.</w:t>
            </w: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Internet and, when prompted, indicate that you agree to receive or access proxy materials</w:t>
            </w:r>
          </w:p>
        </w:tc>
        <w:tc>
          <w:tcPr>
            <w:tcW w:w="0" w:type="dxa"/>
            <w:vAlign w:val="bottom"/>
          </w:tcPr>
          <w:p>
            <w:pPr>
              <w:spacing w:after="0"/>
              <w:rPr>
                <w:sz w:val="1"/>
                <w:szCs w:val="1"/>
                <w:color w:val="auto"/>
              </w:rPr>
            </w:pPr>
          </w:p>
        </w:tc>
      </w:tr>
      <w:tr>
        <w:trPr>
          <w:trHeight w:val="165"/>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P.O. BOX 9106</w:t>
            </w: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electronically in future years.</w:t>
            </w:r>
          </w:p>
        </w:tc>
        <w:tc>
          <w:tcPr>
            <w:tcW w:w="0" w:type="dxa"/>
            <w:vAlign w:val="bottom"/>
          </w:tcPr>
          <w:p>
            <w:pPr>
              <w:spacing w:after="0"/>
              <w:rPr>
                <w:sz w:val="1"/>
                <w:szCs w:val="1"/>
                <w:color w:val="auto"/>
              </w:rPr>
            </w:pPr>
          </w:p>
        </w:tc>
      </w:tr>
      <w:tr>
        <w:trPr>
          <w:trHeight w:val="73"/>
        </w:trPr>
        <w:tc>
          <w:tcPr>
            <w:tcW w:w="4000" w:type="dxa"/>
            <w:vAlign w:val="bottom"/>
            <w:vMerge w:val="continue"/>
          </w:tcPr>
          <w:p>
            <w:pPr>
              <w:spacing w:after="0"/>
              <w:rPr>
                <w:sz w:val="6"/>
                <w:szCs w:val="6"/>
                <w:color w:val="auto"/>
              </w:rPr>
            </w:pPr>
          </w:p>
        </w:tc>
        <w:tc>
          <w:tcPr>
            <w:tcW w:w="25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ATTN: INVESTOR RELATIONS DEPT.</w:t>
            </w: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VOTE BY INTERNET - www.proxyvote.com</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line="147" w:lineRule="exact"/>
              <w:rPr>
                <w:sz w:val="20"/>
                <w:szCs w:val="20"/>
                <w:color w:val="auto"/>
              </w:rPr>
            </w:pPr>
            <w:r>
              <w:rPr>
                <w:rFonts w:ascii="Times New Roman" w:cs="Times New Roman" w:eastAsia="Times New Roman" w:hAnsi="Times New Roman"/>
                <w:sz w:val="16"/>
                <w:szCs w:val="16"/>
                <w:b w:val="1"/>
                <w:bCs w:val="1"/>
                <w:color w:val="auto"/>
              </w:rPr>
              <w:t>ONE TECHNOLOGY WAY</w:t>
            </w:r>
          </w:p>
        </w:tc>
        <w:tc>
          <w:tcPr>
            <w:tcW w:w="2500" w:type="dxa"/>
            <w:vAlign w:val="bottom"/>
            <w:vMerge w:val="restart"/>
          </w:tcPr>
          <w:p>
            <w:pPr>
              <w:ind w:left="1160"/>
              <w:spacing w:after="0"/>
              <w:rPr>
                <w:sz w:val="20"/>
                <w:szCs w:val="20"/>
                <w:color w:val="auto"/>
              </w:rPr>
            </w:pPr>
            <w:r>
              <w:rPr>
                <w:rFonts w:ascii="Times New Roman" w:cs="Times New Roman" w:eastAsia="Times New Roman" w:hAnsi="Times New Roman"/>
                <w:sz w:val="12"/>
                <w:szCs w:val="12"/>
                <w:color w:val="auto"/>
              </w:rPr>
              <w:t>Use the Internet to transmit</w:t>
            </w:r>
          </w:p>
        </w:tc>
        <w:tc>
          <w:tcPr>
            <w:tcW w:w="108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00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39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2"/>
                <w:szCs w:val="12"/>
                <w:color w:val="auto"/>
              </w:rPr>
              <w:t>your voting instructions and for electronic delivery of information up until</w:t>
            </w:r>
          </w:p>
        </w:tc>
        <w:tc>
          <w:tcPr>
            <w:tcW w:w="0" w:type="dxa"/>
            <w:vAlign w:val="bottom"/>
          </w:tcPr>
          <w:p>
            <w:pPr>
              <w:spacing w:after="0"/>
              <w:rPr>
                <w:sz w:val="1"/>
                <w:szCs w:val="1"/>
                <w:color w:val="auto"/>
              </w:rPr>
            </w:pPr>
          </w:p>
        </w:tc>
      </w:tr>
      <w:tr>
        <w:trPr>
          <w:trHeight w:val="115"/>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NORWOOD, MA 02062-9106</w:t>
            </w:r>
          </w:p>
        </w:tc>
        <w:tc>
          <w:tcPr>
            <w:tcW w:w="6480" w:type="dxa"/>
            <w:vAlign w:val="bottom"/>
            <w:gridSpan w:val="3"/>
          </w:tcPr>
          <w:p>
            <w:pPr>
              <w:ind w:left="1160"/>
              <w:spacing w:after="0" w:line="115" w:lineRule="exact"/>
              <w:rPr>
                <w:sz w:val="20"/>
                <w:szCs w:val="20"/>
                <w:color w:val="auto"/>
              </w:rPr>
            </w:pPr>
            <w:r>
              <w:rPr>
                <w:rFonts w:ascii="Times New Roman" w:cs="Times New Roman" w:eastAsia="Times New Roman" w:hAnsi="Times New Roman"/>
                <w:sz w:val="12"/>
                <w:szCs w:val="12"/>
                <w:color w:val="auto"/>
              </w:rPr>
              <w:t>11:59 P.M. Eastern Time on March 12, 2019. Have your proxy card in hand when you access the web site</w:t>
            </w:r>
          </w:p>
        </w:tc>
        <w:tc>
          <w:tcPr>
            <w:tcW w:w="0" w:type="dxa"/>
            <w:vAlign w:val="bottom"/>
          </w:tcPr>
          <w:p>
            <w:pPr>
              <w:spacing w:after="0"/>
              <w:rPr>
                <w:sz w:val="1"/>
                <w:szCs w:val="1"/>
                <w:color w:val="auto"/>
              </w:rPr>
            </w:pPr>
          </w:p>
        </w:tc>
      </w:tr>
      <w:tr>
        <w:trPr>
          <w:trHeight w:val="163"/>
        </w:trPr>
        <w:tc>
          <w:tcPr>
            <w:tcW w:w="4000" w:type="dxa"/>
            <w:vAlign w:val="bottom"/>
            <w:vMerge w:val="continue"/>
          </w:tcPr>
          <w:p>
            <w:pPr>
              <w:spacing w:after="0"/>
              <w:rPr>
                <w:sz w:val="14"/>
                <w:szCs w:val="14"/>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VOTE BY PHONE - 1-800-690-6903</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6480" w:type="dxa"/>
            <w:vAlign w:val="bottom"/>
            <w:gridSpan w:val="3"/>
          </w:tcPr>
          <w:p>
            <w:pPr>
              <w:ind w:left="1160"/>
              <w:spacing w:after="0" w:line="134" w:lineRule="exact"/>
              <w:rPr>
                <w:sz w:val="20"/>
                <w:szCs w:val="20"/>
                <w:color w:val="auto"/>
              </w:rPr>
            </w:pPr>
            <w:r>
              <w:rPr>
                <w:rFonts w:ascii="Times New Roman" w:cs="Times New Roman" w:eastAsia="Times New Roman" w:hAnsi="Times New Roman"/>
                <w:sz w:val="12"/>
                <w:szCs w:val="12"/>
                <w:color w:val="auto"/>
              </w:rPr>
              <w:t>Use any touch-tone telephone to transmit your voting instructions up until 11:59 P.M. Eastern Time on</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March 12, 2019. Have your proxy card in hand when you call and then follow the instructions.</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b w:val="1"/>
                <w:bCs w:val="1"/>
                <w:color w:val="auto"/>
              </w:rPr>
              <w:t>VOTE BY MAIL</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6480" w:type="dxa"/>
            <w:vAlign w:val="bottom"/>
            <w:gridSpan w:val="3"/>
          </w:tcPr>
          <w:p>
            <w:pPr>
              <w:ind w:left="1160"/>
              <w:spacing w:after="0" w:line="134" w:lineRule="exact"/>
              <w:rPr>
                <w:sz w:val="20"/>
                <w:szCs w:val="20"/>
                <w:color w:val="auto"/>
              </w:rPr>
            </w:pPr>
            <w:r>
              <w:rPr>
                <w:rFonts w:ascii="Times New Roman" w:cs="Times New Roman" w:eastAsia="Times New Roman" w:hAnsi="Times New Roman"/>
                <w:sz w:val="12"/>
                <w:szCs w:val="12"/>
                <w:color w:val="auto"/>
              </w:rPr>
              <w:t>Mark, sign and date your proxy card and return it in the postage-paid envelope we have provided or return</w:t>
            </w:r>
          </w:p>
        </w:tc>
        <w:tc>
          <w:tcPr>
            <w:tcW w:w="0" w:type="dxa"/>
            <w:vAlign w:val="bottom"/>
          </w:tcPr>
          <w:p>
            <w:pPr>
              <w:spacing w:after="0"/>
              <w:rPr>
                <w:sz w:val="1"/>
                <w:szCs w:val="1"/>
                <w:color w:val="auto"/>
              </w:rPr>
            </w:pPr>
          </w:p>
        </w:tc>
      </w:tr>
      <w:tr>
        <w:trPr>
          <w:trHeight w:val="163"/>
        </w:trPr>
        <w:tc>
          <w:tcPr>
            <w:tcW w:w="4000" w:type="dxa"/>
            <w:vAlign w:val="bottom"/>
          </w:tcPr>
          <w:p>
            <w:pPr>
              <w:spacing w:after="0"/>
              <w:rPr>
                <w:sz w:val="14"/>
                <w:szCs w:val="14"/>
                <w:color w:val="auto"/>
              </w:rPr>
            </w:pPr>
          </w:p>
        </w:tc>
        <w:tc>
          <w:tcPr>
            <w:tcW w:w="6480" w:type="dxa"/>
            <w:vAlign w:val="bottom"/>
            <w:gridSpan w:val="3"/>
          </w:tcPr>
          <w:p>
            <w:pPr>
              <w:ind w:left="1160"/>
              <w:spacing w:after="0"/>
              <w:rPr>
                <w:sz w:val="20"/>
                <w:szCs w:val="20"/>
                <w:color w:val="auto"/>
              </w:rPr>
            </w:pPr>
            <w:r>
              <w:rPr>
                <w:rFonts w:ascii="Times New Roman" w:cs="Times New Roman" w:eastAsia="Times New Roman" w:hAnsi="Times New Roman"/>
                <w:sz w:val="12"/>
                <w:szCs w:val="12"/>
                <w:color w:val="auto"/>
              </w:rPr>
              <w:t>it to Vote 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8320" w:type="dxa"/>
            <w:vAlign w:val="bottom"/>
          </w:tcPr>
          <w:p>
            <w:pPr>
              <w:spacing w:after="0"/>
              <w:rPr>
                <w:sz w:val="20"/>
                <w:szCs w:val="20"/>
                <w:color w:val="auto"/>
              </w:rPr>
            </w:pPr>
            <w:r>
              <w:rPr>
                <w:rFonts w:ascii="Times New Roman" w:cs="Times New Roman" w:eastAsia="Times New Roman" w:hAnsi="Times New Roman"/>
                <w:sz w:val="12"/>
                <w:szCs w:val="12"/>
                <w:color w:val="auto"/>
              </w:rPr>
              <w:t>TO VOTE, MARK BLOCKS BELOW IN BLUE OR BLACK INK AS FOLLOWS:</w:t>
            </w: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320" w:type="dxa"/>
            <w:vAlign w:val="bottom"/>
          </w:tcPr>
          <w:p>
            <w:pPr>
              <w:ind w:left="6500"/>
              <w:spacing w:after="0" w:line="132" w:lineRule="exact"/>
              <w:rPr>
                <w:sz w:val="20"/>
                <w:szCs w:val="20"/>
                <w:color w:val="auto"/>
              </w:rPr>
            </w:pPr>
            <w:r>
              <w:rPr>
                <w:rFonts w:ascii="Times New Roman" w:cs="Times New Roman" w:eastAsia="Times New Roman" w:hAnsi="Times New Roman"/>
                <w:sz w:val="12"/>
                <w:szCs w:val="12"/>
                <w:color w:val="auto"/>
              </w:rPr>
              <w:t>E54437-P16327</w:t>
            </w:r>
          </w:p>
        </w:tc>
        <w:tc>
          <w:tcPr>
            <w:tcW w:w="25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KEEP THIS PORTION FOR YOUR RECORDS</w:t>
            </w:r>
          </w:p>
        </w:tc>
        <w:tc>
          <w:tcPr>
            <w:tcW w:w="0" w:type="dxa"/>
            <w:vAlign w:val="bottom"/>
          </w:tcPr>
          <w:p>
            <w:pPr>
              <w:spacing w:after="0"/>
              <w:rPr>
                <w:sz w:val="1"/>
                <w:szCs w:val="1"/>
                <w:color w:val="auto"/>
              </w:rPr>
            </w:pPr>
          </w:p>
        </w:tc>
      </w:tr>
      <w:tr>
        <w:trPr>
          <w:trHeight w:val="134"/>
        </w:trPr>
        <w:tc>
          <w:tcPr>
            <w:tcW w:w="8320" w:type="dxa"/>
            <w:vAlign w:val="bottom"/>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 — — — — — — — — — — — — — — — — — — — — — — — — — — — — — — — — — — — — — — — — — — — — — — — — — — — —</w:t>
            </w: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 — — — — — — — — — — — — — — —</w:t>
            </w: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DETACH AND RETURN THIS PORTION ONLY</w:t>
            </w:r>
          </w:p>
        </w:tc>
        <w:tc>
          <w:tcPr>
            <w:tcW w:w="0" w:type="dxa"/>
            <w:vAlign w:val="bottom"/>
          </w:tcPr>
          <w:p>
            <w:pPr>
              <w:spacing w:after="0"/>
              <w:rPr>
                <w:sz w:val="1"/>
                <w:szCs w:val="1"/>
                <w:color w:val="auto"/>
              </w:rPr>
            </w:pPr>
          </w:p>
        </w:tc>
      </w:tr>
      <w:tr>
        <w:trPr>
          <w:trHeight w:val="116"/>
        </w:trPr>
        <w:tc>
          <w:tcPr>
            <w:tcW w:w="832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67310</wp:posOffset>
            </wp:positionV>
            <wp:extent cx="6925945" cy="4476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5945" cy="4476115"/>
                    </a:xfrm>
                    <a:prstGeom prst="rect">
                      <a:avLst/>
                    </a:prstGeom>
                    <a:noFill/>
                  </pic:spPr>
                </pic:pic>
              </a:graphicData>
            </a:graphic>
          </wp:anchor>
        </w:drawing>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ANALOG DEVICES, INC.</w:t>
      </w:r>
    </w:p>
    <w:p>
      <w:pPr>
        <w:spacing w:after="0" w:line="89" w:lineRule="exact"/>
        <w:rPr>
          <w:sz w:val="20"/>
          <w:szCs w:val="20"/>
          <w:color w:val="auto"/>
        </w:rPr>
      </w:pPr>
    </w:p>
    <w:p>
      <w:pPr>
        <w:ind w:left="540" w:right="2640"/>
        <w:spacing w:after="0" w:line="255" w:lineRule="auto"/>
        <w:rPr>
          <w:sz w:val="20"/>
          <w:szCs w:val="20"/>
          <w:color w:val="auto"/>
        </w:rPr>
      </w:pPr>
      <w:r>
        <w:rPr>
          <w:rFonts w:ascii="Times New Roman" w:cs="Times New Roman" w:eastAsia="Times New Roman" w:hAnsi="Times New Roman"/>
          <w:sz w:val="12"/>
          <w:szCs w:val="12"/>
          <w:color w:val="auto"/>
        </w:rPr>
        <w:t xml:space="preserve">The shares represented by this proxy when properly executed will be voted in the manner directed by the undersigned shareholder. </w:t>
      </w:r>
      <w:r>
        <w:rPr>
          <w:rFonts w:ascii="Times New Roman" w:cs="Times New Roman" w:eastAsia="Times New Roman" w:hAnsi="Times New Roman"/>
          <w:sz w:val="12"/>
          <w:szCs w:val="12"/>
          <w:b w:val="1"/>
          <w:bCs w:val="1"/>
          <w:color w:val="auto"/>
        </w:rPr>
        <w:t>If no direction is made, this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proxy will be voted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the election of each Director Nominee,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Proposals 2 and 3 and </w:t>
      </w:r>
      <w:r>
        <w:rPr>
          <w:rFonts w:ascii="Times New Roman" w:cs="Times New Roman" w:eastAsia="Times New Roman" w:hAnsi="Times New Roman"/>
          <w:sz w:val="12"/>
          <w:szCs w:val="12"/>
          <w:b w:val="1"/>
          <w:bCs w:val="1"/>
          <w:u w:val="single" w:color="auto"/>
          <w:color w:val="auto"/>
        </w:rPr>
        <w:t>AGAINST</w:t>
      </w:r>
      <w:r>
        <w:rPr>
          <w:rFonts w:ascii="Times New Roman" w:cs="Times New Roman" w:eastAsia="Times New Roman" w:hAnsi="Times New Roman"/>
          <w:sz w:val="12"/>
          <w:szCs w:val="12"/>
          <w:b w:val="1"/>
          <w:bCs w:val="1"/>
          <w:color w:val="auto"/>
        </w:rPr>
        <w:t xml:space="preserve"> Proposal 4. The Board of Directors recommends you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each of the Director Nominees:</w:t>
      </w:r>
    </w:p>
    <w:p>
      <w:pPr>
        <w:spacing w:after="0" w:line="29" w:lineRule="exact"/>
        <w:rPr>
          <w:sz w:val="20"/>
          <w:szCs w:val="20"/>
          <w:color w:val="auto"/>
        </w:rPr>
      </w:pPr>
    </w:p>
    <w:p>
      <w:pPr>
        <w:ind w:left="800" w:right="5900" w:hanging="257"/>
        <w:spacing w:after="0" w:line="275" w:lineRule="auto"/>
        <w:tabs>
          <w:tab w:leader="none" w:pos="80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to Analog Devices’ Board of Directors of the eleven nominees named in our Proxy Statement.</w:t>
      </w:r>
    </w:p>
    <w:p>
      <w:pPr>
        <w:sectPr>
          <w:pgSz w:w="11900" w:h="16838" w:orient="portrait"/>
          <w:cols w:equalWidth="0" w:num="1">
            <w:col w:w="11160"/>
          </w:cols>
          <w:pgMar w:left="240" w:top="453" w:right="499" w:bottom="1440" w:gutter="0" w:footer="0" w:header="0"/>
        </w:sectPr>
      </w:pPr>
    </w:p>
    <w:p>
      <w:pPr>
        <w:spacing w:after="0" w:line="69" w:lineRule="exact"/>
        <w:rPr>
          <w:sz w:val="20"/>
          <w:szCs w:val="20"/>
          <w:color w:val="auto"/>
        </w:rPr>
      </w:pPr>
    </w:p>
    <w:tbl>
      <w:tblPr>
        <w:tblLayout w:type="fixed"/>
        <w:tblInd w:w="820" w:type="dxa"/>
        <w:tblCellMar>
          <w:top w:w="0" w:type="dxa"/>
          <w:left w:w="0" w:type="dxa"/>
          <w:bottom w:w="0" w:type="dxa"/>
          <w:right w:w="0" w:type="dxa"/>
        </w:tblCellMar>
      </w:tblPr>
      <w:tr>
        <w:trPr>
          <w:trHeight w:val="165"/>
        </w:trPr>
        <w:tc>
          <w:tcPr>
            <w:tcW w:w="2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Nominees:</w:t>
            </w:r>
          </w:p>
        </w:tc>
        <w:tc>
          <w:tcPr>
            <w:tcW w:w="1140" w:type="dxa"/>
            <w:vAlign w:val="bottom"/>
          </w:tcPr>
          <w:p>
            <w:pPr>
              <w:jc w:val="center"/>
              <w:ind w:left="718"/>
              <w:spacing w:after="0"/>
              <w:rPr>
                <w:sz w:val="20"/>
                <w:szCs w:val="20"/>
                <w:color w:val="auto"/>
              </w:rPr>
            </w:pPr>
            <w:r>
              <w:rPr>
                <w:rFonts w:ascii="Times New Roman" w:cs="Times New Roman" w:eastAsia="Times New Roman" w:hAnsi="Times New Roman"/>
                <w:sz w:val="12"/>
                <w:szCs w:val="12"/>
                <w:b w:val="1"/>
                <w:bCs w:val="1"/>
                <w:color w:val="auto"/>
              </w:rPr>
              <w:t>For</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520" w:type="dxa"/>
            <w:vAlign w:val="bottom"/>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Abstain</w:t>
            </w:r>
          </w:p>
        </w:tc>
      </w:tr>
      <w:tr>
        <w:trPr>
          <w:trHeight w:val="372"/>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1a.</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Ray Stata</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1b.</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Vincent Roche</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1c.</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James A. Champy</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1d.</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Anantha P. Chandrakasan</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1e.</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Bruce R. Evans</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1f.</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Edward H. Frank</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1g.</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Karen M. Golz</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1h.</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Mark M. Little</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1i.</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Neil Novich</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1j.</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Kenton J. Sicchitano</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36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1k.</w:t>
            </w:r>
          </w:p>
        </w:tc>
        <w:tc>
          <w:tcPr>
            <w:tcW w:w="2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Lisa T. Su</w:t>
            </w:r>
          </w:p>
        </w:tc>
        <w:tc>
          <w:tcPr>
            <w:tcW w:w="1140" w:type="dxa"/>
            <w:vAlign w:val="bottom"/>
          </w:tcPr>
          <w:p>
            <w:pPr>
              <w:jc w:val="center"/>
              <w:ind w:left="7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recommends you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Proposals 2 and 3:</w:t>
      </w:r>
    </w:p>
    <w:p>
      <w:pPr>
        <w:spacing w:after="0" w:line="104" w:lineRule="exact"/>
        <w:rPr>
          <w:sz w:val="20"/>
          <w:szCs w:val="20"/>
          <w:color w:val="auto"/>
        </w:rPr>
      </w:pPr>
    </w:p>
    <w:p>
      <w:pPr>
        <w:ind w:left="200" w:hanging="196"/>
        <w:spacing w:after="0" w:line="275" w:lineRule="auto"/>
        <w:tabs>
          <w:tab w:leader="none" w:pos="20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Advisory resolution to approve the compensation of our named executive officers.</w:t>
      </w:r>
    </w:p>
    <w:p>
      <w:pPr>
        <w:spacing w:after="0" w:line="57" w:lineRule="exact"/>
        <w:rPr>
          <w:rFonts w:ascii="Times New Roman" w:cs="Times New Roman" w:eastAsia="Times New Roman" w:hAnsi="Times New Roman"/>
          <w:sz w:val="12"/>
          <w:szCs w:val="12"/>
          <w:color w:val="auto"/>
        </w:rPr>
      </w:pPr>
    </w:p>
    <w:p>
      <w:pPr>
        <w:ind w:left="200" w:right="60" w:hanging="196"/>
        <w:spacing w:after="0" w:line="275" w:lineRule="auto"/>
        <w:tabs>
          <w:tab w:leader="none" w:pos="20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Ratification of Ernst &amp; Young LLP as our independent registered public accounting firm for fiscal 2019.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recommends you vote </w:t>
      </w:r>
      <w:r>
        <w:rPr>
          <w:rFonts w:ascii="Times New Roman" w:cs="Times New Roman" w:eastAsia="Times New Roman" w:hAnsi="Times New Roman"/>
          <w:sz w:val="12"/>
          <w:szCs w:val="12"/>
          <w:b w:val="1"/>
          <w:bCs w:val="1"/>
          <w:u w:val="single" w:color="auto"/>
          <w:color w:val="auto"/>
        </w:rPr>
        <w:t>AGAINST</w:t>
      </w:r>
      <w:r>
        <w:rPr>
          <w:rFonts w:ascii="Times New Roman" w:cs="Times New Roman" w:eastAsia="Times New Roman" w:hAnsi="Times New Roman"/>
          <w:sz w:val="12"/>
          <w:szCs w:val="12"/>
          <w:b w:val="1"/>
          <w:bCs w:val="1"/>
          <w:color w:val="auto"/>
        </w:rPr>
        <w:t xml:space="preserve"> Proposal 4:</w:t>
      </w:r>
    </w:p>
    <w:p>
      <w:pPr>
        <w:spacing w:after="0" w:line="25"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color w:val="auto"/>
        </w:rPr>
        <w:t>4.</w:t>
        <w:tab/>
        <w:t>Shareholder proposal relating to a diversity report.</w:t>
      </w:r>
    </w:p>
    <w:p>
      <w:pPr>
        <w:spacing w:after="0" w:line="206"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To transact such other business as may properly come before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meeting and at any adjournments or postponement at the meeting.</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Against Abstain</w:t>
      </w:r>
    </w:p>
    <w:p>
      <w:pPr>
        <w:spacing w:after="0" w:line="99" w:lineRule="exact"/>
        <w:rPr>
          <w:sz w:val="20"/>
          <w:szCs w:val="20"/>
          <w:color w:val="auto"/>
        </w:rPr>
      </w:pPr>
    </w:p>
    <w:p>
      <w:pPr>
        <w:ind w:left="40"/>
        <w:spacing w:after="0" w:line="121" w:lineRule="exact"/>
        <w:tabs>
          <w:tab w:leader="none" w:pos="360" w:val="left"/>
          <w:tab w:leader="none" w:pos="840" w:val="left"/>
        </w:tabs>
        <w:rPr>
          <w:sz w:val="20"/>
          <w:szCs w:val="20"/>
          <w:color w:val="auto"/>
        </w:rPr>
      </w:pPr>
      <w:r>
        <w:rPr>
          <w:rFonts w:ascii="MS PGothic" w:cs="MS PGothic" w:eastAsia="MS PGothic" w:hAnsi="MS PGothic"/>
          <w:sz w:val="12"/>
          <w:szCs w:val="12"/>
          <w:color w:val="auto"/>
        </w:rPr>
        <w:t>☐</w:t>
        <w:tab/>
        <w:t>☐</w:t>
      </w:r>
      <w:r>
        <w:rPr>
          <w:sz w:val="20"/>
          <w:szCs w:val="20"/>
          <w:color w:val="auto"/>
        </w:rPr>
        <w:tab/>
      </w:r>
      <w:r>
        <w:rPr>
          <w:rFonts w:ascii="MS PGothic" w:cs="MS PGothic" w:eastAsia="MS PGothic" w:hAnsi="MS PGothic"/>
          <w:sz w:val="12"/>
          <w:szCs w:val="12"/>
          <w:color w:val="auto"/>
        </w:rPr>
        <w:t>☐</w:t>
      </w:r>
    </w:p>
    <w:p>
      <w:pPr>
        <w:spacing w:after="0" w:line="254" w:lineRule="exact"/>
        <w:rPr>
          <w:sz w:val="20"/>
          <w:szCs w:val="20"/>
          <w:color w:val="auto"/>
        </w:rPr>
      </w:pPr>
    </w:p>
    <w:p>
      <w:pPr>
        <w:ind w:left="40"/>
        <w:spacing w:after="0" w:line="121" w:lineRule="exact"/>
        <w:tabs>
          <w:tab w:leader="none" w:pos="360" w:val="left"/>
          <w:tab w:leader="none" w:pos="840" w:val="left"/>
        </w:tabs>
        <w:rPr>
          <w:sz w:val="20"/>
          <w:szCs w:val="20"/>
          <w:color w:val="auto"/>
        </w:rPr>
      </w:pPr>
      <w:r>
        <w:rPr>
          <w:rFonts w:ascii="MS PGothic" w:cs="MS PGothic" w:eastAsia="MS PGothic" w:hAnsi="MS PGothic"/>
          <w:sz w:val="12"/>
          <w:szCs w:val="12"/>
          <w:color w:val="auto"/>
        </w:rPr>
        <w:t>☐</w:t>
        <w:tab/>
        <w:t>☐</w:t>
      </w:r>
      <w:r>
        <w:rPr>
          <w:sz w:val="20"/>
          <w:szCs w:val="20"/>
          <w:color w:val="auto"/>
        </w:rPr>
        <w:tab/>
      </w:r>
      <w:r>
        <w:rPr>
          <w:rFonts w:ascii="MS PGothic" w:cs="MS PGothic" w:eastAsia="MS PGothic" w:hAnsi="MS PGothic"/>
          <w:sz w:val="12"/>
          <w:szCs w:val="12"/>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Against Abstain</w:t>
      </w:r>
    </w:p>
    <w:p>
      <w:pPr>
        <w:spacing w:after="0" w:line="20" w:lineRule="exact"/>
        <w:rPr>
          <w:sz w:val="20"/>
          <w:szCs w:val="20"/>
          <w:color w:val="auto"/>
        </w:rPr>
      </w:pPr>
    </w:p>
    <w:p>
      <w:pPr>
        <w:ind w:left="40"/>
        <w:spacing w:after="0" w:line="121" w:lineRule="exact"/>
        <w:tabs>
          <w:tab w:leader="none" w:pos="360" w:val="left"/>
          <w:tab w:leader="none" w:pos="840" w:val="left"/>
        </w:tabs>
        <w:rPr>
          <w:sz w:val="20"/>
          <w:szCs w:val="20"/>
          <w:color w:val="auto"/>
        </w:rPr>
      </w:pPr>
      <w:r>
        <w:rPr>
          <w:rFonts w:ascii="MS PGothic" w:cs="MS PGothic" w:eastAsia="MS PGothic" w:hAnsi="MS PGothic"/>
          <w:sz w:val="12"/>
          <w:szCs w:val="12"/>
          <w:color w:val="auto"/>
        </w:rPr>
        <w:t>☐</w:t>
        <w:tab/>
        <w:t>☐</w:t>
      </w:r>
      <w:r>
        <w:rPr>
          <w:sz w:val="20"/>
          <w:szCs w:val="20"/>
          <w:color w:val="auto"/>
        </w:rPr>
        <w:tab/>
      </w:r>
      <w:r>
        <w:rPr>
          <w:rFonts w:ascii="MS PGothic" w:cs="MS PGothic" w:eastAsia="MS PGothic" w:hAnsi="MS PGothic"/>
          <w:sz w:val="12"/>
          <w:szCs w:val="12"/>
          <w:color w:val="auto"/>
        </w:rPr>
        <w:t>☐</w:t>
      </w:r>
    </w:p>
    <w:p>
      <w:pPr>
        <w:spacing w:after="0" w:line="3102" w:lineRule="exact"/>
        <w:rPr>
          <w:sz w:val="20"/>
          <w:szCs w:val="20"/>
          <w:color w:val="auto"/>
        </w:rPr>
      </w:pPr>
    </w:p>
    <w:p>
      <w:pPr>
        <w:sectPr>
          <w:pgSz w:w="11900" w:h="16838" w:orient="portrait"/>
          <w:cols w:equalWidth="0" w:num="3">
            <w:col w:w="5480" w:space="340"/>
            <w:col w:w="3860" w:space="160"/>
            <w:col w:w="1320"/>
          </w:cols>
          <w:pgMar w:left="240" w:top="453" w:right="499" w:bottom="1440" w:gutter="0" w:footer="0" w:header="0"/>
          <w:type w:val="continuous"/>
        </w:sectPr>
      </w:pPr>
    </w:p>
    <w:p>
      <w:pPr>
        <w:spacing w:after="0" w:line="399" w:lineRule="exact"/>
        <w:rPr>
          <w:sz w:val="20"/>
          <w:szCs w:val="20"/>
          <w:color w:val="auto"/>
        </w:rPr>
      </w:pPr>
    </w:p>
    <w:p>
      <w:pPr>
        <w:ind w:left="560" w:right="2000"/>
        <w:spacing w:after="0" w:line="275" w:lineRule="auto"/>
        <w:rPr>
          <w:sz w:val="20"/>
          <w:szCs w:val="20"/>
          <w:color w:val="auto"/>
        </w:rPr>
      </w:pPr>
      <w:r>
        <w:rPr>
          <w:rFonts w:ascii="Times New Roman" w:cs="Times New Roman" w:eastAsia="Times New Roman" w:hAnsi="Times New Roman"/>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
        <w:spacing w:after="0"/>
        <w:tabs>
          <w:tab w:leader="none" w:pos="3540" w:val="left"/>
          <w:tab w:leader="none" w:pos="5740" w:val="left"/>
          <w:tab w:leader="none" w:pos="8780" w:val="left"/>
        </w:tabs>
        <w:rPr>
          <w:sz w:val="20"/>
          <w:szCs w:val="20"/>
          <w:color w:val="auto"/>
        </w:rPr>
      </w:pPr>
      <w:r>
        <w:rPr>
          <w:rFonts w:ascii="Times New Roman" w:cs="Times New Roman" w:eastAsia="Times New Roman" w:hAnsi="Times New Roman"/>
          <w:sz w:val="12"/>
          <w:szCs w:val="12"/>
          <w:color w:val="auto"/>
        </w:rPr>
        <w:t>Signature [PLEASE SIGN WITHIN BOX]</w:t>
      </w:r>
      <w:r>
        <w:rPr>
          <w:sz w:val="20"/>
          <w:szCs w:val="20"/>
          <w:color w:val="auto"/>
        </w:rPr>
        <w:tab/>
      </w: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Signature (Joint Owners)</w:t>
      </w:r>
      <w:r>
        <w:rPr>
          <w:sz w:val="20"/>
          <w:szCs w:val="20"/>
          <w:color w:val="auto"/>
        </w:rPr>
        <w:tab/>
      </w:r>
      <w:r>
        <w:rPr>
          <w:rFonts w:ascii="Times New Roman" w:cs="Times New Roman" w:eastAsia="Times New Roman" w:hAnsi="Times New Roman"/>
          <w:sz w:val="11"/>
          <w:szCs w:val="11"/>
          <w:color w:val="auto"/>
        </w:rPr>
        <w:t>Date</w:t>
      </w:r>
    </w:p>
    <w:p>
      <w:pPr>
        <w:sectPr>
          <w:pgSz w:w="11900" w:h="16838" w:orient="portrait"/>
          <w:cols w:equalWidth="0" w:num="1">
            <w:col w:w="11160"/>
          </w:cols>
          <w:pgMar w:left="240" w:top="453" w:right="49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904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right="3360"/>
        <w:spacing w:after="0" w:line="258" w:lineRule="auto"/>
        <w:rPr>
          <w:sz w:val="20"/>
          <w:szCs w:val="20"/>
          <w:color w:val="auto"/>
        </w:rPr>
      </w:pPr>
      <w:r>
        <w:rPr>
          <w:rFonts w:ascii="Times New Roman" w:cs="Times New Roman" w:eastAsia="Times New Roman" w:hAnsi="Times New Roman"/>
          <w:sz w:val="18"/>
          <w:szCs w:val="18"/>
          <w:b w:val="1"/>
          <w:bCs w:val="1"/>
          <w:color w:val="auto"/>
        </w:rPr>
        <w:t>— — — — — — — — — — — — — — — — — — — — — — — — — — — — — — — — — — — — — — — — — — — — — — — — —</w:t>
      </w:r>
    </w:p>
    <w:p>
      <w:pPr>
        <w:ind w:left="10100"/>
        <w:spacing w:after="0"/>
        <w:rPr>
          <w:sz w:val="20"/>
          <w:szCs w:val="20"/>
          <w:color w:val="auto"/>
        </w:rPr>
      </w:pPr>
      <w:r>
        <w:rPr>
          <w:rFonts w:ascii="Times New Roman" w:cs="Times New Roman" w:eastAsia="Times New Roman" w:hAnsi="Times New Roman"/>
          <w:sz w:val="12"/>
          <w:szCs w:val="12"/>
          <w:color w:val="auto"/>
        </w:rPr>
        <w:t>E54438-P16327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20955</wp:posOffset>
            </wp:positionV>
            <wp:extent cx="6925945" cy="39331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25945" cy="393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Annual Meeting of Shareholders - March 13, 2019 9:00 AM</w:t>
      </w: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64" w:lineRule="exact"/>
        <w:rPr>
          <w:sz w:val="20"/>
          <w:szCs w:val="20"/>
          <w:color w:val="auto"/>
        </w:rPr>
      </w:pPr>
    </w:p>
    <w:p>
      <w:pPr>
        <w:ind w:left="480"/>
        <w:spacing w:after="0" w:line="255" w:lineRule="auto"/>
        <w:rPr>
          <w:sz w:val="20"/>
          <w:szCs w:val="20"/>
          <w:color w:val="auto"/>
        </w:rPr>
      </w:pPr>
      <w:r>
        <w:rPr>
          <w:rFonts w:ascii="Times New Roman" w:cs="Times New Roman" w:eastAsia="Times New Roman" w:hAnsi="Times New Roman"/>
          <w:sz w:val="18"/>
          <w:szCs w:val="18"/>
          <w:color w:val="auto"/>
        </w:rPr>
        <w:t>The undersigned revokes all previous proxies and hereby appoints Ray Stata, Vincent Roche and Margaret K. Seif,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13, 2019, at Analog Devices, Inc., 125 Summer St., Boston, MA 02110, and any adjournment, postponement, continuation or rescheduling thereof.</w:t>
      </w:r>
    </w:p>
    <w:p>
      <w:pPr>
        <w:spacing w:after="0" w:line="222" w:lineRule="exact"/>
        <w:rPr>
          <w:sz w:val="20"/>
          <w:szCs w:val="20"/>
          <w:color w:val="auto"/>
        </w:rPr>
      </w:pPr>
    </w:p>
    <w:p>
      <w:pPr>
        <w:ind w:left="480" w:right="440"/>
        <w:spacing w:after="0" w:line="277" w:lineRule="auto"/>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 or any adjournment, postponement, continuation or rescheduling thereof.</w:t>
      </w:r>
    </w:p>
    <w:p>
      <w:pPr>
        <w:spacing w:after="0" w:line="203" w:lineRule="exact"/>
        <w:rPr>
          <w:sz w:val="20"/>
          <w:szCs w:val="20"/>
          <w:color w:val="auto"/>
        </w:rPr>
      </w:pPr>
    </w:p>
    <w:p>
      <w:pPr>
        <w:ind w:left="480" w:right="220"/>
        <w:spacing w:after="0" w:line="277" w:lineRule="auto"/>
        <w:rPr>
          <w:sz w:val="20"/>
          <w:szCs w:val="20"/>
          <w:color w:val="auto"/>
        </w:rPr>
      </w:pPr>
      <w:r>
        <w:rPr>
          <w:rFonts w:ascii="Times New Roman" w:cs="Times New Roman" w:eastAsia="Times New Roman" w:hAnsi="Times New Roman"/>
          <w:sz w:val="18"/>
          <w:szCs w:val="18"/>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Unless voting the shares over the Internet or by telephone, please fill in, date, sign and mail this proxy card promptly using the enclosed envelope.</w:t>
      </w:r>
    </w:p>
    <w:p>
      <w:pPr>
        <w:spacing w:after="0" w:line="38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sectPr>
      <w:pgSz w:w="11900" w:h="16838" w:orient="portrait"/>
      <w:cols w:equalWidth="0" w:num="1">
        <w:col w:w="10960"/>
      </w:cols>
      <w:pgMar w:left="240" w:top="453"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lvl w:ilvl="1">
      <w:lvlJc w:val="left"/>
      <w:lvlText w:val="(%2)"/>
      <w:numFmt w:val="decimal"/>
      <w:start w:val="1"/>
    </w:lvl>
  </w:abstractNum>
  <w:abstractNum w:abstractNumId="3">
    <w:nsid w:val="1DBABF00"/>
    <w:multiLevelType w:val="hybridMultilevel"/>
    <w:lvl w:ilvl="0">
      <w:lvlJc w:val="left"/>
      <w:lvlText w:val="%1."/>
      <w:numFmt w:val="decimal"/>
      <w:start w:val="1"/>
    </w:lvl>
  </w:abstractNum>
  <w:abstractNum w:abstractNumId="4">
    <w:nsid w:val="4AD084E9"/>
    <w:multiLevelType w:val="hybridMultilevel"/>
    <w:lvl w:ilvl="0">
      <w:lvlJc w:val="left"/>
      <w:lvlText w:val="%1."/>
      <w:numFmt w:val="decimal"/>
      <w:start w:val="1"/>
    </w:lvl>
  </w:abstractNum>
  <w:abstractNum w:abstractNumId="5">
    <w:nsid w:val="1F48EAA1"/>
    <w:multiLevelType w:val="hybridMultilevel"/>
    <w:lvl w:ilvl="0">
      <w:lvlJc w:val="left"/>
      <w:lvlText w:val="%1."/>
      <w:numFmt w:val="decimal"/>
      <w:start w:val="1"/>
    </w:lvl>
    <w:lvl w:ilvl="1">
      <w:lvlJc w:val="left"/>
      <w:lvlText w:val="%2."/>
      <w:numFmt w:val="decimal"/>
      <w:start w:val="2"/>
    </w:lvl>
  </w:abstractNum>
  <w:abstractNum w:abstractNumId="6">
    <w:nsid w:val="1381823A"/>
    <w:multiLevelType w:val="hybridMultilevel"/>
    <w:lvl w:ilvl="0">
      <w:lvlJc w:val="left"/>
      <w:lvlText w:val="%1"/>
      <w:numFmt w:val="decimal"/>
      <w:start w:val="1"/>
    </w:lvl>
    <w:lvl w:ilvl="1">
      <w:lvlJc w:val="left"/>
      <w:lvlText w:val="%2."/>
      <w:numFmt w:val="decimal"/>
      <w:start w:val="3"/>
    </w:lvl>
  </w:abstractNum>
  <w:abstractNum w:abstractNumId="7">
    <w:nsid w:val="5DB70AE5"/>
    <w:multiLevelType w:val="hybridMultilevel"/>
    <w:lvl w:ilvl="0">
      <w:lvlJc w:val="left"/>
      <w:lvlText w:val="%1."/>
      <w:numFmt w:val="decimal"/>
      <w:start w:val="4"/>
    </w:lvl>
    <w:lvl w:ilvl="1">
      <w:lvlJc w:val="left"/>
      <w:lvlText w:val="%2"/>
      <w:numFmt w:val="decimal"/>
      <w:start w:val="1"/>
    </w:lvl>
  </w:abstractNum>
  <w:abstractNum w:abstractNumId="8">
    <w:nsid w:val="100F8FCA"/>
    <w:multiLevelType w:val="hybridMultilevel"/>
    <w:lvl w:ilvl="0">
      <w:lvlJc w:val="left"/>
      <w:lvlText w:val="2"/>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1"/>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Ò"/>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Ò"/>
      <w:numFmt w:val="bullet"/>
      <w:start w:val="1"/>
    </w:lvl>
  </w:abstractNum>
  <w:abstractNum w:abstractNumId="15">
    <w:nsid w:val="42C296BD"/>
    <w:multiLevelType w:val="hybridMultilevel"/>
    <w:lvl w:ilvl="0">
      <w:lvlJc w:val="left"/>
      <w:lvlText w:val="4"/>
      <w:numFmt w:val="bullet"/>
      <w:start w:val="1"/>
    </w:lvl>
  </w:abstractNum>
  <w:abstractNum w:abstractNumId="16">
    <w:nsid w:val="168E121F"/>
    <w:multiLevelType w:val="hybridMultilevel"/>
    <w:lvl w:ilvl="0">
      <w:lvlJc w:val="left"/>
      <w:lvlText w:val="8"/>
      <w:numFmt w:val="bullet"/>
      <w:start w:val="1"/>
    </w:lvl>
  </w:abstractNum>
  <w:abstractNum w:abstractNumId="17">
    <w:nsid w:val="1EBA5D23"/>
    <w:multiLevelType w:val="hybridMultilevel"/>
    <w:lvl w:ilvl="0">
      <w:lvlJc w:val="left"/>
      <w:lvlText w:val="%1:"/>
      <w:numFmt w:val="upperLetter"/>
      <w:start w:val="1"/>
    </w:lvl>
    <w:lvl w:ilvl="1">
      <w:lvlJc w:val="left"/>
      <w:lvlText w:val="%2."/>
      <w:numFmt w:val="decimal"/>
      <w:start w:val="1"/>
    </w:lvl>
  </w:abstractNum>
  <w:abstractNum w:abstractNumId="18">
    <w:nsid w:val="661E3F1E"/>
    <w:multiLevelType w:val="hybridMultilevel"/>
    <w:lvl w:ilvl="0">
      <w:lvlJc w:val="left"/>
      <w:lvlText w:val="%1:"/>
      <w:numFmt w:val="upperLetter"/>
      <w:start w:val="1"/>
    </w:lvl>
  </w:abstractNum>
  <w:abstractNum w:abstractNumId="19">
    <w:nsid w:val="5DC79EA8"/>
    <w:multiLevelType w:val="hybridMultilevel"/>
    <w:lvl w:ilvl="0">
      <w:lvlJc w:val="left"/>
      <w:lvlText w:val="%1:"/>
      <w:numFmt w:val="upperLetter"/>
      <w:start w:val="1"/>
    </w:lvl>
  </w:abstractNum>
  <w:abstractNum w:abstractNumId="20">
    <w:nsid w:val="540A471C"/>
    <w:multiLevelType w:val="hybridMultilevel"/>
    <w:lvl w:ilvl="0">
      <w:lvlJc w:val="left"/>
      <w:lvlText w:val="%1:"/>
      <w:numFmt w:val="upperLetter"/>
      <w:start w:val="1"/>
    </w:lvl>
  </w:abstractNum>
  <w:abstractNum w:abstractNumId="21">
    <w:nsid w:val="7BD3EE7B"/>
    <w:multiLevelType w:val="hybridMultilevel"/>
    <w:lvl w:ilvl="0">
      <w:lvlJc w:val="left"/>
      <w:lvlText w:val="%1:"/>
      <w:numFmt w:val="upperLetter"/>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1:"/>
      <w:numFmt w:val="upperLetter"/>
      <w:start w:val="1"/>
    </w:lvl>
  </w:abstractNum>
  <w:abstractNum w:abstractNumId="24">
    <w:nsid w:val="BF72B14"/>
    <w:multiLevelType w:val="hybridMultilevel"/>
    <w:lvl w:ilvl="0">
      <w:lvlJc w:val="left"/>
      <w:lvlText w:val="%1"/>
      <w:numFmt w:val="decimal"/>
      <w:start w:val="10"/>
    </w:lvl>
  </w:abstractNum>
  <w:abstractNum w:abstractNumId="25">
    <w:nsid w:val="11447B73"/>
    <w:multiLevelType w:val="hybridMultilevel"/>
    <w:lvl w:ilvl="0">
      <w:lvlJc w:val="left"/>
      <w:lvlText w:val="%1:"/>
      <w:numFmt w:val="upperLetter"/>
      <w:start w:val="17"/>
    </w:lvl>
  </w:abstractNum>
  <w:abstractNum w:abstractNumId="26">
    <w:nsid w:val="42963E5A"/>
    <w:multiLevelType w:val="hybridMultilevel"/>
    <w:lvl w:ilvl="0">
      <w:lvlJc w:val="left"/>
      <w:lvlText w:val="%1:"/>
      <w:numFmt w:val="upperLetter"/>
      <w:start w:val="1"/>
    </w:lvl>
    <w:lvl w:ilvl="1">
      <w:lvlJc w:val="left"/>
      <w:lvlText w:val="•"/>
      <w:numFmt w:val="bullet"/>
      <w:start w:val="1"/>
    </w:lvl>
  </w:abstractNum>
  <w:abstractNum w:abstractNumId="27">
    <w:nsid w:val="A0382C5"/>
    <w:multiLevelType w:val="hybridMultilevel"/>
    <w:lvl w:ilvl="0">
      <w:lvlJc w:val="left"/>
      <w:lvlText w:val="%1:"/>
      <w:numFmt w:val="upperLetter"/>
      <w:start w:val="17"/>
    </w:lvl>
  </w:abstractNum>
  <w:abstractNum w:abstractNumId="28">
    <w:nsid w:val="8F2B15E"/>
    <w:multiLevelType w:val="hybridMultilevel"/>
    <w:lvl w:ilvl="0">
      <w:lvlJc w:val="left"/>
      <w:lvlText w:val="%1:"/>
      <w:numFmt w:val="upperLetter"/>
      <w:start w:val="1"/>
    </w:lvl>
  </w:abstractNum>
  <w:abstractNum w:abstractNumId="29">
    <w:nsid w:val="1A32234B"/>
    <w:multiLevelType w:val="hybridMultilevel"/>
    <w:lvl w:ilvl="0">
      <w:lvlJc w:val="left"/>
      <w:lvlText w:val="%1:"/>
      <w:numFmt w:val="upperLetter"/>
      <w:start w:val="1"/>
    </w:lvl>
  </w:abstractNum>
  <w:abstractNum w:abstractNumId="30">
    <w:nsid w:val="3B0FD379"/>
    <w:multiLevelType w:val="hybridMultilevel"/>
    <w:lvl w:ilvl="0">
      <w:lvlJc w:val="left"/>
      <w:lvlText w:val="%1:"/>
      <w:numFmt w:val="upperLetter"/>
      <w:start w:val="1"/>
    </w:lvl>
  </w:abstractNum>
  <w:abstractNum w:abstractNumId="31">
    <w:nsid w:val="68EB2F63"/>
    <w:multiLevelType w:val="hybridMultilevel"/>
    <w:lvl w:ilvl="0">
      <w:lvlJc w:val="left"/>
      <w:lvlText w:val="%1:"/>
      <w:numFmt w:val="upperLetter"/>
      <w:start w:val="1"/>
    </w:lvl>
  </w:abstractNum>
  <w:abstractNum w:abstractNumId="32">
    <w:nsid w:val="4962813B"/>
    <w:multiLevelType w:val="hybridMultilevel"/>
    <w:lvl w:ilvl="0">
      <w:lvlJc w:val="left"/>
      <w:lvlText w:val="%1:"/>
      <w:numFmt w:val="upperLetter"/>
      <w:start w:val="1"/>
    </w:lvl>
  </w:abstractNum>
  <w:abstractNum w:abstractNumId="33">
    <w:nsid w:val="60B6DF70"/>
    <w:multiLevelType w:val="hybridMultilevel"/>
    <w:lvl w:ilvl="0">
      <w:lvlJc w:val="left"/>
      <w:lvlText w:val="%1:"/>
      <w:numFmt w:val="upperLetter"/>
      <w:start w:val="1"/>
    </w:lvl>
  </w:abstractNum>
  <w:abstractNum w:abstractNumId="34">
    <w:nsid w:val="6A5EE64"/>
    <w:multiLevelType w:val="hybridMultilevel"/>
    <w:lvl w:ilvl="0">
      <w:lvlJc w:val="left"/>
      <w:lvlText w:val="%1:"/>
      <w:numFmt w:val="upperLetter"/>
      <w:start w:val="17"/>
    </w:lvl>
  </w:abstractNum>
  <w:abstractNum w:abstractNumId="35">
    <w:nsid w:val="14330624"/>
    <w:multiLevelType w:val="hybridMultilevel"/>
    <w:lvl w:ilvl="0">
      <w:lvlJc w:val="left"/>
      <w:lvlText w:val="%1:"/>
      <w:numFmt w:val="upperLetter"/>
      <w:start w:val="1"/>
    </w:lvl>
  </w:abstractNum>
  <w:abstractNum w:abstractNumId="36">
    <w:nsid w:val="7FFFCA11"/>
    <w:multiLevelType w:val="hybridMultilevel"/>
    <w:lvl w:ilvl="0">
      <w:lvlJc w:val="left"/>
      <w:lvlText w:val="%1:"/>
      <w:numFmt w:val="upperLetter"/>
      <w:start w:val="1"/>
    </w:lvl>
  </w:abstractNum>
  <w:abstractNum w:abstractNumId="37">
    <w:nsid w:val="1A27709E"/>
    <w:multiLevelType w:val="hybridMultilevel"/>
    <w:lvl w:ilvl="0">
      <w:lvlJc w:val="left"/>
      <w:lvlText w:val="%1"/>
      <w:numFmt w:val="decimal"/>
      <w:start w:val="12"/>
    </w:lvl>
  </w:abstractNum>
  <w:abstractNum w:abstractNumId="38">
    <w:nsid w:val="71EA1109"/>
    <w:multiLevelType w:val="hybridMultilevel"/>
    <w:lvl w:ilvl="0">
      <w:lvlJc w:val="left"/>
      <w:lvlText w:val="%1:"/>
      <w:numFmt w:val="upperLetter"/>
      <w:start w:val="1"/>
    </w:lvl>
  </w:abstractNum>
  <w:abstractNum w:abstractNumId="39">
    <w:nsid w:val="100F59DC"/>
    <w:multiLevelType w:val="hybridMultilevel"/>
    <w:lvl w:ilvl="0">
      <w:lvlJc w:val="left"/>
      <w:lvlText w:val="%1:"/>
      <w:numFmt w:val="upperLetter"/>
      <w:start w:val="17"/>
    </w:lvl>
  </w:abstractNum>
  <w:abstractNum w:abstractNumId="40">
    <w:nsid w:val="7FB7E0AA"/>
    <w:multiLevelType w:val="hybridMultilevel"/>
    <w:lvl w:ilvl="0">
      <w:lvlJc w:val="left"/>
      <w:lvlText w:val="%1:"/>
      <w:numFmt w:val="upperLetter"/>
      <w:start w:val="1"/>
    </w:lvl>
  </w:abstractNum>
  <w:abstractNum w:abstractNumId="41">
    <w:nsid w:val="6EB5BD4"/>
    <w:multiLevelType w:val="hybridMultilevel"/>
    <w:lvl w:ilvl="0">
      <w:lvlJc w:val="left"/>
      <w:lvlText w:val="%1:"/>
      <w:numFmt w:val="upperLetter"/>
      <w:start w:val="17"/>
    </w:lvl>
  </w:abstractNum>
  <w:abstractNum w:abstractNumId="42">
    <w:nsid w:val="6F6DD9AC"/>
    <w:multiLevelType w:val="hybridMultilevel"/>
    <w:lvl w:ilvl="0">
      <w:lvlJc w:val="left"/>
      <w:lvlText w:val="%1:"/>
      <w:numFmt w:val="upperLetter"/>
      <w:start w:val="1"/>
    </w:lvl>
  </w:abstractNum>
  <w:abstractNum w:abstractNumId="43">
    <w:nsid w:val="94211F2"/>
    <w:multiLevelType w:val="hybridMultilevel"/>
    <w:lvl w:ilvl="0">
      <w:lvlJc w:val="left"/>
      <w:lvlText w:val="%1:"/>
      <w:numFmt w:val="upperLetter"/>
      <w:start w:val="17"/>
    </w:lvl>
  </w:abstractNum>
  <w:abstractNum w:abstractNumId="44">
    <w:nsid w:val="885E1B"/>
    <w:multiLevelType w:val="hybridMultilevel"/>
    <w:lvl w:ilvl="0">
      <w:lvlJc w:val="left"/>
      <w:lvlText w:val="%1:"/>
      <w:numFmt w:val="upperLetter"/>
      <w:start w:val="1"/>
    </w:lvl>
  </w:abstractNum>
  <w:abstractNum w:abstractNumId="45">
    <w:nsid w:val="76272110"/>
    <w:multiLevelType w:val="hybridMultilevel"/>
    <w:lvl w:ilvl="0">
      <w:lvlJc w:val="left"/>
      <w:lvlText w:val="%1:"/>
      <w:numFmt w:val="upperLetter"/>
      <w:start w:val="1"/>
    </w:lvl>
  </w:abstractNum>
  <w:abstractNum w:abstractNumId="46">
    <w:nsid w:val="4C04A8AF"/>
    <w:multiLevelType w:val="hybridMultilevel"/>
    <w:lvl w:ilvl="0">
      <w:lvlJc w:val="left"/>
      <w:lvlText w:val="%1:"/>
      <w:numFmt w:val="upperLetter"/>
      <w:start w:val="1"/>
    </w:lvl>
  </w:abstractNum>
  <w:abstractNum w:abstractNumId="47">
    <w:nsid w:val="1716703B"/>
    <w:multiLevelType w:val="hybridMultilevel"/>
    <w:lvl w:ilvl="0">
      <w:lvlJc w:val="left"/>
      <w:lvlText w:val="%1"/>
      <w:numFmt w:val="decimal"/>
      <w:start w:val="14"/>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1)"/>
      <w:numFmt w:val="decimal"/>
      <w:start w:val="1"/>
    </w:lvl>
  </w:abstractNum>
  <w:abstractNum w:abstractNumId="51">
    <w:nsid w:val="68EBC550"/>
    <w:multiLevelType w:val="hybridMultilevel"/>
    <w:lvl w:ilvl="0">
      <w:lvlJc w:val="left"/>
      <w:lvlText w:val="(%1)"/>
      <w:numFmt w:val="decimal"/>
      <w:start w:val="3"/>
    </w:lvl>
  </w:abstractNum>
  <w:abstractNum w:abstractNumId="52">
    <w:nsid w:val="2DF6D648"/>
    <w:multiLevelType w:val="hybridMultilevel"/>
    <w:lvl w:ilvl="0">
      <w:lvlJc w:val="left"/>
      <w:lvlText w:val="%1"/>
      <w:numFmt w:val="decimal"/>
      <w:start w:val="16"/>
    </w:lvl>
  </w:abstractNum>
  <w:abstractNum w:abstractNumId="53">
    <w:nsid w:val="46B7D447"/>
    <w:multiLevelType w:val="hybridMultilevel"/>
    <w:lvl w:ilvl="0">
      <w:lvlJc w:val="left"/>
      <w:lvlText w:val="%1"/>
      <w:numFmt w:val="decimal"/>
      <w:start w:val="18"/>
    </w:lvl>
  </w:abstractNum>
  <w:abstractNum w:abstractNumId="54">
    <w:nsid w:val="4A2AC315"/>
    <w:multiLevelType w:val="hybridMultilevel"/>
    <w:lvl w:ilvl="0">
      <w:lvlJc w:val="left"/>
      <w:lvlText w:val="%1"/>
      <w:numFmt w:val="decimal"/>
      <w:start w:val="24"/>
    </w:lvl>
  </w:abstractNum>
  <w:abstractNum w:abstractNumId="55">
    <w:nsid w:val="39EE015C"/>
    <w:multiLevelType w:val="hybridMultilevel"/>
    <w:lvl w:ilvl="0">
      <w:lvlJc w:val="left"/>
      <w:lvlText w:val="•"/>
      <w:numFmt w:val="bullet"/>
      <w:start w:val="1"/>
    </w:lvl>
  </w:abstractNum>
  <w:abstractNum w:abstractNumId="56">
    <w:nsid w:val="57FC4FBB"/>
    <w:multiLevelType w:val="hybridMultilevel"/>
    <w:lvl w:ilvl="0">
      <w:lvlJc w:val="left"/>
      <w:lvlText w:val="%1"/>
      <w:numFmt w:val="decimal"/>
      <w:start w:val="26"/>
    </w:lvl>
  </w:abstractNum>
  <w:abstractNum w:abstractNumId="57">
    <w:nsid w:val="CC1016F"/>
    <w:multiLevelType w:val="hybridMultilevel"/>
    <w:lvl w:ilvl="0">
      <w:lvlJc w:val="left"/>
      <w:lvlText w:val="(%1)"/>
      <w:numFmt w:val="decimal"/>
      <w:start w:val="1"/>
    </w:lvl>
  </w:abstractNum>
  <w:abstractNum w:abstractNumId="58">
    <w:nsid w:val="43F18422"/>
    <w:multiLevelType w:val="hybridMultilevel"/>
    <w:lvl w:ilvl="0">
      <w:lvlJc w:val="left"/>
      <w:lvlText w:val="%1"/>
      <w:numFmt w:val="decimal"/>
      <w:start w:val="28"/>
    </w:lvl>
  </w:abstractNum>
  <w:abstractNum w:abstractNumId="59">
    <w:nsid w:val="60EF0119"/>
    <w:multiLevelType w:val="hybridMultilevel"/>
    <w:lvl w:ilvl="0">
      <w:lvlJc w:val="left"/>
      <w:lvlText w:val="•"/>
      <w:numFmt w:val="bullet"/>
      <w:start w:val="1"/>
    </w:lvl>
  </w:abstractNum>
  <w:abstractNum w:abstractNumId="60">
    <w:nsid w:val="26F324BA"/>
    <w:multiLevelType w:val="hybridMultilevel"/>
    <w:lvl w:ilvl="0">
      <w:lvlJc w:val="left"/>
      <w:lvlText w:val="•"/>
      <w:numFmt w:val="bullet"/>
      <w:start w:val="1"/>
    </w:lvl>
  </w:abstractNum>
  <w:abstractNum w:abstractNumId="61">
    <w:nsid w:val="7F01579B"/>
    <w:multiLevelType w:val="hybridMultilevel"/>
    <w:lvl w:ilvl="0">
      <w:lvlJc w:val="left"/>
      <w:lvlText w:val="%1"/>
      <w:numFmt w:val="decimal"/>
      <w:start w:val="30"/>
    </w:lvl>
  </w:abstractNum>
  <w:abstractNum w:abstractNumId="62">
    <w:nsid w:val="49DA307D"/>
    <w:multiLevelType w:val="hybridMultilevel"/>
    <w:lvl w:ilvl="0">
      <w:lvlJc w:val="left"/>
      <w:lvlText w:val="%1"/>
      <w:numFmt w:val="decimal"/>
      <w:start w:val="32"/>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decimal"/>
      <w:start w:val="4"/>
    </w:lvl>
  </w:abstractNum>
  <w:abstractNum w:abstractNumId="65">
    <w:nsid w:val="50801EE1"/>
    <w:multiLevelType w:val="hybridMultilevel"/>
    <w:lvl w:ilvl="0">
      <w:lvlJc w:val="left"/>
      <w:lvlText w:val="•"/>
      <w:numFmt w:val="bullet"/>
      <w:start w:val="1"/>
    </w:lvl>
  </w:abstractNum>
  <w:abstractNum w:abstractNumId="66">
    <w:nsid w:val="488AC1A"/>
    <w:multiLevelType w:val="hybridMultilevel"/>
    <w:lvl w:ilvl="0">
      <w:lvlJc w:val="left"/>
      <w:lvlText w:val="•"/>
      <w:numFmt w:val="bullet"/>
      <w:start w:val="1"/>
    </w:lvl>
  </w:abstractNum>
  <w:abstractNum w:abstractNumId="67">
    <w:nsid w:val="5FB8011C"/>
    <w:multiLevelType w:val="hybridMultilevel"/>
    <w:lvl w:ilvl="0">
      <w:lvlJc w:val="left"/>
      <w:lvlText w:val="%1"/>
      <w:numFmt w:val="decimal"/>
      <w:start w:val="36"/>
    </w:lvl>
  </w:abstractNum>
  <w:abstractNum w:abstractNumId="68">
    <w:nsid w:val="6AA78F7F"/>
    <w:multiLevelType w:val="hybridMultilevel"/>
    <w:lvl w:ilvl="0">
      <w:lvlJc w:val="left"/>
      <w:lvlText w:val="•"/>
      <w:numFmt w:val="bullet"/>
      <w:start w:val="1"/>
    </w:lvl>
  </w:abstractNum>
  <w:abstractNum w:abstractNumId="69">
    <w:nsid w:val="7672BD23"/>
    <w:multiLevelType w:val="hybridMultilevel"/>
    <w:lvl w:ilvl="0">
      <w:lvlJc w:val="left"/>
      <w:lvlText w:val="%1"/>
      <w:numFmt w:val="decimal"/>
      <w:start w:val="38"/>
    </w:lvl>
  </w:abstractNum>
  <w:abstractNum w:abstractNumId="70">
    <w:nsid w:val="6FC75AF8"/>
    <w:multiLevelType w:val="hybridMultilevel"/>
    <w:lvl w:ilvl="0">
      <w:lvlJc w:val="left"/>
      <w:lvlText w:val="2"/>
      <w:numFmt w:val="bullet"/>
      <w:start w:val="1"/>
    </w:lvl>
  </w:abstractNum>
  <w:abstractNum w:abstractNumId="71">
    <w:nsid w:val="6A5F7029"/>
    <w:multiLevelType w:val="hybridMultilevel"/>
    <w:lvl w:ilvl="0">
      <w:lvlJc w:val="left"/>
      <w:lvlText w:val="✓"/>
      <w:numFmt w:val="bullet"/>
      <w:start w:val="1"/>
    </w:lvl>
  </w:abstractNum>
  <w:abstractNum w:abstractNumId="72">
    <w:nsid w:val="7D5E18F8"/>
    <w:multiLevelType w:val="hybridMultilevel"/>
    <w:lvl w:ilvl="0">
      <w:lvlJc w:val="left"/>
      <w:lvlText w:val="Ò"/>
      <w:numFmt w:val="bullet"/>
      <w:start w:val="1"/>
    </w:lvl>
  </w:abstractNum>
  <w:abstractNum w:abstractNumId="73">
    <w:nsid w:val="5F3534A4"/>
    <w:multiLevelType w:val="hybridMultilevel"/>
    <w:lvl w:ilvl="0">
      <w:lvlJc w:val="left"/>
      <w:lvlText w:val="**"/>
      <w:numFmt w:val="bullet"/>
      <w:start w:val="1"/>
    </w:lvl>
  </w:abstractNum>
  <w:abstractNum w:abstractNumId="74">
    <w:nsid w:val="73A1821B"/>
    <w:multiLevelType w:val="hybridMultilevel"/>
    <w:lvl w:ilvl="0">
      <w:lvlJc w:val="left"/>
      <w:lvlText w:val="%1"/>
      <w:numFmt w:val="decimal"/>
      <w:start w:val="40"/>
    </w:lvl>
  </w:abstractNum>
  <w:abstractNum w:abstractNumId="75">
    <w:nsid w:val="7DE67713"/>
    <w:multiLevelType w:val="hybridMultilevel"/>
    <w:lvl w:ilvl="0">
      <w:lvlJc w:val="left"/>
      <w:lvlText w:val="%1"/>
      <w:numFmt w:val="decimal"/>
      <w:start w:val="42"/>
    </w:lvl>
  </w:abstractNum>
  <w:abstractNum w:abstractNumId="76">
    <w:nsid w:val="555C55B5"/>
    <w:multiLevelType w:val="hybridMultilevel"/>
    <w:lvl w:ilvl="0">
      <w:lvlJc w:val="left"/>
      <w:lvlText w:val="%1"/>
      <w:numFmt w:val="decimal"/>
      <w:start w:val="44"/>
    </w:lvl>
  </w:abstractNum>
  <w:abstractNum w:abstractNumId="77">
    <w:nsid w:val="3FA62ACA"/>
    <w:multiLevelType w:val="hybridMultilevel"/>
    <w:lvl w:ilvl="0">
      <w:lvlJc w:val="left"/>
      <w:lvlText w:val="%1"/>
      <w:numFmt w:val="decimal"/>
      <w:start w:val="46"/>
    </w:lvl>
  </w:abstractNum>
  <w:abstractNum w:abstractNumId="78">
    <w:nsid w:val="14FCE74E"/>
    <w:multiLevelType w:val="hybridMultilevel"/>
    <w:lvl w:ilvl="0">
      <w:lvlJc w:val="left"/>
      <w:lvlText w:val="3"/>
      <w:numFmt w:val="bullet"/>
      <w:start w:val="1"/>
    </w:lvl>
  </w:abstractNum>
  <w:abstractNum w:abstractNumId="79">
    <w:nsid w:val="6A3DD3E8"/>
    <w:multiLevelType w:val="hybridMultilevel"/>
    <w:lvl w:ilvl="0">
      <w:lvlJc w:val="left"/>
      <w:lvlText w:val="%1"/>
      <w:numFmt w:val="decimal"/>
      <w:start w:val="48"/>
    </w:lvl>
  </w:abstractNum>
  <w:abstractNum w:abstractNumId="80">
    <w:nsid w:val="71C91298"/>
    <w:multiLevelType w:val="hybridMultilevel"/>
    <w:lvl w:ilvl="0">
      <w:lvlJc w:val="left"/>
      <w:lvlText w:val="•"/>
      <w:numFmt w:val="bullet"/>
      <w:start w:val="1"/>
    </w:lvl>
  </w:abstractNum>
  <w:abstractNum w:abstractNumId="81">
    <w:nsid w:val="9DAF632"/>
    <w:multiLevelType w:val="hybridMultilevel"/>
    <w:lvl w:ilvl="0">
      <w:lvlJc w:val="left"/>
      <w:lvlText w:val="•"/>
      <w:numFmt w:val="bullet"/>
      <w:start w:val="1"/>
    </w:lvl>
  </w:abstractNum>
  <w:abstractNum w:abstractNumId="82">
    <w:nsid w:val="53299938"/>
    <w:multiLevelType w:val="hybridMultilevel"/>
    <w:lvl w:ilvl="0">
      <w:lvlJc w:val="left"/>
      <w:lvlText w:val="4"/>
      <w:numFmt w:val="bullet"/>
      <w:start w:val="1"/>
    </w:lvl>
  </w:abstractNum>
  <w:abstractNum w:abstractNumId="83">
    <w:nsid w:val="1FBFE8E0"/>
    <w:multiLevelType w:val="hybridMultilevel"/>
    <w:lvl w:ilvl="0">
      <w:lvlJc w:val="left"/>
      <w:lvlText w:val="5"/>
      <w:numFmt w:val="bullet"/>
      <w:start w:val="1"/>
    </w:lvl>
  </w:abstractNum>
  <w:abstractNum w:abstractNumId="84">
    <w:nsid w:val="5092CA79"/>
    <w:multiLevelType w:val="hybridMultilevel"/>
    <w:lvl w:ilvl="0">
      <w:lvlJc w:val="left"/>
      <w:lvlText w:val="%1"/>
      <w:numFmt w:val="decimal"/>
      <w:start w:val="50"/>
    </w:lvl>
  </w:abstractNum>
  <w:abstractNum w:abstractNumId="85">
    <w:nsid w:val="1D545C4D"/>
    <w:multiLevelType w:val="hybridMultilevel"/>
    <w:lvl w:ilvl="0">
      <w:lvlJc w:val="left"/>
      <w:lvlText w:val="•"/>
      <w:numFmt w:val="bullet"/>
      <w:start w:val="1"/>
    </w:lvl>
  </w:abstractNum>
  <w:abstractNum w:abstractNumId="86">
    <w:nsid w:val="59ADEA3D"/>
    <w:multiLevelType w:val="hybridMultilevel"/>
    <w:lvl w:ilvl="0">
      <w:lvlJc w:val="left"/>
      <w:lvlText w:val="•"/>
      <w:numFmt w:val="bullet"/>
      <w:start w:val="1"/>
    </w:lvl>
    <w:lvl w:ilvl="1">
      <w:lvlJc w:val="left"/>
      <w:lvlText w:val="•"/>
      <w:numFmt w:val="bullet"/>
      <w:start w:val="1"/>
    </w:lvl>
  </w:abstractNum>
  <w:abstractNum w:abstractNumId="87">
    <w:nsid w:val="288F1A34"/>
    <w:multiLevelType w:val="hybridMultilevel"/>
    <w:lvl w:ilvl="0">
      <w:lvlJc w:val="left"/>
      <w:lvlText w:val="%1"/>
      <w:numFmt w:val="decimal"/>
      <w:start w:val="52"/>
    </w:lvl>
  </w:abstractNum>
  <w:abstractNum w:abstractNumId="88">
    <w:nsid w:val="2A155DBC"/>
    <w:multiLevelType w:val="hybridMultilevel"/>
    <w:lvl w:ilvl="0">
      <w:lvlJc w:val="left"/>
      <w:lvlText w:val="•"/>
      <w:numFmt w:val="bullet"/>
      <w:start w:val="1"/>
    </w:lvl>
  </w:abstractNum>
  <w:abstractNum w:abstractNumId="89">
    <w:nsid w:val="1D9F6E5F"/>
    <w:multiLevelType w:val="hybridMultilevel"/>
    <w:lvl w:ilvl="0">
      <w:lvlJc w:val="left"/>
      <w:lvlText w:val="•"/>
      <w:numFmt w:val="bullet"/>
      <w:start w:val="1"/>
    </w:lvl>
  </w:abstractNum>
  <w:abstractNum w:abstractNumId="90">
    <w:nsid w:val="97E1B4E"/>
    <w:multiLevelType w:val="hybridMultilevel"/>
    <w:lvl w:ilvl="0">
      <w:lvlJc w:val="left"/>
      <w:lvlText w:val="%1"/>
      <w:numFmt w:val="decimal"/>
      <w:start w:val="54"/>
    </w:lvl>
  </w:abstractNum>
  <w:abstractNum w:abstractNumId="91">
    <w:nsid w:val="51088277"/>
    <w:multiLevelType w:val="hybridMultilevel"/>
    <w:lvl w:ilvl="0">
      <w:lvlJc w:val="left"/>
      <w:lvlText w:val="(%1)"/>
      <w:numFmt w:val="decimal"/>
      <w:start w:val="1"/>
    </w:lvl>
  </w:abstractNum>
  <w:abstractNum w:abstractNumId="92">
    <w:nsid w:val="1CA0C5FA"/>
    <w:multiLevelType w:val="hybridMultilevel"/>
    <w:lvl w:ilvl="0">
      <w:lvlJc w:val="left"/>
      <w:lvlText w:val="%1."/>
      <w:numFmt w:val="lowerLetter"/>
      <w:start w:val="2"/>
    </w:lvl>
  </w:abstractNum>
  <w:abstractNum w:abstractNumId="93">
    <w:nsid w:val="53584BCB"/>
    <w:multiLevelType w:val="hybridMultilevel"/>
    <w:lvl w:ilvl="0">
      <w:lvlJc w:val="left"/>
      <w:lvlText w:val="%1"/>
      <w:numFmt w:val="decimal"/>
      <w:start w:val="56"/>
    </w:lvl>
  </w:abstractNum>
  <w:abstractNum w:abstractNumId="94">
    <w:nsid w:val="415E286C"/>
    <w:multiLevelType w:val="hybridMultilevel"/>
    <w:lvl w:ilvl="0">
      <w:lvlJc w:val="left"/>
      <w:lvlText w:val="(%1)"/>
      <w:numFmt w:val="decimal"/>
      <w:start w:val="3"/>
    </w:lvl>
  </w:abstractNum>
  <w:abstractNum w:abstractNumId="95">
    <w:nsid w:val="7C58FD05"/>
    <w:multiLevelType w:val="hybridMultilevel"/>
    <w:lvl w:ilvl="0">
      <w:lvlJc w:val="left"/>
      <w:lvlText w:val="(%1)"/>
      <w:numFmt w:val="lowerLetter"/>
      <w:start w:val="1"/>
    </w:lvl>
  </w:abstractNum>
  <w:abstractNum w:abstractNumId="96">
    <w:nsid w:val="23D86AAC"/>
    <w:multiLevelType w:val="hybridMultilevel"/>
    <w:lvl w:ilvl="0">
      <w:lvlJc w:val="left"/>
      <w:lvlText w:val="(%1)"/>
      <w:numFmt w:val="decimal"/>
      <w:start w:val="1"/>
    </w:lvl>
  </w:abstractNum>
  <w:abstractNum w:abstractNumId="97">
    <w:nsid w:val="45E6D486"/>
    <w:multiLevelType w:val="hybridMultilevel"/>
    <w:lvl w:ilvl="0">
      <w:lvlJc w:val="left"/>
      <w:lvlText w:val="%1"/>
      <w:numFmt w:val="decimal"/>
      <w:start w:val="58"/>
    </w:lvl>
  </w:abstractNum>
  <w:abstractNum w:abstractNumId="98">
    <w:nsid w:val="5C10FE21"/>
    <w:multiLevelType w:val="hybridMultilevel"/>
    <w:lvl w:ilvl="0">
      <w:lvlJc w:val="left"/>
      <w:lvlText w:val="(%1)"/>
      <w:numFmt w:val="decimal"/>
      <w:start w:val="2"/>
    </w:lvl>
  </w:abstractNum>
  <w:abstractNum w:abstractNumId="99">
    <w:nsid w:val="E7FFA2B"/>
    <w:multiLevelType w:val="hybridMultilevel"/>
    <w:lvl w:ilvl="0">
      <w:lvlJc w:val="left"/>
      <w:lvlText w:val="(%1)"/>
      <w:numFmt w:val="decimal"/>
      <w:start w:val="1"/>
    </w:lvl>
  </w:abstractNum>
  <w:abstractNum w:abstractNumId="100">
    <w:nsid w:val="3C5991AA"/>
    <w:multiLevelType w:val="hybridMultilevel"/>
    <w:lvl w:ilvl="0">
      <w:lvlJc w:val="left"/>
      <w:lvlText w:val="(%1)"/>
      <w:numFmt w:val="decimal"/>
      <w:start w:val="2"/>
    </w:lvl>
  </w:abstractNum>
  <w:abstractNum w:abstractNumId="101">
    <w:nsid w:val="4BD8591A"/>
    <w:multiLevelType w:val="hybridMultilevel"/>
    <w:lvl w:ilvl="0">
      <w:lvlJc w:val="left"/>
      <w:lvlText w:val="(%1)"/>
      <w:numFmt w:val="decimal"/>
      <w:start w:val="1"/>
    </w:lvl>
  </w:abstractNum>
  <w:abstractNum w:abstractNumId="102">
    <w:nsid w:val="78DF6A55"/>
    <w:multiLevelType w:val="hybridMultilevel"/>
    <w:lvl w:ilvl="0">
      <w:lvlJc w:val="left"/>
      <w:lvlText w:val="%1"/>
      <w:numFmt w:val="decimal"/>
      <w:start w:val="62"/>
    </w:lvl>
  </w:abstractNum>
  <w:abstractNum w:abstractNumId="103">
    <w:nsid w:val="39B7AAA2"/>
    <w:multiLevelType w:val="hybridMultilevel"/>
    <w:lvl w:ilvl="0">
      <w:lvlJc w:val="left"/>
      <w:lvlText w:val="(%1)"/>
      <w:numFmt w:val="decimal"/>
      <w:start w:val="1"/>
    </w:lvl>
  </w:abstractNum>
  <w:abstractNum w:abstractNumId="104">
    <w:nsid w:val="2B0D8DBE"/>
    <w:multiLevelType w:val="hybridMultilevel"/>
    <w:lvl w:ilvl="0">
      <w:lvlJc w:val="left"/>
      <w:lvlText w:val="•"/>
      <w:numFmt w:val="bullet"/>
      <w:start w:val="1"/>
    </w:lvl>
  </w:abstractNum>
  <w:abstractNum w:abstractNumId="105">
    <w:nsid w:val="6C80EC70"/>
    <w:multiLevelType w:val="hybridMultilevel"/>
    <w:lvl w:ilvl="0">
      <w:lvlJc w:val="left"/>
      <w:lvlText w:val="•"/>
      <w:numFmt w:val="bullet"/>
      <w:start w:val="1"/>
    </w:lvl>
  </w:abstractNum>
  <w:abstractNum w:abstractNumId="106">
    <w:nsid w:val="379E21B5"/>
    <w:multiLevelType w:val="hybridMultilevel"/>
    <w:lvl w:ilvl="0">
      <w:lvlJc w:val="left"/>
      <w:lvlText w:val="•"/>
      <w:numFmt w:val="bullet"/>
      <w:start w:val="1"/>
    </w:lvl>
  </w:abstractNum>
  <w:abstractNum w:abstractNumId="107">
    <w:nsid w:val="69E373"/>
    <w:multiLevelType w:val="hybridMultilevel"/>
    <w:lvl w:ilvl="0">
      <w:lvlJc w:val="left"/>
      <w:lvlText w:val="•"/>
      <w:numFmt w:val="bullet"/>
      <w:start w:val="1"/>
    </w:lvl>
  </w:abstractNum>
  <w:abstractNum w:abstractNumId="108">
    <w:nsid w:val="2C27173B"/>
    <w:multiLevelType w:val="hybridMultilevel"/>
    <w:lvl w:ilvl="0">
      <w:lvlJc w:val="left"/>
      <w:lvlText w:val="%1"/>
      <w:numFmt w:val="decimal"/>
      <w:start w:val="64"/>
    </w:lvl>
  </w:abstractNum>
  <w:abstractNum w:abstractNumId="109">
    <w:nsid w:val="4C9B0904"/>
    <w:multiLevelType w:val="hybridMultilevel"/>
    <w:lvl w:ilvl="0">
      <w:lvlJc w:val="left"/>
      <w:lvlText w:val="•"/>
      <w:numFmt w:val="bullet"/>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1"/>
      <w:numFmt w:val="decimal"/>
      <w:start w:val="66"/>
    </w:lvl>
  </w:abstractNum>
  <w:abstractNum w:abstractNumId="112">
    <w:nsid w:val="5675FF36"/>
    <w:multiLevelType w:val="hybridMultilevel"/>
    <w:lvl w:ilvl="0">
      <w:lvlJc w:val="left"/>
      <w:lvlText w:val="(%1)"/>
      <w:numFmt w:val="decimal"/>
      <w:start w:val="4"/>
    </w:lvl>
  </w:abstractNum>
  <w:abstractNum w:abstractNumId="113">
    <w:nsid w:val="3DD15094"/>
    <w:multiLevelType w:val="hybridMultilevel"/>
    <w:lvl w:ilvl="0">
      <w:lvlJc w:val="left"/>
      <w:lvlText w:val="(%1)"/>
      <w:numFmt w:val="decimal"/>
      <w:start w:val="5"/>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1"/>
      <w:numFmt w:val="decimal"/>
      <w:start w:val="68"/>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decimal"/>
      <w:start w:val="70"/>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decimal"/>
      <w:start w:val="72"/>
    </w:lvl>
  </w:abstractNum>
  <w:abstractNum w:abstractNumId="120">
    <w:nsid w:val="34FD6B4F"/>
    <w:multiLevelType w:val="hybridMultilevel"/>
    <w:lvl w:ilvl="0">
      <w:lvlJc w:val="left"/>
      <w:lvlText w:val="•"/>
      <w:numFmt w:val="bullet"/>
      <w:start w:val="1"/>
    </w:lvl>
  </w:abstractNum>
  <w:abstractNum w:abstractNumId="121">
    <w:nsid w:val="5915FF32"/>
    <w:multiLevelType w:val="hybridMultilevel"/>
    <w:lvl w:ilvl="0">
      <w:lvlJc w:val="left"/>
      <w:lvlText w:val="•"/>
      <w:numFmt w:val="bullet"/>
      <w:start w:val="1"/>
    </w:lvl>
  </w:abstractNum>
  <w:abstractNum w:abstractNumId="122">
    <w:nsid w:val="56438D15"/>
    <w:multiLevelType w:val="hybridMultilevel"/>
    <w:lvl w:ilvl="0">
      <w:lvlJc w:val="left"/>
      <w:lvlText w:val="%1"/>
      <w:numFmt w:val="decimal"/>
      <w:start w:val="74"/>
    </w:lvl>
  </w:abstractNum>
  <w:abstractNum w:abstractNumId="123">
    <w:nsid w:val="519E3149"/>
    <w:multiLevelType w:val="hybridMultilevel"/>
    <w:lvl w:ilvl="0">
      <w:lvlJc w:val="left"/>
      <w:lvlText w:val="%1"/>
      <w:numFmt w:val="decimal"/>
      <w:start w:val="76"/>
    </w:lvl>
  </w:abstractNum>
  <w:abstractNum w:abstractNumId="124">
    <w:nsid w:val="2C6E4AFD"/>
    <w:multiLevelType w:val="hybridMultilevel"/>
    <w:lvl w:ilvl="0">
      <w:lvlJc w:val="left"/>
      <w:lvlText w:val="(%1)"/>
      <w:numFmt w:val="decimal"/>
      <w:start w:val="1"/>
    </w:lvl>
  </w:abstractNum>
  <w:abstractNum w:abstractNumId="125">
    <w:nsid w:val="17A1B582"/>
    <w:multiLevelType w:val="hybridMultilevel"/>
    <w:lvl w:ilvl="0">
      <w:lvlJc w:val="left"/>
      <w:lvlText w:val="%1"/>
      <w:numFmt w:val="decimal"/>
      <w:start w:val="78"/>
    </w:lvl>
  </w:abstractNum>
  <w:abstractNum w:abstractNumId="126">
    <w:nsid w:val="4DF72E4E"/>
    <w:multiLevelType w:val="hybridMultilevel"/>
    <w:lvl w:ilvl="0">
      <w:lvlJc w:val="left"/>
      <w:lvlText w:val="%1."/>
      <w:numFmt w:val="decimal"/>
      <w:start w:val="1"/>
    </w:lvl>
  </w:abstractNum>
  <w:abstractNum w:abstractNumId="127">
    <w:nsid w:val="5046B5A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2019-12-04T19:30:39Z</dcterms:created>
  <dcterms:modified xsi:type="dcterms:W3CDTF">2019-12-04T19:30:39Z</dcterms:modified>
</cp:coreProperties>
</file>