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183515</wp:posOffset>
            </wp:positionH>
            <wp:positionV relativeFrom="page">
              <wp:posOffset>620395</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page">
              <wp:posOffset>183515</wp:posOffset>
            </wp:positionH>
            <wp:positionV relativeFrom="page">
              <wp:posOffset>534670</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t>UNITED STATES</w:t>
      </w:r>
    </w:p>
    <w:p>
      <w:pPr>
        <w:spacing w:after="0" w:line="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158750</wp:posOffset>
            </wp:positionV>
            <wp:extent cx="1758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2749550</wp:posOffset>
            </wp:positionH>
            <wp:positionV relativeFrom="paragraph">
              <wp:posOffset>156210</wp:posOffset>
            </wp:positionV>
            <wp:extent cx="17583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154" w:lineRule="exact"/>
        <w:rPr>
          <w:sz w:val="24"/>
          <w:szCs w:val="24"/>
          <w:color w:val="auto"/>
        </w:rPr>
      </w:pPr>
    </w:p>
    <w:p>
      <w:pPr>
        <w:ind w:left="720" w:right="2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May 3, 2014</w:t>
      </w:r>
    </w:p>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40" w:hanging="691"/>
        <w:spacing w:after="0" w:line="260" w:lineRule="auto"/>
        <w:tabs>
          <w:tab w:leader="none" w:pos="7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tbl>
      <w:tblPr>
        <w:tblLayout w:type="fixed"/>
        <w:tblInd w:w="860" w:type="dxa"/>
        <w:tblCellMar>
          <w:top w:w="0" w:type="dxa"/>
          <w:left w:w="0" w:type="dxa"/>
          <w:bottom w:w="0" w:type="dxa"/>
          <w:right w:w="0" w:type="dxa"/>
        </w:tblCellMar>
      </w:tblPr>
      <w:tr>
        <w:trPr>
          <w:trHeight w:val="199"/>
        </w:trPr>
        <w:tc>
          <w:tcPr>
            <w:tcW w:w="5360" w:type="dxa"/>
            <w:vAlign w:val="bottom"/>
            <w:gridSpan w:val="2"/>
          </w:tcPr>
          <w:p>
            <w:pPr>
              <w:ind w:left="3040"/>
              <w:spacing w:after="0" w:line="199" w:lineRule="exact"/>
              <w:rPr>
                <w:sz w:val="20"/>
                <w:szCs w:val="20"/>
                <w:color w:val="auto"/>
              </w:rPr>
            </w:pPr>
            <w:r>
              <w:rPr>
                <w:rFonts w:ascii="Times New Roman" w:cs="Times New Roman" w:eastAsia="Times New Roman" w:hAnsi="Times New Roman"/>
                <w:sz w:val="18"/>
                <w:szCs w:val="18"/>
                <w:b w:val="1"/>
                <w:bCs w:val="1"/>
                <w:color w:val="auto"/>
                <w:w w:val="98"/>
              </w:rPr>
              <w:t>For the transition period from</w:t>
            </w:r>
          </w:p>
        </w:tc>
        <w:tc>
          <w:tcPr>
            <w:tcW w:w="5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line="199" w:lineRule="exact"/>
              <w:rPr>
                <w:sz w:val="20"/>
                <w:szCs w:val="20"/>
                <w:color w:val="auto"/>
              </w:rPr>
            </w:pPr>
            <w:r>
              <w:rPr>
                <w:rFonts w:ascii="Times New Roman" w:cs="Times New Roman" w:eastAsia="Times New Roman" w:hAnsi="Times New Roman"/>
                <w:sz w:val="18"/>
                <w:szCs w:val="18"/>
                <w:b w:val="1"/>
                <w:bCs w:val="1"/>
                <w:color w:val="auto"/>
              </w:rPr>
              <w:t>to</w:t>
            </w:r>
          </w:p>
        </w:tc>
        <w:tc>
          <w:tcPr>
            <w:tcW w:w="540" w:type="dxa"/>
            <w:vAlign w:val="bottom"/>
            <w:tcBorders>
              <w:bottom w:val="single" w:sz="8" w:color="auto"/>
            </w:tcBorders>
            <w:gridSpan w:val="2"/>
          </w:tcPr>
          <w:p>
            <w:pPr>
              <w:spacing w:after="0"/>
              <w:rPr>
                <w:sz w:val="17"/>
                <w:szCs w:val="17"/>
                <w:color w:val="auto"/>
              </w:rPr>
            </w:pPr>
          </w:p>
        </w:tc>
        <w:tc>
          <w:tcPr>
            <w:tcW w:w="2640" w:type="dxa"/>
            <w:vAlign w:val="bottom"/>
          </w:tcPr>
          <w:p>
            <w:pPr>
              <w:spacing w:after="0"/>
              <w:rPr>
                <w:sz w:val="17"/>
                <w:szCs w:val="17"/>
                <w:color w:val="auto"/>
              </w:rPr>
            </w:pPr>
          </w:p>
        </w:tc>
      </w:tr>
      <w:tr>
        <w:trPr>
          <w:trHeight w:val="412"/>
        </w:trPr>
        <w:tc>
          <w:tcPr>
            <w:tcW w:w="3460" w:type="dxa"/>
            <w:vAlign w:val="bottom"/>
          </w:tcPr>
          <w:p>
            <w:pPr>
              <w:spacing w:after="0"/>
              <w:rPr>
                <w:sz w:val="24"/>
                <w:szCs w:val="24"/>
                <w:color w:val="auto"/>
              </w:rPr>
            </w:pPr>
          </w:p>
        </w:tc>
        <w:tc>
          <w:tcPr>
            <w:tcW w:w="2480" w:type="dxa"/>
            <w:vAlign w:val="bottom"/>
            <w:gridSpan w:val="3"/>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Commission File No. 1-7819</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57"/>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r>
        <w:trPr>
          <w:trHeight w:val="486"/>
        </w:trPr>
        <w:tc>
          <w:tcPr>
            <w:tcW w:w="9320" w:type="dxa"/>
            <w:vAlign w:val="bottom"/>
            <w:gridSpan w:val="8"/>
          </w:tcPr>
          <w:p>
            <w:pPr>
              <w:jc w:val="center"/>
              <w:ind w:left="285"/>
              <w:spacing w:after="0" w:line="487" w:lineRule="exact"/>
              <w:rPr>
                <w:sz w:val="20"/>
                <w:szCs w:val="20"/>
                <w:color w:val="auto"/>
              </w:rPr>
            </w:pPr>
            <w:r>
              <w:rPr>
                <w:rFonts w:ascii="Times New Roman" w:cs="Times New Roman" w:eastAsia="Times New Roman" w:hAnsi="Times New Roman"/>
                <w:sz w:val="43"/>
                <w:szCs w:val="43"/>
                <w:b w:val="1"/>
                <w:bCs w:val="1"/>
                <w:color w:val="auto"/>
              </w:rPr>
              <w:t>Analog Devices, Inc.</w:t>
            </w:r>
          </w:p>
        </w:tc>
      </w:tr>
      <w:tr>
        <w:trPr>
          <w:trHeight w:val="236"/>
        </w:trPr>
        <w:tc>
          <w:tcPr>
            <w:tcW w:w="9320" w:type="dxa"/>
            <w:vAlign w:val="bottom"/>
            <w:gridSpan w:val="8"/>
          </w:tcPr>
          <w:p>
            <w:pPr>
              <w:jc w:val="center"/>
              <w:ind w:left="265"/>
              <w:spacing w:after="0"/>
              <w:rPr>
                <w:sz w:val="20"/>
                <w:szCs w:val="20"/>
                <w:color w:val="auto"/>
              </w:rPr>
            </w:pPr>
            <w:r>
              <w:rPr>
                <w:rFonts w:ascii="Times New Roman" w:cs="Times New Roman" w:eastAsia="Times New Roman" w:hAnsi="Times New Roman"/>
                <w:sz w:val="18"/>
                <w:szCs w:val="18"/>
                <w:i w:val="1"/>
                <w:iCs w:val="1"/>
                <w:color w:val="auto"/>
                <w:w w:val="99"/>
              </w:rPr>
              <w:t>(Exact name of registrant as specified in its charter)</w:t>
            </w:r>
          </w:p>
        </w:tc>
      </w:tr>
      <w:tr>
        <w:trPr>
          <w:trHeight w:val="203"/>
        </w:trPr>
        <w:tc>
          <w:tcPr>
            <w:tcW w:w="3460" w:type="dxa"/>
            <w:vAlign w:val="bottom"/>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93"/>
        </w:trPr>
        <w:tc>
          <w:tcPr>
            <w:tcW w:w="5940" w:type="dxa"/>
            <w:vAlign w:val="bottom"/>
            <w:gridSpan w:val="4"/>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Massachusetts</w:t>
            </w:r>
          </w:p>
        </w:tc>
        <w:tc>
          <w:tcPr>
            <w:tcW w:w="338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04-2348234</w:t>
            </w:r>
          </w:p>
        </w:tc>
      </w:tr>
      <w:tr>
        <w:trPr>
          <w:trHeight w:val="220"/>
        </w:trPr>
        <w:tc>
          <w:tcPr>
            <w:tcW w:w="5940" w:type="dxa"/>
            <w:vAlign w:val="bottom"/>
            <w:gridSpan w:val="4"/>
          </w:tcPr>
          <w:p>
            <w:pPr>
              <w:jc w:val="center"/>
              <w:ind w:right="244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jc w:val="center"/>
              <w:ind w:left="508"/>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tc>
      </w:tr>
      <w:tr>
        <w:trPr>
          <w:trHeight w:val="388"/>
        </w:trPr>
        <w:tc>
          <w:tcPr>
            <w:tcW w:w="5940" w:type="dxa"/>
            <w:vAlign w:val="bottom"/>
            <w:gridSpan w:val="4"/>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One Technology Way, Norwood, MA</w:t>
            </w:r>
          </w:p>
        </w:tc>
        <w:tc>
          <w:tcPr>
            <w:tcW w:w="3380" w:type="dxa"/>
            <w:vAlign w:val="bottom"/>
            <w:gridSpan w:val="4"/>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8"/>
              </w:rPr>
              <w:t>02062-9106</w:t>
            </w:r>
          </w:p>
        </w:tc>
      </w:tr>
      <w:tr>
        <w:trPr>
          <w:trHeight w:val="220"/>
        </w:trPr>
        <w:tc>
          <w:tcPr>
            <w:tcW w:w="5940" w:type="dxa"/>
            <w:vAlign w:val="bottom"/>
            <w:gridSpan w:val="4"/>
          </w:tcPr>
          <w:p>
            <w:pPr>
              <w:jc w:val="center"/>
              <w:ind w:right="246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40" w:type="dxa"/>
            <w:vAlign w:val="bottom"/>
          </w:tcPr>
          <w:p>
            <w:pPr>
              <w:jc w:val="center"/>
              <w:ind w:left="508"/>
              <w:spacing w:after="0"/>
              <w:rPr>
                <w:sz w:val="20"/>
                <w:szCs w:val="20"/>
                <w:color w:val="auto"/>
              </w:rPr>
            </w:pPr>
            <w:r>
              <w:rPr>
                <w:rFonts w:ascii="Times New Roman" w:cs="Times New Roman" w:eastAsia="Times New Roman" w:hAnsi="Times New Roman"/>
                <w:sz w:val="14"/>
                <w:szCs w:val="14"/>
                <w:i w:val="1"/>
                <w:iCs w:val="1"/>
                <w:color w:val="auto"/>
              </w:rPr>
              <w:t>(Zip Code)</w:t>
            </w:r>
          </w:p>
        </w:tc>
      </w:tr>
      <w:tr>
        <w:trPr>
          <w:trHeight w:val="363"/>
        </w:trPr>
        <w:tc>
          <w:tcPr>
            <w:tcW w:w="5900" w:type="dxa"/>
            <w:vAlign w:val="bottom"/>
            <w:gridSpan w:val="3"/>
          </w:tcPr>
          <w:p>
            <w:pPr>
              <w:jc w:val="center"/>
              <w:ind w:left="3725"/>
              <w:spacing w:after="0"/>
              <w:rPr>
                <w:sz w:val="20"/>
                <w:szCs w:val="20"/>
                <w:color w:val="auto"/>
              </w:rPr>
            </w:pPr>
            <w:r>
              <w:rPr>
                <w:rFonts w:ascii="Times New Roman" w:cs="Times New Roman" w:eastAsia="Times New Roman" w:hAnsi="Times New Roman"/>
                <w:sz w:val="18"/>
                <w:szCs w:val="18"/>
                <w:b w:val="1"/>
                <w:bCs w:val="1"/>
                <w:color w:val="auto"/>
                <w:w w:val="99"/>
              </w:rPr>
              <w:t>(781) 329-4700</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62"/>
        </w:trPr>
        <w:tc>
          <w:tcPr>
            <w:tcW w:w="9320" w:type="dxa"/>
            <w:vAlign w:val="bottom"/>
            <w:gridSpan w:val="8"/>
          </w:tcPr>
          <w:p>
            <w:pPr>
              <w:jc w:val="center"/>
              <w:ind w:left="28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190"/>
        </w:trPr>
        <w:tc>
          <w:tcPr>
            <w:tcW w:w="9320" w:type="dxa"/>
            <w:vAlign w:val="bottom"/>
            <w:gridSpan w:val="8"/>
          </w:tcPr>
          <w:p>
            <w:pPr>
              <w:jc w:val="center"/>
              <w:ind w:left="285"/>
              <w:spacing w:after="0"/>
              <w:rPr>
                <w:sz w:val="20"/>
                <w:szCs w:val="20"/>
                <w:color w:val="auto"/>
              </w:rPr>
            </w:pPr>
            <w:r>
              <w:rPr>
                <w:rFonts w:ascii="Times New Roman" w:cs="Times New Roman" w:eastAsia="Times New Roman" w:hAnsi="Times New Roman"/>
                <w:sz w:val="14"/>
                <w:szCs w:val="14"/>
                <w:i w:val="1"/>
                <w:iCs w:val="1"/>
                <w:color w:val="auto"/>
              </w:rPr>
              <w:t>(Former name, former address and former fiscal year, if changed since last report)</w:t>
            </w:r>
          </w:p>
        </w:tc>
      </w:tr>
      <w:tr>
        <w:trPr>
          <w:trHeight w:val="253"/>
        </w:trPr>
        <w:tc>
          <w:tcPr>
            <w:tcW w:w="3460" w:type="dxa"/>
            <w:vAlign w:val="bottom"/>
          </w:tcPr>
          <w:p>
            <w:pPr>
              <w:spacing w:after="0"/>
              <w:rPr>
                <w:sz w:val="22"/>
                <w:szCs w:val="22"/>
                <w:color w:val="auto"/>
              </w:rPr>
            </w:pPr>
          </w:p>
        </w:tc>
        <w:tc>
          <w:tcPr>
            <w:tcW w:w="19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Pr>
          <w:p>
            <w:pPr>
              <w:spacing w:after="0"/>
              <w:rPr>
                <w:sz w:val="22"/>
                <w:szCs w:val="22"/>
                <w:color w:val="auto"/>
              </w:rPr>
            </w:pPr>
          </w:p>
        </w:tc>
        <w:tc>
          <w:tcPr>
            <w:tcW w:w="2640" w:type="dxa"/>
            <w:vAlign w:val="bottom"/>
          </w:tcPr>
          <w:p>
            <w:pPr>
              <w:spacing w:after="0"/>
              <w:rPr>
                <w:sz w:val="22"/>
                <w:szCs w:val="22"/>
                <w:color w:val="auto"/>
              </w:rPr>
            </w:pPr>
          </w:p>
        </w:tc>
      </w:tr>
    </w:tbl>
    <w:p>
      <w:pPr>
        <w:spacing w:after="0" w:line="36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80" w:firstLine="432"/>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 (Check one):</w:t>
      </w:r>
    </w:p>
    <w:p>
      <w:pPr>
        <w:sectPr>
          <w:pgSz w:w="11900" w:h="16838" w:orient="portrait"/>
          <w:cols w:equalWidth="0" w:num="1">
            <w:col w:w="11240"/>
          </w:cols>
          <w:pgMar w:left="240" w:top="1011" w:right="419" w:bottom="1440" w:gutter="0" w:footer="0" w:header="0"/>
        </w:sectPr>
      </w:pPr>
    </w:p>
    <w:p>
      <w:pPr>
        <w:spacing w:after="0" w:line="1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920" w:space="720"/>
            <w:col w:w="4680" w:space="720"/>
            <w:col w:w="2220" w:space="720"/>
            <w:col w:w="260"/>
          </w:cols>
          <w:pgMar w:left="240" w:top="1011" w:right="419" w:bottom="1440" w:gutter="0" w:footer="0" w:header="0"/>
          <w:type w:val="continuous"/>
        </w:sectPr>
      </w:pP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920" w:space="720"/>
            <w:col w:w="160" w:space="100"/>
            <w:col w:w="4420" w:space="720"/>
            <w:col w:w="2220" w:space="720"/>
            <w:col w:w="260"/>
          </w:cols>
          <w:pgMar w:left="240" w:top="1011" w:right="419" w:bottom="1440" w:gutter="0" w:footer="0" w:header="0"/>
          <w:type w:val="continuous"/>
        </w:sectPr>
      </w:pPr>
    </w:p>
    <w:p>
      <w:pPr>
        <w:ind w:left="440" w:right="122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3, 2014 there were 314,145,403 shares of common stock of the registrant, $0.16 2/3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03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240"/>
          </w:cols>
          <w:pgMar w:left="240" w:top="1011" w:right="41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6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per share amounts)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80" w:type="dxa"/>
            <w:vAlign w:val="bottom"/>
          </w:tcPr>
          <w:p>
            <w:pPr>
              <w:spacing w:after="0"/>
              <w:rPr>
                <w:sz w:val="22"/>
                <w:szCs w:val="22"/>
                <w:color w:val="auto"/>
              </w:rPr>
            </w:pP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0" w:type="dxa"/>
            <w:vAlign w:val="bottom"/>
          </w:tcPr>
          <w:p>
            <w:pPr>
              <w:spacing w:after="0"/>
              <w:rPr>
                <w:sz w:val="1"/>
                <w:szCs w:val="1"/>
                <w:color w:val="auto"/>
              </w:rPr>
            </w:pPr>
          </w:p>
        </w:tc>
      </w:tr>
      <w:tr>
        <w:trPr>
          <w:trHeight w:val="249"/>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694,536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659,250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1,322,774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1,281,384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sales (1)</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235,793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237,055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454,913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468,905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458,743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422,195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867,861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812,479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Research and development (1)</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136,258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128,110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264,904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253,274</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Selling, marketing, general and administrative (1)</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102,085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200,263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200,263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Special charges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238,343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230,813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467,852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467,608</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220,400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191,382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400,009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344,871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12,771</w:t>
            </w:r>
          </w:p>
        </w:tc>
        <w:tc>
          <w:tcPr>
            <w:tcW w:w="0" w:type="dxa"/>
            <w:vAlign w:val="bottom"/>
          </w:tcPr>
          <w:p>
            <w:pPr>
              <w:spacing w:after="0"/>
              <w:rPr>
                <w:sz w:val="1"/>
                <w:szCs w:val="1"/>
                <w:color w:val="auto"/>
              </w:rPr>
            </w:pPr>
          </w:p>
        </w:tc>
      </w:tr>
      <w:tr>
        <w:trPr>
          <w:trHeight w:val="243"/>
        </w:trPr>
        <w:tc>
          <w:tcPr>
            <w:tcW w:w="60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3,721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6,750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7,101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217,368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187,661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393,259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337,770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29,935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42,076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187,433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164,472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340,019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295,694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313,488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307,444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312,887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305,464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318,347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313,368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318,182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311,822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Dividends declared and paid per share</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0.64</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60" w:type="dxa"/>
            <w:vAlign w:val="bottom"/>
            <w:tcBorders>
              <w:bottom w:val="single" w:sz="8" w:color="CCEEFF"/>
            </w:tcBorders>
            <w:shd w:val="clear" w:color="auto" w:fill="CCEEFF"/>
          </w:tcPr>
          <w:p>
            <w:pPr>
              <w:ind w:left="540"/>
              <w:spacing w:after="0" w:line="196" w:lineRule="exact"/>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1,517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3,184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10,644</w:t>
            </w:r>
          </w:p>
        </w:tc>
        <w:tc>
          <w:tcPr>
            <w:tcW w:w="0" w:type="dxa"/>
            <w:vAlign w:val="bottom"/>
          </w:tcPr>
          <w:p>
            <w:pPr>
              <w:spacing w:after="0"/>
              <w:rPr>
                <w:sz w:val="1"/>
                <w:szCs w:val="1"/>
                <w:color w:val="auto"/>
              </w:rPr>
            </w:pPr>
          </w:p>
        </w:tc>
      </w:tr>
      <w:tr>
        <w:trPr>
          <w:trHeight w:val="243"/>
        </w:trPr>
        <w:tc>
          <w:tcPr>
            <w:tcW w:w="6060" w:type="dxa"/>
            <w:vAlign w:val="bottom"/>
          </w:tcPr>
          <w:p>
            <w:pPr>
              <w:ind w:left="120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11,395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9,838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17,189</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6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80" w:type="dxa"/>
            <w:vAlign w:val="bottom"/>
          </w:tcPr>
          <w:p>
            <w:pPr>
              <w:spacing w:after="0"/>
              <w:rPr>
                <w:sz w:val="22"/>
                <w:szCs w:val="22"/>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80" w:type="dxa"/>
            <w:vAlign w:val="bottom"/>
          </w:tcPr>
          <w:p>
            <w:pPr>
              <w:spacing w:after="0"/>
              <w:rPr>
                <w:sz w:val="22"/>
                <w:szCs w:val="22"/>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May 4, 2013</w:t>
            </w:r>
          </w:p>
        </w:tc>
      </w:tr>
      <w:tr>
        <w:trPr>
          <w:trHeight w:val="242"/>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187,433</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164,472</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340,019</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295,694</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unrealized holding gains (losses) (net of taxes of $98, $25, $65, and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$21, respectively) on available for sale securities classified as short-term</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18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6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5"/>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unrealized gains (losses) (net of taxes of $239, $235, $90, and $293,</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41"/>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 on derivative instruments designated as cash flow hedges</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5"/>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pension plans including prior service cost, transition obligation, net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16"/>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actuarial loss and foreign currency translation adjustments, (net of taxes of $167,</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$205, $329, and $205 respectively)</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6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6,489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r>
      <w:tr>
        <w:trPr>
          <w:trHeight w:val="257"/>
        </w:trPr>
        <w:tc>
          <w:tcPr>
            <w:tcW w:w="6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193,922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161,135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344,117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293,056</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67"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(thousands, except per share amounts)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00" w:type="dxa"/>
            <w:vAlign w:val="bottom"/>
          </w:tcPr>
          <w:p>
            <w:pPr>
              <w:spacing w:after="0"/>
              <w:rPr>
                <w:sz w:val="16"/>
                <w:szCs w:val="16"/>
                <w:color w:val="auto"/>
              </w:rPr>
            </w:pPr>
          </w:p>
        </w:tc>
        <w:tc>
          <w:tcPr>
            <w:tcW w:w="14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November 2, 2013</w:t>
            </w:r>
          </w:p>
        </w:tc>
        <w:tc>
          <w:tcPr>
            <w:tcW w:w="0" w:type="dxa"/>
            <w:vAlign w:val="bottom"/>
          </w:tcPr>
          <w:p>
            <w:pPr>
              <w:spacing w:after="0"/>
              <w:rPr>
                <w:sz w:val="1"/>
                <w:szCs w:val="1"/>
                <w:color w:val="auto"/>
              </w:rPr>
            </w:pPr>
          </w:p>
        </w:tc>
      </w:tr>
      <w:tr>
        <w:trPr>
          <w:trHeight w:val="235"/>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4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402,790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392,089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4,404,435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4,290,823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360,847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325,144</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Inventories (1)</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298,432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283,337</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119,347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136,299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income tax</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5,567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2,391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46,614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42,342</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5,638,032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5,472,425</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Property, Plant and Equipment, at Cost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 and buildings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468,944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458,853</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Machinery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1,798,147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1,733,850</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Office equipment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49,321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51,743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50,870</w:t>
            </w:r>
          </w:p>
        </w:tc>
        <w:tc>
          <w:tcPr>
            <w:tcW w:w="0" w:type="dxa"/>
            <w:vAlign w:val="bottom"/>
          </w:tcPr>
          <w:p>
            <w:pPr>
              <w:spacing w:after="0"/>
              <w:rPr>
                <w:sz w:val="1"/>
                <w:szCs w:val="1"/>
                <w:color w:val="auto"/>
              </w:rPr>
            </w:pPr>
          </w:p>
        </w:tc>
      </w:tr>
      <w:tr>
        <w:trPr>
          <w:trHeight w:val="217"/>
        </w:trPr>
        <w:tc>
          <w:tcPr>
            <w:tcW w:w="79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2,367,300</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2,292,894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1,821,815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1,784,723</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property, plant and equipment</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545,485</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508,171</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investments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3,816</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287,341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284,112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28,442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28,552</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22,954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26,226</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42,617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41,084</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assets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411,434</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401,154</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6,594,951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6,381,750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132,194</w:t>
            </w:r>
          </w:p>
        </w:tc>
        <w:tc>
          <w:tcPr>
            <w:tcW w:w="12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119,994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on shipments to distributors, net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267,933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247,428</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27,191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45,490</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143,884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157,600</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571,202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570,512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872,515</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872,241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6,037</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compensation plan liability</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18,867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17,364</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179,641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176,020</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1,092,226</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1,071,662</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$1.00 par value, 471,934 shares authorized, none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$0.16 2/3 par value, 1,200,000,000 shares authorized, 314,145,403 shares</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issued and outstanding (311,045,084 on November 2, 2013)</w:t>
            </w:r>
          </w:p>
        </w:tc>
        <w:tc>
          <w:tcPr>
            <w:tcW w:w="30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52,359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51,842</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781,011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711,879</w:t>
            </w:r>
          </w:p>
        </w:tc>
        <w:tc>
          <w:tcPr>
            <w:tcW w:w="0" w:type="dxa"/>
            <w:vAlign w:val="bottom"/>
          </w:tcPr>
          <w:p>
            <w:pPr>
              <w:spacing w:after="0"/>
              <w:rPr>
                <w:sz w:val="1"/>
                <w:szCs w:val="1"/>
                <w:color w:val="auto"/>
              </w:rPr>
            </w:pPr>
          </w:p>
        </w:tc>
      </w:tr>
      <w:tr>
        <w:trPr>
          <w:trHeight w:val="23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300" w:type="dxa"/>
            <w:vAlign w:val="bottom"/>
          </w:tcPr>
          <w:p>
            <w:pPr>
              <w:spacing w:after="0"/>
              <w:rPr>
                <w:sz w:val="20"/>
                <w:szCs w:val="20"/>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4,174,601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4,056,401</w:t>
            </w:r>
          </w:p>
        </w:tc>
        <w:tc>
          <w:tcPr>
            <w:tcW w:w="0" w:type="dxa"/>
            <w:vAlign w:val="bottom"/>
          </w:tcPr>
          <w:p>
            <w:pPr>
              <w:spacing w:after="0"/>
              <w:rPr>
                <w:sz w:val="1"/>
                <w:szCs w:val="1"/>
                <w:color w:val="auto"/>
              </w:rPr>
            </w:pP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(80,546)</w:t>
            </w:r>
          </w:p>
        </w:tc>
        <w:tc>
          <w:tcPr>
            <w:tcW w:w="0" w:type="dxa"/>
            <w:vAlign w:val="bottom"/>
          </w:tcPr>
          <w:p>
            <w:pPr>
              <w:spacing w:after="0"/>
              <w:rPr>
                <w:sz w:val="1"/>
                <w:szCs w:val="1"/>
                <w:color w:val="auto"/>
              </w:rPr>
            </w:pPr>
          </w:p>
        </w:tc>
      </w:tr>
      <w:tr>
        <w:trPr>
          <w:trHeight w:val="217"/>
        </w:trPr>
        <w:tc>
          <w:tcPr>
            <w:tcW w:w="7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4,931,523</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4,739,576</w:t>
            </w:r>
          </w:p>
        </w:tc>
        <w:tc>
          <w:tcPr>
            <w:tcW w:w="0" w:type="dxa"/>
            <w:vAlign w:val="bottom"/>
          </w:tcPr>
          <w:p>
            <w:pPr>
              <w:spacing w:after="0"/>
              <w:rPr>
                <w:sz w:val="1"/>
                <w:szCs w:val="1"/>
                <w:color w:val="auto"/>
              </w:rPr>
            </w:pP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9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6,594,951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6,381,750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3140" w:firstLine="272"/>
        <w:spacing w:after="0" w:line="525" w:lineRule="auto"/>
        <w:tabs>
          <w:tab w:leader="none" w:pos="65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$1,982 and $2,273 related to stock-based compensation at May 3, 2014 and November 2, 2013, respectively. See accompanying notes.</w:t>
      </w:r>
    </w:p>
    <w:p>
      <w:pPr>
        <w:sectPr>
          <w:pgSz w:w="11900" w:h="16838" w:orient="portrait"/>
          <w:cols w:equalWidth="0" w:num="1">
            <w:col w:w="11420"/>
          </w:cols>
          <w:pgMar w:left="240" w:top="769" w:right="239" w:bottom="0" w:gutter="0" w:footer="0" w:header="0"/>
        </w:sectPr>
      </w:pP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769" w:right="23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color w:val="auto"/>
        </w:rPr>
        <w:t>ANALOG DEVICES, INC.</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9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7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80" w:type="dxa"/>
            <w:vAlign w:val="bottom"/>
          </w:tcPr>
          <w:p>
            <w:pPr>
              <w:spacing w:after="0"/>
              <w:rPr>
                <w:sz w:val="22"/>
                <w:szCs w:val="22"/>
                <w:color w:val="auto"/>
              </w:rPr>
            </w:pPr>
          </w:p>
        </w:tc>
        <w:tc>
          <w:tcPr>
            <w:tcW w:w="140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May 4, 2013</w:t>
            </w:r>
          </w:p>
        </w:tc>
      </w:tr>
      <w:tr>
        <w:trPr>
          <w:trHeight w:val="209"/>
        </w:trPr>
        <w:tc>
          <w:tcPr>
            <w:tcW w:w="7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r>
      <w:tr>
        <w:trPr>
          <w:trHeight w:val="60"/>
        </w:trPr>
        <w:tc>
          <w:tcPr>
            <w:tcW w:w="7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340,019</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295,694</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54,794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55,233</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21,949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31,017</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Excess tax benefit-stock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(8,808)</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(10,402)</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Other non-cash activity</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2,817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(1,382)</w:t>
            </w:r>
          </w:p>
        </w:tc>
      </w:tr>
      <w:tr>
        <w:trPr>
          <w:trHeight w:val="23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(9,840)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48,693</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55,878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114,461</w:t>
            </w:r>
          </w:p>
        </w:tc>
      </w:tr>
      <w:tr>
        <w:trPr>
          <w:trHeight w:val="21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395,897</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410,155</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60"/>
        </w:trPr>
        <w:tc>
          <w:tcPr>
            <w:tcW w:w="790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400" w:type="dxa"/>
            <w:vAlign w:val="bottom"/>
            <w:shd w:val="clear" w:color="auto" w:fill="CCEEFF"/>
          </w:tcPr>
          <w:p>
            <w:pPr>
              <w:spacing w:after="0"/>
              <w:rPr>
                <w:sz w:val="5"/>
                <w:szCs w:val="5"/>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Purchases of short-term available-for-sale investments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(4,510,237)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(3,856,909)</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Maturities of short-term available-for-sale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3,995,075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3,277,635</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Sales of short-term available-for-sale investments</w:t>
            </w:r>
          </w:p>
        </w:tc>
        <w:tc>
          <w:tcPr>
            <w:tcW w:w="3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402,086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374,515</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(92,181)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(44,448)</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other assets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(2,526)</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Net cash used for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(214,339)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(251,733)</w:t>
            </w:r>
          </w:p>
        </w:tc>
      </w:tr>
      <w:tr>
        <w:trPr>
          <w:trHeight w:val="20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60"/>
        </w:trPr>
        <w:tc>
          <w:tcPr>
            <w:tcW w:w="7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tcPr>
          <w:p>
            <w:pPr>
              <w:spacing w:after="0"/>
              <w:rPr>
                <w:sz w:val="5"/>
                <w:szCs w:val="5"/>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Term loan repayments</w:t>
            </w:r>
          </w:p>
        </w:tc>
        <w:tc>
          <w:tcPr>
            <w:tcW w:w="3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(60,108)</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Dividend payments to shareholders</w:t>
            </w:r>
          </w:p>
        </w:tc>
        <w:tc>
          <w:tcPr>
            <w:tcW w:w="3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(221,819)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(195,094)</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(111,577)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(21,520)</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Proceeds from employee stock plans</w:t>
            </w:r>
          </w:p>
        </w:tc>
        <w:tc>
          <w:tcPr>
            <w:tcW w:w="3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142,536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176,025</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(3,752)</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Increase in other financing activities</w:t>
            </w:r>
          </w:p>
        </w:tc>
        <w:tc>
          <w:tcPr>
            <w:tcW w:w="300" w:type="dxa"/>
            <w:vAlign w:val="bottom"/>
          </w:tcPr>
          <w:p>
            <w:pPr>
              <w:spacing w:after="0"/>
              <w:rPr>
                <w:sz w:val="20"/>
                <w:szCs w:val="20"/>
                <w:color w:val="auto"/>
              </w:rPr>
            </w:pPr>
          </w:p>
        </w:tc>
        <w:tc>
          <w:tcPr>
            <w:tcW w:w="14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10,964</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3,157</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Excess tax benefit-stock options</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12,027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8,808</w:t>
            </w:r>
          </w:p>
        </w:tc>
      </w:tr>
      <w:tr>
        <w:trPr>
          <w:trHeight w:val="21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Net cash used for financing activities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(169,642)</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(92,484)</w:t>
            </w:r>
          </w:p>
        </w:tc>
      </w:tr>
      <w:tr>
        <w:trPr>
          <w:trHeight w:val="33"/>
        </w:trPr>
        <w:tc>
          <w:tcPr>
            <w:tcW w:w="79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860</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10,701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66,798</w:t>
            </w:r>
          </w:p>
        </w:tc>
      </w:tr>
      <w:tr>
        <w:trPr>
          <w:trHeight w:val="33"/>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392,089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528,833</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402,790</w:t>
            </w:r>
          </w:p>
        </w:tc>
        <w:tc>
          <w:tcPr>
            <w:tcW w:w="12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595,631</w:t>
            </w:r>
          </w:p>
        </w:tc>
      </w:tr>
      <w:tr>
        <w:trPr>
          <w:trHeight w:val="33"/>
        </w:trPr>
        <w:tc>
          <w:tcPr>
            <w:tcW w:w="79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06"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ANALOG DEVICES,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SIX MONTHS ENDED MAY 3, 2014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w:t>
      </w:r>
    </w:p>
    <w:p>
      <w:pPr>
        <w:spacing w:after="0" w:line="94"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Analog Devices, Inc.’s (the Company) Annual Report on Form 10-K for the fiscal year ended November 2, 2013 and related notes. The results of operations for the interim periods shown in this report are not necessarily indicative of the results that may be expected for the fiscal year ending November 1, 2014 or any future period.</w:t>
      </w:r>
    </w:p>
    <w:p>
      <w:pPr>
        <w:spacing w:after="0" w:line="126"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Certain amounts reported in previous periods have been reclassified to conform to the fiscal 2014 presentation. Such reclassified amounts are immaterial. The Company has a 52-53 week fiscal year that ends on the Saturday closest to the last day in October. Fiscal 2014 and fiscal 2013 are 52-week fiscal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Recognition</w:t>
      </w:r>
    </w:p>
    <w:p>
      <w:pPr>
        <w:spacing w:after="0" w:line="9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Revenue from product sales to customers is generally recognized when title passes, which for shipments to certain foreign countries is subsequent to product shipment. Title for these shipments ordinarily passes within a week of shipment. A reserve for sales returns and allowances for customers is recorded based on historical experience or specific identification of an event necessitating a reserve.</w:t>
      </w:r>
    </w:p>
    <w:p>
      <w:pPr>
        <w:spacing w:after="0" w:line="122"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In all regions of the world, the Company defers revenue and the related cost of sales on shipments to distributors until the distributors resell the products to their customers. As a result, the Company’s revenue fully reflects end customer purchases and is not impacted by distributor inventory levels. Sales to distributors are made under agreements that allow distributors to receive price-adjustment credits, as discussed below, and to return qualifying products for credit, as determined by the Company, in order to reduce the amounts of slow-moving, discontinued or obsolete product from their inventory. These agreements limit such returns to a certain percentage of the value of the Company’s shipments to that distributor during the prior quarter. In addition, distributors are allowed to return unsold products if the Company terminates the relationship with the distributor.</w:t>
      </w:r>
    </w:p>
    <w:p>
      <w:pPr>
        <w:spacing w:after="0" w:line="134"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Distributors are granted price-adjustment credits for sales to their customers when the distributor’s standard cost (i.e., the Company’s sales price to the distributor) does not provide the distributor with an appropriate margin on its sales to its customers. As distributors negotiate selling prices with their customers, the final sales price agreed upon with the customer will be influenced by many factors, including the particular product being sold, the quantity ordered, the particular customer, the geographic location of the distributor and the competitive landscape. As a result, the distributor may request and receive a price-adjustment credit from the Company to allow the distributor to earn an appropriate margin on the transaction.</w:t>
      </w:r>
    </w:p>
    <w:p>
      <w:pPr>
        <w:spacing w:after="0" w:line="130"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Distributors are also granted price-adjustment credits in the event of a price decrease subsequent to the date the product was shipped and billed to the distributor. Generally, the Company will provide a credit equal to the difference between the price paid by the distributor (less any prior credits on such products) and the new price for the product multiplied by the quantity of the specific product in the distributor’s inventory at the time of the price decrease.</w:t>
      </w:r>
    </w:p>
    <w:p>
      <w:pPr>
        <w:spacing w:after="0" w:line="122"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Given the uncertainties associated with the levels of price-adjustment credits to be granted to distributors, the sales price to the distributor is not fixed or determinable until the distributor resells the products to their customers. Therefore, the Company defers revenue recognition from sales to distributors until the distributors have sold the products to their customers.</w:t>
      </w:r>
    </w:p>
    <w:p>
      <w:pPr>
        <w:spacing w:after="0" w:line="122"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Title to the inventory transfers to the distributor at the time of shipment or delivery to the distributor, and payment from the distributor is due in accordance with the Company’s standard payment terms. These payment terms are not contingent upon the distributors’ sale of the products to their customers. Upon title transfer to distributors, inventory is reduced for the cost of goods shipped, the margin (sales less cost of sales) is recorded as “deferred income on shipments to distributors, net” and an account receivable is recorded. Shipping costs are charged to cost of sales as incurred.</w:t>
      </w:r>
    </w:p>
    <w:p>
      <w:pPr>
        <w:spacing w:after="0" w:line="180"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The deferred costs of sales to distributors have historically had very little risk of impairment due to the margins the Company earns on sales of its products and the relatively long life-cycle of the Company’s products. Product returns from distributors that are ultimately scrapped have historically been immaterial. In addition, price protection and price-adjustment credits granted to distributors historically have not exceeded the margins the Company earns on sales of its products. The Company continuously monitors the level and nature of product returns and is in frequent contact with the distributors to ensure reserves are established for all known material issues.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As of May 3, 2014 and November 2, 2013, the Company had gross deferred revenue of $334.0 million and $309.2 million, respectively, and gross deferred cost of sales of $66.1 million and $61.8 million, respectively. Deferred income on shipments to distributors increased in the first six months of fiscal 2014 primarily as a result of an increase in product shipments into the channel during the final month of the second quarter of fiscal 2014 in order to support anticipated sales demand.</w:t>
      </w:r>
    </w:p>
    <w:p>
      <w:pPr>
        <w:spacing w:after="0" w:line="126"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generally offers a twelve-month warranty for its products. The Company’s warranty policy provides for replacement of defective products. Specific accruals are recorded for known product warranty issues. Product warranty expenses during each of the three- and six-month periods ended May 3, 2014 and May 4, 2013 were not 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Stock-Based Compensation</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Stock-based compensation is measured at the grant date based on the grant-date fair value of the awards ultimately expected to vest, and is recognized as an expense on a straight-line basis over the vesting period, which is generally five years for stock options and three years for restricted stock units. In addition to restricted stock units with a service condition, we grant restricted stock units with both a market condition and a service condition (market-based restricted stock units). The number of shares of the Company's common stock to be issued upon vesting of market-based restricted stock units will range from 0% to 200% of the target amount, based on the comparison of the Company's total shareholder return (TSR) to the median TSR of a specified peer group over a three-year period. TSR is a measure of stock price appreciation plus any dividends paid during the performance period. Determining the amount of stock-based compensation to be recorded for stock options and market-based restricted stock units requires the Company to develop estimates to calculate the grant-date fair value of awards.</w:t>
      </w:r>
    </w:p>
    <w:p>
      <w:pPr>
        <w:spacing w:after="0" w:line="18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Grant-Date Fair Value </w:t>
      </w:r>
      <w:r>
        <w:rPr>
          <w:rFonts w:ascii="Times New Roman" w:cs="Times New Roman" w:eastAsia="Times New Roman" w:hAnsi="Times New Roman"/>
          <w:sz w:val="18"/>
          <w:szCs w:val="18"/>
          <w:color w:val="auto"/>
        </w:rPr>
        <w:t>— The Company uses the Black-Scholes valuation model to calculate the grant-date fair value of stock option awards and the Monte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Carlo simulation model to calculate the grant-date fair value of market-based restricted stock units. The use of these valuation models requires the Company to make estimates and assumptions, such as expected volatility, expected term, risk-free interest rate, expected dividend yield and forfeiture rates. The grant-date fair value of restricted stock units with only a service condition represents the value of the Company’s common stock on the date of grant, reduced by the present value of dividends expected to be paid on the Company’s common stock prior to vesting.</w:t>
      </w:r>
    </w:p>
    <w:p>
      <w:pPr>
        <w:spacing w:after="0" w:line="182"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Information pertaining to the Company’s stock option awards and the related estimated weighted-average assumptions to calculate the fair value of stock options using the Black-Scholes valuation model granted during the three- and six-month periods ended May 3, 2014 and May 4, 2013 are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3380" w:type="dxa"/>
            <w:vAlign w:val="bottom"/>
            <w:tcBorders>
              <w:bottom w:val="single" w:sz="8" w:color="auto"/>
            </w:tcBorders>
            <w:gridSpan w:val="3"/>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74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64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May 4,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4"/>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 granted (in thousands)</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2,266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2,110</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2,286</w:t>
            </w:r>
          </w:p>
        </w:tc>
      </w:tr>
      <w:tr>
        <w:trPr>
          <w:trHeight w:val="243"/>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Weighted-average exercise price</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$51.74</w:t>
            </w:r>
          </w:p>
        </w:tc>
        <w:tc>
          <w:tcPr>
            <w:tcW w:w="10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$46.47</w:t>
            </w:r>
          </w:p>
        </w:tc>
        <w:tc>
          <w:tcPr>
            <w:tcW w:w="12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$51.72</w:t>
            </w:r>
          </w:p>
        </w:tc>
        <w:tc>
          <w:tcPr>
            <w:tcW w:w="12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$46.41</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grant-date fair value</w:t>
            </w:r>
          </w:p>
        </w:tc>
        <w:tc>
          <w:tcPr>
            <w:tcW w:w="16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$7.35</w:t>
            </w:r>
          </w:p>
        </w:tc>
      </w:tr>
      <w:tr>
        <w:trPr>
          <w:trHeight w:val="243"/>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Assumptions:</w:t>
            </w: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43"/>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Weighted-average expected term (in years)</w:t>
            </w:r>
          </w:p>
        </w:tc>
        <w:tc>
          <w:tcPr>
            <w:tcW w:w="16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21"/>
                <w:szCs w:val="21"/>
                <w:color w:val="auto"/>
              </w:rPr>
            </w:pPr>
          </w:p>
        </w:tc>
        <w:tc>
          <w:tcPr>
            <w:tcW w:w="162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21"/>
                <w:szCs w:val="21"/>
                <w:color w:val="auto"/>
              </w:rPr>
            </w:pPr>
          </w:p>
        </w:tc>
        <w:tc>
          <w:tcPr>
            <w:tcW w:w="16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5.4</w:t>
            </w:r>
          </w:p>
        </w:tc>
      </w:tr>
      <w:tr>
        <w:trPr>
          <w:trHeight w:val="27"/>
        </w:trPr>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risk-free interest rate</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4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Weighted-average expected dividend yield</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25"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Monte Carlo simulation model utilizes multiple input variables that determine the probability of satisfying the performance conditions stipulated in the award grant and calculates the fair market value for the market-based restricted stock units granted. The Monte Carlo simulation model also uses stock price volatility and other variables to estimate the probability of satisfying the performance conditions, including the possibility that the market condition may not be satisfied, and the resulting fair value of the award. Information pertaining to the Company’s market-based restricted stock units and the related estimated assumptions used to calculate the fair value of market-based restricted stock units granted during the three- and six-month periods ended May 3, 2014 using the Monte Carlo simulation model are as follows: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742" w:right="239" w:bottom="1440" w:gutter="0" w:footer="0" w:header="0"/>
        </w:sectPr>
      </w:pPr>
    </w:p>
    <w:bookmarkStart w:id="7" w:name="page8"/>
    <w:bookmarkEnd w:id="7"/>
    <w:tbl>
      <w:tblPr>
        <w:tblLayout w:type="fixed"/>
        <w:tblInd w:w="312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Three and Six</w:t>
            </w:r>
          </w:p>
        </w:tc>
      </w:tr>
      <w:tr>
        <w:trPr>
          <w:trHeight w:val="194"/>
        </w:trPr>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Months Ended</w:t>
            </w:r>
          </w:p>
        </w:tc>
      </w:tr>
      <w:tr>
        <w:trPr>
          <w:trHeight w:val="162"/>
        </w:trPr>
        <w:tc>
          <w:tcPr>
            <w:tcW w:w="40" w:type="dxa"/>
            <w:vAlign w:val="bottom"/>
          </w:tcPr>
          <w:p>
            <w:pPr>
              <w:spacing w:after="0"/>
              <w:rPr>
                <w:sz w:val="14"/>
                <w:szCs w:val="14"/>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Market-based Restricted Stock Units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May 3, 2014</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granted (in thousands)</w:t>
            </w:r>
          </w:p>
        </w:tc>
        <w:tc>
          <w:tcPr>
            <w:tcW w:w="126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86</w:t>
            </w:r>
          </w:p>
        </w:tc>
      </w:tr>
      <w:tr>
        <w:trPr>
          <w:trHeight w:val="243"/>
        </w:trPr>
        <w:tc>
          <w:tcPr>
            <w:tcW w:w="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Grant-date fair value</w:t>
            </w:r>
          </w:p>
        </w:tc>
        <w:tc>
          <w:tcPr>
            <w:tcW w:w="12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$50.79</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Assumptions:</w:t>
            </w: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Historical stock price volatility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40" w:type="dxa"/>
            <w:vAlign w:val="bottom"/>
          </w:tcPr>
          <w:p>
            <w:pPr>
              <w:spacing w:after="0"/>
              <w:rPr>
                <w:sz w:val="21"/>
                <w:szCs w:val="21"/>
                <w:color w:val="auto"/>
              </w:rPr>
            </w:pPr>
          </w:p>
        </w:tc>
        <w:tc>
          <w:tcPr>
            <w:tcW w:w="3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Market-based restricted stock units were not granted during the three- and six-month periods ended May 4, 2013.</w:t>
      </w:r>
    </w:p>
    <w:p>
      <w:pPr>
        <w:spacing w:after="0" w:line="169"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 The Company is responsible for estimating volatility and has considered a number of factors, including third-party estimates.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currently believes that the exclusive use of implied volatility results in the best estimate of the grant-date fair value of employee stock options because it reflects the market’s current expectations of future volatility. In evaluating the appropriateness of exclusively relying on implied volatility, the Company concluded that: (1) options in the Company’s common stock are actively traded with sufficient volume on several exchanges; (2) the market prices of both the traded options and the underlying shares are measured at a similar point in time to each other and on a date close to the grant date of the employee share options; (3) the traded options have exercise prices that are both near-the-money and close to the exercise price of the employee share options;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the remaining maturities of the traded options used to estimate volatility are at least one year.</w:t>
      </w:r>
    </w:p>
    <w:p>
      <w:pPr>
        <w:spacing w:after="0" w:line="205" w:lineRule="exact"/>
        <w:rPr>
          <w:sz w:val="20"/>
          <w:szCs w:val="20"/>
          <w:color w:val="auto"/>
        </w:rPr>
      </w:pPr>
    </w:p>
    <w:p>
      <w:pPr>
        <w:ind w:right="200" w:firstLine="432"/>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 The Company uses historical employee exercise and option expiration data to estimate the expected term assumption for the Black-Scholes grant-date valuation. The Company believes that this historical data is currently the best estimate of the expected term of a new option, and that generally its employees exhibit similar exercise behavior.</w:t>
      </w:r>
    </w:p>
    <w:p>
      <w:pPr>
        <w:spacing w:after="0" w:line="120" w:lineRule="exact"/>
        <w:rPr>
          <w:sz w:val="20"/>
          <w:szCs w:val="20"/>
          <w:color w:val="auto"/>
        </w:rPr>
      </w:pPr>
    </w:p>
    <w:p>
      <w:pPr>
        <w:ind w:right="36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interest rate </w:t>
      </w:r>
      <w:r>
        <w:rPr>
          <w:rFonts w:ascii="Times New Roman" w:cs="Times New Roman" w:eastAsia="Times New Roman" w:hAnsi="Times New Roman"/>
          <w:sz w:val="18"/>
          <w:szCs w:val="18"/>
          <w:color w:val="auto"/>
        </w:rPr>
        <w:t>— The yield on zero-coupon U.S. Treasury securities for a period that is commensurate with the expected term assumption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used as the risk-free interest rate.</w:t>
      </w:r>
    </w:p>
    <w:p>
      <w:pPr>
        <w:spacing w:after="0" w:line="10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Expected dividend yield </w:t>
      </w:r>
      <w:r>
        <w:rPr>
          <w:rFonts w:ascii="Times New Roman" w:cs="Times New Roman" w:eastAsia="Times New Roman" w:hAnsi="Times New Roman"/>
          <w:sz w:val="18"/>
          <w:szCs w:val="18"/>
          <w:color w:val="auto"/>
        </w:rPr>
        <w:t>— Expected dividend yield is calculated by annualizing the cash dividend declared by the Company’s Board of Directors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173"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expense recognized during a period is based on the value of the awards that are ultimately expected to vest. Forfeitures are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4.4% to all unvested stock-based awards as of May 3, 2014. The rate of 4.4% represents the portion that is expected to be forfeited each year over the vesting period. This analysis will be re-evaluated quarterly and the forfeiture rate will be adjusted as necessary. Ultimately, the actual expense recognized over the vesting period will only be for those options that vest.</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Additional paid-in-capital (APIC) Pool</w:t>
      </w:r>
    </w:p>
    <w:p>
      <w:pPr>
        <w:spacing w:after="0" w:line="92"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APIC pool represents the excess tax benefits related to share-based compensation that are available to absorb future tax deficiencies. If the amount of future tax deficiencies is greater than the available APIC pool, the Company records the excess as income tax expense in its condensed consolidated statements of income. During the three- and six-month periods ended May 3, 2014 and May 4, 2013, the Company had available APIC pool to absorb tax deficiencies recorded and as a result, these deficiencies did not affect its results of operations.</w:t>
      </w:r>
    </w:p>
    <w:p>
      <w:pPr>
        <w:spacing w:after="0" w:line="4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Stock-Based Compensation Activity</w:t>
      </w:r>
    </w:p>
    <w:p>
      <w:pPr>
        <w:spacing w:after="0" w:line="92"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A summary of the activity under the Company’s stock option plans as of May 3, 2014 and changes during the three- and six-month periods then ended is presented below:</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86"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Activity during the Three Months Ended May 3, 2014</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6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60"/>
        </w:trPr>
        <w:tc>
          <w:tcPr>
            <w:tcW w:w="5500" w:type="dxa"/>
            <w:vAlign w:val="bottom"/>
            <w:gridSpan w:val="3"/>
            <w:vMerge w:val="continue"/>
          </w:tcPr>
          <w:p>
            <w:pPr>
              <w:spacing w:after="0"/>
              <w:rPr>
                <w:sz w:val="13"/>
                <w:szCs w:val="13"/>
                <w:color w:val="auto"/>
              </w:rPr>
            </w:pPr>
          </w:p>
        </w:tc>
        <w:tc>
          <w:tcPr>
            <w:tcW w:w="13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1620" w:type="dxa"/>
            <w:vAlign w:val="bottom"/>
            <w:gridSpan w:val="2"/>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13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w w:val="98"/>
              </w:rPr>
              <w:t>Term in Years</w:t>
            </w: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top w:val="single" w:sz="8" w:color="auto"/>
              <w:bottom w:val="single" w:sz="8" w:color="CCEEFF"/>
            </w:tcBorders>
          </w:tcPr>
          <w:p>
            <w:pPr>
              <w:spacing w:after="0" w:line="20" w:lineRule="exact"/>
              <w:rPr>
                <w:sz w:val="1"/>
                <w:szCs w:val="1"/>
                <w:color w:val="auto"/>
              </w:rPr>
            </w:pPr>
          </w:p>
        </w:tc>
        <w:tc>
          <w:tcPr>
            <w:tcW w:w="216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February 1, 2014</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16,362</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$33.79</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 granted</w:t>
            </w: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2,094</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$51.74</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exercised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$30.84</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Options forfeited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$41.02</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expired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$29.03</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500" w:type="dxa"/>
            <w:vAlign w:val="bottom"/>
            <w:tcBorders>
              <w:bottom w:val="single" w:sz="8" w:color="CCEEFF"/>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Options outstanding at May 3, 2014</w:t>
            </w:r>
          </w:p>
        </w:tc>
        <w:tc>
          <w:tcPr>
            <w:tcW w:w="136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16,324</w:t>
            </w:r>
          </w:p>
        </w:tc>
        <w:tc>
          <w:tcPr>
            <w:tcW w:w="1620" w:type="dxa"/>
            <w:vAlign w:val="bottom"/>
            <w:tcBorders>
              <w:bottom w:val="single" w:sz="8" w:color="CCEEFF"/>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$36.42</w:t>
            </w:r>
          </w:p>
        </w:tc>
        <w:tc>
          <w:tcPr>
            <w:tcW w:w="14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8"/>
                <w:szCs w:val="18"/>
                <w:color w:val="auto"/>
              </w:rPr>
              <w:t>$245,430</w:t>
            </w:r>
          </w:p>
        </w:tc>
        <w:tc>
          <w:tcPr>
            <w:tcW w:w="0" w:type="dxa"/>
            <w:vAlign w:val="bottom"/>
          </w:tcPr>
          <w:p>
            <w:pPr>
              <w:spacing w:after="0"/>
              <w:rPr>
                <w:sz w:val="1"/>
                <w:szCs w:val="1"/>
                <w:color w:val="auto"/>
              </w:rPr>
            </w:pPr>
          </w:p>
        </w:tc>
      </w:tr>
      <w:tr>
        <w:trPr>
          <w:trHeight w:val="251"/>
        </w:trPr>
        <w:tc>
          <w:tcPr>
            <w:tcW w:w="5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Times New Roman" w:cs="Times New Roman" w:eastAsia="Times New Roman" w:hAnsi="Times New Roman"/>
                <w:sz w:val="18"/>
                <w:szCs w:val="18"/>
                <w:b w:val="1"/>
                <w:bCs w:val="1"/>
                <w:color w:val="auto"/>
              </w:rPr>
              <w:t>Options exercisable at May 3, 2014</w:t>
            </w:r>
          </w:p>
        </w:tc>
        <w:tc>
          <w:tcPr>
            <w:tcW w:w="136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10,057</w:t>
            </w:r>
          </w:p>
        </w:tc>
        <w:tc>
          <w:tcPr>
            <w:tcW w:w="16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$31.09</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$204,304</w:t>
            </w:r>
          </w:p>
        </w:tc>
        <w:tc>
          <w:tcPr>
            <w:tcW w:w="0" w:type="dxa"/>
            <w:vAlign w:val="bottom"/>
          </w:tcPr>
          <w:p>
            <w:pPr>
              <w:spacing w:after="0"/>
              <w:rPr>
                <w:sz w:val="1"/>
                <w:szCs w:val="1"/>
                <w:color w:val="auto"/>
              </w:rPr>
            </w:pPr>
          </w:p>
        </w:tc>
      </w:tr>
      <w:tr>
        <w:trPr>
          <w:trHeight w:val="20"/>
        </w:trPr>
        <w:tc>
          <w:tcPr>
            <w:tcW w:w="5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Options vested or expected to vest at May 3, 2014 (1)</w:t>
            </w: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500" w:type="dxa"/>
            <w:vAlign w:val="bottom"/>
            <w:gridSpan w:val="3"/>
            <w:vMerge w:val="continue"/>
          </w:tcPr>
          <w:p>
            <w:pPr>
              <w:spacing w:after="0"/>
              <w:rPr>
                <w:sz w:val="21"/>
                <w:szCs w:val="21"/>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15,750</w:t>
            </w:r>
          </w:p>
        </w:tc>
        <w:tc>
          <w:tcPr>
            <w:tcW w:w="162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$36.05</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$242,568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660" w:right="2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vested options, the Company expects a portion of the unvested options to vest at some point in the future. The number of options expected to vest is calculated by applying an estimated forfeiture rate to the unvested options.</w:t>
      </w: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526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8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Activity during the Six Months Ended May 3, 2014</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60"/>
        </w:trPr>
        <w:tc>
          <w:tcPr>
            <w:tcW w:w="8420" w:type="dxa"/>
            <w:vAlign w:val="bottom"/>
            <w:gridSpan w:val="3"/>
            <w:vMerge w:val="continue"/>
          </w:tcPr>
          <w:p>
            <w:pPr>
              <w:spacing w:after="0"/>
              <w:rPr>
                <w:sz w:val="13"/>
                <w:szCs w:val="13"/>
                <w:color w:val="auto"/>
              </w:rPr>
            </w:pPr>
          </w:p>
        </w:tc>
        <w:tc>
          <w:tcPr>
            <w:tcW w:w="13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Price Per Share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140" w:type="dxa"/>
            <w:vAlign w:val="bottom"/>
            <w:tcBorders>
              <w:top w:val="single" w:sz="8" w:color="auto"/>
              <w:bottom w:val="single" w:sz="8" w:color="CCEEFF"/>
            </w:tcBorders>
          </w:tcPr>
          <w:p>
            <w:pPr>
              <w:spacing w:after="0" w:line="20" w:lineRule="exact"/>
              <w:rPr>
                <w:sz w:val="1"/>
                <w:szCs w:val="1"/>
                <w:color w:val="auto"/>
              </w:rPr>
            </w:pPr>
          </w:p>
        </w:tc>
        <w:tc>
          <w:tcPr>
            <w:tcW w:w="52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84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November 2, 2013</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18,992</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Options granted</w:t>
            </w:r>
          </w:p>
        </w:tc>
        <w:tc>
          <w:tcPr>
            <w:tcW w:w="13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2,110</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$51.72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$31.35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Options forfeited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$40.89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 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$45.24</w:t>
            </w:r>
          </w:p>
        </w:tc>
        <w:tc>
          <w:tcPr>
            <w:tcW w:w="0" w:type="dxa"/>
            <w:vAlign w:val="bottom"/>
          </w:tcPr>
          <w:p>
            <w:pPr>
              <w:spacing w:after="0"/>
              <w:rPr>
                <w:sz w:val="1"/>
                <w:szCs w:val="1"/>
                <w:color w:val="auto"/>
              </w:rPr>
            </w:pPr>
          </w:p>
        </w:tc>
      </w:tr>
      <w:tr>
        <w:trPr>
          <w:trHeight w:val="257"/>
        </w:trPr>
        <w:tc>
          <w:tcPr>
            <w:tcW w:w="84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Options outstanding at May 3, 2014</w:t>
            </w:r>
          </w:p>
        </w:tc>
        <w:tc>
          <w:tcPr>
            <w:tcW w:w="13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16,324</w:t>
            </w:r>
          </w:p>
        </w:tc>
        <w:tc>
          <w:tcPr>
            <w:tcW w:w="15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$36.42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440" w:firstLine="40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May 3, 2014, the total intrinsic value of options exercised (i.e., the difference between the market price at exercise and the price paid by the employee to exercise the options) was $42.9 million and $87.8 million, respectively, and the total amount of proceeds received by the Company from the exercise of these options was $62.9 million and $142.5 million, respectively.</w:t>
      </w:r>
    </w:p>
    <w:p>
      <w:pPr>
        <w:spacing w:after="0" w:line="176" w:lineRule="exact"/>
        <w:rPr>
          <w:sz w:val="20"/>
          <w:szCs w:val="20"/>
          <w:color w:val="auto"/>
        </w:rPr>
      </w:pPr>
    </w:p>
    <w:p>
      <w:pPr>
        <w:jc w:val="both"/>
        <w:ind w:left="60" w:right="440" w:firstLine="40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May 4, 2013, the total intrinsic value of options exercised (i.e., the difference between the market price at exercise and the price paid by the employee to exercise the options) was $31.2 million and $83.2 million, respectively, and the total amount of proceeds received by the Company from the exercise of these options was $62.2 million and $176.0 million, respectively.</w:t>
      </w:r>
    </w:p>
    <w:p>
      <w:pPr>
        <w:spacing w:after="0" w:line="176" w:lineRule="exact"/>
        <w:rPr>
          <w:sz w:val="20"/>
          <w:szCs w:val="20"/>
          <w:color w:val="auto"/>
        </w:rPr>
      </w:pPr>
    </w:p>
    <w:p>
      <w:pPr>
        <w:ind w:left="60" w:right="80" w:firstLine="405"/>
        <w:spacing w:after="0" w:line="282" w:lineRule="auto"/>
        <w:rPr>
          <w:sz w:val="20"/>
          <w:szCs w:val="20"/>
          <w:color w:val="auto"/>
        </w:rPr>
      </w:pPr>
      <w:r>
        <w:rPr>
          <w:rFonts w:ascii="Times New Roman" w:cs="Times New Roman" w:eastAsia="Times New Roman" w:hAnsi="Times New Roman"/>
          <w:sz w:val="18"/>
          <w:szCs w:val="18"/>
          <w:color w:val="auto"/>
        </w:rPr>
        <w:t>A summary of the Company’s restricted stock unit award activity as of May 3, 2014 and changes during the three- and six-month periods then ended is presented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4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Activity during the Three Months Ended May 3, 2014</w:t>
            </w:r>
          </w:p>
        </w:tc>
        <w:tc>
          <w:tcPr>
            <w:tcW w:w="34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0"/>
        </w:trPr>
        <w:tc>
          <w:tcPr>
            <w:tcW w:w="4940" w:type="dxa"/>
            <w:vAlign w:val="bottom"/>
            <w:gridSpan w:val="3"/>
            <w:vMerge w:val="continue"/>
          </w:tcPr>
          <w:p>
            <w:pPr>
              <w:spacing w:after="0"/>
              <w:rPr>
                <w:sz w:val="13"/>
                <w:szCs w:val="13"/>
                <w:color w:val="auto"/>
              </w:rPr>
            </w:pPr>
          </w:p>
        </w:tc>
        <w:tc>
          <w:tcPr>
            <w:tcW w:w="340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30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34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 at February 1, 2014</w:t>
            </w:r>
          </w:p>
        </w:tc>
        <w:tc>
          <w:tcPr>
            <w:tcW w:w="49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1,695</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$39.00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Units granted</w:t>
            </w:r>
          </w:p>
        </w:tc>
        <w:tc>
          <w:tcPr>
            <w:tcW w:w="4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814</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$47.78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9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Restrictions lapsed</w:t>
            </w:r>
          </w:p>
        </w:tc>
        <w:tc>
          <w:tcPr>
            <w:tcW w:w="4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$37.20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49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4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$38.98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4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 at May 3, 2014</w:t>
            </w:r>
          </w:p>
        </w:tc>
        <w:tc>
          <w:tcPr>
            <w:tcW w:w="49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2,449</w:t>
            </w:r>
          </w:p>
        </w:tc>
        <w:tc>
          <w:tcPr>
            <w:tcW w:w="158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Times New Roman" w:cs="Times New Roman" w:eastAsia="Times New Roman" w:hAnsi="Times New Roman"/>
                <w:sz w:val="18"/>
                <w:szCs w:val="18"/>
                <w:color w:val="auto"/>
              </w:rPr>
              <w:t>8</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24"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9"/>
        </w:trPr>
        <w:tc>
          <w:tcPr>
            <w:tcW w:w="8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Activity during the Six Months Ended May 3, 2014</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60"/>
        </w:trPr>
        <w:tc>
          <w:tcPr>
            <w:tcW w:w="8340" w:type="dxa"/>
            <w:vAlign w:val="bottom"/>
            <w:gridSpan w:val="3"/>
            <w:vMerge w:val="continue"/>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3"/>
                <w:szCs w:val="13"/>
                <w:color w:val="auto"/>
              </w:rPr>
            </w:pPr>
          </w:p>
        </w:tc>
        <w:tc>
          <w:tcPr>
            <w:tcW w:w="14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83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 at November 2, 2013</w:t>
            </w: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8340" w:type="dxa"/>
            <w:vAlign w:val="bottom"/>
            <w:gridSpan w:val="3"/>
            <w:vMerge w:val="continue"/>
          </w:tcPr>
          <w:p>
            <w:pPr>
              <w:spacing w:after="0"/>
              <w:rPr>
                <w:sz w:val="20"/>
                <w:szCs w:val="20"/>
                <w:color w:val="auto"/>
              </w:rPr>
            </w:pPr>
          </w:p>
        </w:tc>
        <w:tc>
          <w:tcPr>
            <w:tcW w:w="15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2,493</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$37.62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Units granted</w:t>
            </w:r>
          </w:p>
        </w:tc>
        <w:tc>
          <w:tcPr>
            <w:tcW w:w="15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838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$47.75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Restrictions lapsed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$34.96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$38.69</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Restricted stock units outstanding at May 3, 2014</w:t>
            </w:r>
          </w:p>
        </w:tc>
        <w:tc>
          <w:tcPr>
            <w:tcW w:w="1500" w:type="dxa"/>
            <w:vAlign w:val="bottom"/>
            <w:tcBorders>
              <w:top w:val="single" w:sz="8" w:color="auto"/>
              <w:bottom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2,449</w:t>
            </w:r>
          </w:p>
        </w:tc>
        <w:tc>
          <w:tcPr>
            <w:tcW w:w="158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$41.95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As of May 3, 2014, there was $115.9 million of total unrecognized compensation cost related to unvested share-based awards comprised of stock options, and restricted stock units. That cost is expected to be recognized over a weighted-average period of 1.6 years. The total grant-date fair value of shares that vested during the three and six months ended May 3, 2014 was approximately $12.7 million and $52.2 million, respectively. The total grant-date fair value of shares that vested during the three and six months ended May 4, 2013 was approximately $11.9 million and $62.1 million,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Common Stock Repurchase</w:t>
      </w:r>
    </w:p>
    <w:p>
      <w:pPr>
        <w:spacing w:after="0" w:line="94"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Company’s common stock repurchase program has been in place since August 2004. As of May 3, 2014, in the aggregate, the Board of Directors has authorized the Company to repurchase $5.6 billion of the Company’s common stock under the program. Under the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 As of May 3, 2014, the Company had repurchased a total of approximately 132.1 million shares of its common stock for approximately $4,579.0 million under this program. As of May 3, 2014, an additional $991.0 million remains available for repurchase of shares under the current authorized program. The repurchased shares are held as authorized but unissued shares of common stock. The Company also, from time to time, repurchases shares in settlement of employee minimum tax withholding obligations due upon the vesting of restricted stock units, or in certain limited circumstances to satisfy the exercise price of options granted to the Company’s employees under the Company’s equity compensation plans. Any future common stock repurchases will be dependent upon several factors, including the Company's financial performance, outlook, liquidity and the amount of cash the Company has available in the United States.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845"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5 – Accumulated Other Comprehensive Income (Loss)</w:t>
      </w:r>
    </w:p>
    <w:p>
      <w:pPr>
        <w:spacing w:after="0" w:line="22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changes in accumulated other comprehensive income (loss), OCI, by component and the related tax effects during the first six months of fiscal 2014.</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holding Gains on</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Available for Sale</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holding (losses) on</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4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Foreign currency</w:t>
            </w:r>
          </w:p>
        </w:tc>
        <w:tc>
          <w:tcPr>
            <w:tcW w:w="22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2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securities</w:t>
            </w:r>
          </w:p>
        </w:tc>
        <w:tc>
          <w:tcPr>
            <w:tcW w:w="18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translation</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classified as short-</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classified as short-</w:t>
            </w: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holding Gains on</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term investments</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term investments</w:t>
            </w:r>
          </w:p>
        </w:tc>
        <w:tc>
          <w:tcPr>
            <w:tcW w:w="18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Derivatives</w:t>
            </w:r>
          </w:p>
        </w:tc>
        <w:tc>
          <w:tcPr>
            <w:tcW w:w="12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Pension Plans</w:t>
            </w:r>
          </w:p>
        </w:tc>
        <w:tc>
          <w:tcPr>
            <w:tcW w:w="300" w:type="dxa"/>
            <w:vAlign w:val="bottom"/>
          </w:tcPr>
          <w:p>
            <w:pPr>
              <w:spacing w:after="0"/>
              <w:rPr>
                <w:sz w:val="18"/>
                <w:szCs w:val="18"/>
                <w:color w:val="auto"/>
              </w:rPr>
            </w:pPr>
          </w:p>
        </w:tc>
        <w:tc>
          <w:tcPr>
            <w:tcW w:w="1060" w:type="dxa"/>
            <w:vAlign w:val="bottom"/>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33"/>
        </w:trPr>
        <w:tc>
          <w:tcPr>
            <w:tcW w:w="29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November 2, 2013</w:t>
            </w: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vMerge w:val="continue"/>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(80,546)</w:t>
            </w:r>
          </w:p>
        </w:tc>
        <w:tc>
          <w:tcPr>
            <w:tcW w:w="0" w:type="dxa"/>
            <w:vAlign w:val="bottom"/>
          </w:tcPr>
          <w:p>
            <w:pPr>
              <w:spacing w:after="0"/>
              <w:rPr>
                <w:sz w:val="1"/>
                <w:szCs w:val="1"/>
                <w:color w:val="auto"/>
              </w:rPr>
            </w:pPr>
          </w:p>
        </w:tc>
      </w:tr>
      <w:tr>
        <w:trPr>
          <w:trHeight w:val="225"/>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comprehensive income before</w:t>
            </w: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reclassifications</w:t>
            </w:r>
          </w:p>
        </w:tc>
        <w:tc>
          <w:tcPr>
            <w:tcW w:w="18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3,728</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Amounts reclassified out of other</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income</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674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 effects</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3,860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4,098</w:t>
            </w:r>
          </w:p>
        </w:tc>
        <w:tc>
          <w:tcPr>
            <w:tcW w:w="0" w:type="dxa"/>
            <w:vAlign w:val="bottom"/>
          </w:tcPr>
          <w:p>
            <w:pPr>
              <w:spacing w:after="0"/>
              <w:rPr>
                <w:sz w:val="1"/>
                <w:szCs w:val="1"/>
                <w:color w:val="auto"/>
              </w:rPr>
            </w:pPr>
          </w:p>
        </w:tc>
      </w:tr>
      <w:tr>
        <w:trPr>
          <w:trHeight w:val="257"/>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May 3, 2014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4,343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9,666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(91,446)</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(76,448)</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1" w:name="page12"/>
    <w:bookmarkEnd w:id="11"/>
    <w:p>
      <w:pPr>
        <w:ind w:right="480" w:firstLine="405"/>
        <w:spacing w:after="0" w:line="282" w:lineRule="auto"/>
        <w:rPr>
          <w:sz w:val="20"/>
          <w:szCs w:val="20"/>
          <w:color w:val="auto"/>
        </w:rPr>
      </w:pPr>
      <w:r>
        <w:rPr>
          <w:rFonts w:ascii="Times New Roman" w:cs="Times New Roman" w:eastAsia="Times New Roman" w:hAnsi="Times New Roman"/>
          <w:sz w:val="18"/>
          <w:szCs w:val="18"/>
          <w:color w:val="auto"/>
        </w:rPr>
        <w:t>The amounts reclassified out of accumulated other comprehensive income into the consolidated condensed statement of income, with presentation location during each period were as follows:</w:t>
      </w:r>
    </w:p>
    <w:p>
      <w:pPr>
        <w:spacing w:after="0" w:line="385"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4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28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Component</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0" w:type="dxa"/>
            <w:vAlign w:val="bottom"/>
          </w:tcPr>
          <w:p>
            <w:pPr>
              <w:spacing w:after="0"/>
              <w:rPr>
                <w:sz w:val="1"/>
                <w:szCs w:val="1"/>
                <w:color w:val="auto"/>
              </w:rPr>
            </w:pPr>
          </w:p>
        </w:tc>
      </w:tr>
      <w:tr>
        <w:trPr>
          <w:trHeight w:val="237"/>
        </w:trPr>
        <w:tc>
          <w:tcPr>
            <w:tcW w:w="4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Unrealized holding (losses) gains on derivatives</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Currency forwards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sales</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Pr>
          <w:p>
            <w:pPr>
              <w:spacing w:after="0"/>
              <w:rPr>
                <w:sz w:val="21"/>
                <w:szCs w:val="21"/>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marketing, general and</w:t>
            </w:r>
          </w:p>
        </w:tc>
        <w:tc>
          <w:tcPr>
            <w:tcW w:w="0" w:type="dxa"/>
            <w:vAlign w:val="bottom"/>
          </w:tcPr>
          <w:p>
            <w:pPr>
              <w:spacing w:after="0"/>
              <w:rPr>
                <w:sz w:val="1"/>
                <w:szCs w:val="1"/>
                <w:color w:val="auto"/>
              </w:rPr>
            </w:pPr>
          </w:p>
        </w:tc>
      </w:tr>
      <w:tr>
        <w:trPr>
          <w:trHeight w:val="241"/>
        </w:trPr>
        <w:tc>
          <w:tcPr>
            <w:tcW w:w="4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administrative</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Treasury rate lock</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00" w:type="dxa"/>
            <w:vAlign w:val="bottom"/>
          </w:tcPr>
          <w:p>
            <w:pPr>
              <w:spacing w:after="0"/>
              <w:rPr>
                <w:sz w:val="21"/>
                <w:szCs w:val="21"/>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43"/>
        </w:trPr>
        <w:tc>
          <w:tcPr>
            <w:tcW w:w="4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1"/>
                <w:szCs w:val="21"/>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pension components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Transition obligation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1"/>
                <w:szCs w:val="21"/>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Prior service credit</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43"/>
        </w:trPr>
        <w:tc>
          <w:tcPr>
            <w:tcW w:w="46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Actuarial losses</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21"/>
                <w:szCs w:val="21"/>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w:t>
            </w:r>
          </w:p>
        </w:tc>
        <w:tc>
          <w:tcPr>
            <w:tcW w:w="0" w:type="dxa"/>
            <w:vAlign w:val="bottom"/>
          </w:tcPr>
          <w:p>
            <w:pPr>
              <w:spacing w:after="0"/>
              <w:rPr>
                <w:sz w:val="1"/>
                <w:szCs w:val="1"/>
                <w:color w:val="auto"/>
              </w:rPr>
            </w:pPr>
          </w:p>
        </w:tc>
      </w:tr>
      <w:tr>
        <w:trPr>
          <w:trHeight w:val="27"/>
        </w:trPr>
        <w:tc>
          <w:tcPr>
            <w:tcW w:w="4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Borders>
              <w:bottom w:val="single" w:sz="8" w:color="CCEEFF"/>
            </w:tcBorders>
            <w:shd w:val="clear" w:color="auto" w:fill="CCEEFF"/>
          </w:tcPr>
          <w:p>
            <w:pPr>
              <w:spacing w:after="0"/>
              <w:rPr>
                <w:sz w:val="22"/>
                <w:szCs w:val="22"/>
                <w:color w:val="auto"/>
              </w:rPr>
            </w:pPr>
          </w:p>
        </w:tc>
        <w:tc>
          <w:tcPr>
            <w:tcW w:w="2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4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amounts reclassified out of accumulated other</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637</w:t>
            </w:r>
          </w:p>
        </w:tc>
        <w:tc>
          <w:tcPr>
            <w:tcW w:w="10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9" w:lineRule="exact"/>
        <w:rPr>
          <w:sz w:val="20"/>
          <w:szCs w:val="20"/>
          <w:color w:val="auto"/>
        </w:rPr>
      </w:pPr>
    </w:p>
    <w:p>
      <w:pPr>
        <w:ind w:left="660" w:right="660" w:hanging="4"/>
        <w:spacing w:after="0" w:line="261" w:lineRule="auto"/>
        <w:tabs>
          <w:tab w:leader="none" w:pos="8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amortization of pension components is included in the computation of net periodic pension cost. For further information see Note 13, </w:t>
      </w:r>
      <w:r>
        <w:rPr>
          <w:rFonts w:ascii="Times New Roman" w:cs="Times New Roman" w:eastAsia="Times New Roman" w:hAnsi="Times New Roman"/>
          <w:sz w:val="18"/>
          <w:szCs w:val="18"/>
          <w:i w:val="1"/>
          <w:iCs w:val="1"/>
          <w:color w:val="auto"/>
        </w:rPr>
        <w:t>Retirement Plans</w:t>
      </w:r>
      <w:r>
        <w:rPr>
          <w:rFonts w:ascii="Times New Roman" w:cs="Times New Roman" w:eastAsia="Times New Roman" w:hAnsi="Times New Roman"/>
          <w:sz w:val="18"/>
          <w:szCs w:val="18"/>
          <w:color w:val="auto"/>
        </w:rPr>
        <w:t>, contained in Item 8 of the Annual Report on Form 10-K for the fiscal year ended November 2, 2013.</w:t>
      </w:r>
    </w:p>
    <w:p>
      <w:pPr>
        <w:spacing w:after="0" w:line="18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Company estimates $1.6 million of net derivative unrealized holding gains included in OCI will be reclassified into earnings within the next twelve months. There was no ineffectiveness in the three- and six-month periods ended May 3, 2014 and May 4, 2013.</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Unrealized gains and losses on available-for-sale securities classified as short-term investments at May 3, 2014 and November 2, 2013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60" w:type="dxa"/>
            <w:vAlign w:val="bottom"/>
          </w:tcPr>
          <w:p>
            <w:pPr>
              <w:spacing w:after="0"/>
              <w:rPr>
                <w:sz w:val="16"/>
                <w:szCs w:val="16"/>
                <w:color w:val="auto"/>
              </w:rPr>
            </w:pPr>
          </w:p>
        </w:tc>
        <w:tc>
          <w:tcPr>
            <w:tcW w:w="1320" w:type="dxa"/>
            <w:vAlign w:val="bottom"/>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November 2, 2013</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gains on securities classified as short-term investments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1,137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losses on securities classified as short-term investments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7"/>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unrealized gains on securities classified as short-term investments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626</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00" w:firstLine="405"/>
        <w:spacing w:after="0" w:line="281" w:lineRule="auto"/>
        <w:rPr>
          <w:sz w:val="20"/>
          <w:szCs w:val="20"/>
          <w:color w:val="auto"/>
        </w:rPr>
      </w:pPr>
      <w:r>
        <w:rPr>
          <w:rFonts w:ascii="Times New Roman" w:cs="Times New Roman" w:eastAsia="Times New Roman" w:hAnsi="Times New Roman"/>
          <w:sz w:val="17"/>
          <w:szCs w:val="17"/>
          <w:color w:val="auto"/>
        </w:rPr>
        <w:t>As of May 3, 2014, the Company held 140 investment securities, 26 of which were in an unrealized loss position with an aggregate fair value of $810.5 million. As of November 2, 2013, the Company held 137 investment securities, 31 of which were in an unrealized loss position with an aggregate fair value of $972.2 million. These unrealized losses were primarily related to corporate obligations that earn lower interest rates than current market rates. None of these investments have been in a loss position for more than twelve months. As the Company does not intend to sell these investments and it is unlikely that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796" w:right="239" w:bottom="144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the Company will be required to sell the investments before recovery of their amortized basis, which will be at maturity, the Company does not consider those investments to be other-than-temporarily impaired at May 3, 2014 and November 2, 2013.</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Realized gains or losses on investments are determined based on the specific identification basis and are recognized in nonoperating (income) expense.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net realized gains or losses from the sales of available-for-sale investments during any of the fiscal periods presented.</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Earnings Per Share</w:t>
      </w:r>
    </w:p>
    <w:p>
      <w:pPr>
        <w:spacing w:after="0" w:line="94"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Basic earnings per share is computed based only on the weighted average number of common shares outstanding during the period. Diluted earnings per share is computed using the weighted 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the assumed proceeds under the treasury stock method include the average unrecognized compensation expense of stock options that are in-the-money and restricted stock units. This results in the “assumed” buyback of additional shares, thereby reducing the dilutive impact of in-the-money stock options. Potential shares related to certain of the Company’s outstanding stock options were excluded because they were anti-dilutive. Those potential shares, determined based on the weighted average exercise prices during the respective periods, related to the Company’s outstanding stock options could be dilutive in the future.</w:t>
      </w:r>
    </w:p>
    <w:p>
      <w:pPr>
        <w:spacing w:after="0" w:line="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ectPr>
          <w:pgSz w:w="11900" w:h="16838" w:orient="portrait"/>
          <w:cols w:equalWidth="0" w:num="1">
            <w:col w:w="11400"/>
          </w:cols>
          <w:pgMar w:left="240" w:top="742" w:right="259" w:bottom="1440" w:gutter="0" w:footer="0" w:header="0"/>
        </w:sectPr>
      </w:pPr>
    </w:p>
    <w:p>
      <w:pPr>
        <w:spacing w:after="0" w:line="232" w:lineRule="exact"/>
        <w:rPr>
          <w:sz w:val="20"/>
          <w:szCs w:val="20"/>
          <w:color w:val="auto"/>
        </w:rPr>
      </w:pPr>
    </w:p>
    <w:p>
      <w:pPr>
        <w:jc w:val="center"/>
        <w:ind w:left="63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24765</wp:posOffset>
            </wp:positionV>
            <wp:extent cx="1672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03" w:lineRule="exact"/>
        <w:rPr>
          <w:sz w:val="20"/>
          <w:szCs w:val="20"/>
          <w:color w:val="auto"/>
        </w:rPr>
      </w:pPr>
    </w:p>
    <w:p>
      <w:pPr>
        <w:ind w:left="6300"/>
        <w:spacing w:after="0"/>
        <w:tabs>
          <w:tab w:leader="none" w:pos="7660" w:val="left"/>
        </w:tabs>
        <w:rPr>
          <w:sz w:val="20"/>
          <w:szCs w:val="20"/>
          <w:color w:val="auto"/>
        </w:rPr>
      </w:pPr>
      <w:r>
        <w:rPr>
          <w:rFonts w:ascii="Times New Roman" w:cs="Times New Roman" w:eastAsia="Times New Roman" w:hAnsi="Times New Roman"/>
          <w:sz w:val="14"/>
          <w:szCs w:val="14"/>
          <w:b w:val="1"/>
          <w:bCs w:val="1"/>
          <w:color w:val="auto"/>
        </w:rPr>
        <w:t>May 3, 2014</w:t>
      </w:r>
      <w:r>
        <w:rPr>
          <w:sz w:val="20"/>
          <w:szCs w:val="20"/>
          <w:color w:val="auto"/>
        </w:rPr>
        <w:tab/>
      </w:r>
      <w:r>
        <w:rPr>
          <w:rFonts w:ascii="Times New Roman" w:cs="Times New Roman" w:eastAsia="Times New Roman" w:hAnsi="Times New Roman"/>
          <w:sz w:val="14"/>
          <w:szCs w:val="14"/>
          <w:b w:val="1"/>
          <w:bCs w:val="1"/>
          <w:color w:val="auto"/>
        </w:rPr>
        <w:t>May 4, 2013</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-156210</wp:posOffset>
            </wp:positionH>
            <wp:positionV relativeFrom="paragraph">
              <wp:posOffset>24765</wp:posOffset>
            </wp:positionV>
            <wp:extent cx="16465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b w:val="1"/>
          <w:bCs w:val="1"/>
          <w:color w:val="auto"/>
        </w:rPr>
        <w:t>May 3, 2014</w:t>
      </w:r>
      <w:r>
        <w:rPr>
          <w:sz w:val="20"/>
          <w:szCs w:val="20"/>
          <w:color w:val="auto"/>
        </w:rPr>
        <w:tab/>
      </w:r>
      <w:r>
        <w:rPr>
          <w:rFonts w:ascii="Times New Roman" w:cs="Times New Roman" w:eastAsia="Times New Roman" w:hAnsi="Times New Roman"/>
          <w:sz w:val="14"/>
          <w:szCs w:val="14"/>
          <w:b w:val="1"/>
          <w:bCs w:val="1"/>
          <w:color w:val="auto"/>
        </w:rPr>
        <w:t>May 4, 2013</w:t>
      </w:r>
    </w:p>
    <w:p>
      <w:pPr>
        <w:spacing w:after="0" w:line="29" w:lineRule="exact"/>
        <w:rPr>
          <w:sz w:val="20"/>
          <w:szCs w:val="20"/>
          <w:color w:val="auto"/>
        </w:rPr>
      </w:pPr>
    </w:p>
    <w:p>
      <w:pPr>
        <w:sectPr>
          <w:pgSz w:w="11900" w:h="16838" w:orient="portrait"/>
          <w:cols w:equalWidth="0" w:num="2">
            <w:col w:w="8420" w:space="600"/>
            <w:col w:w="2380"/>
          </w:cols>
          <w:pgMar w:left="240" w:top="742" w:right="259" w:bottom="1440" w:gutter="0" w:footer="0" w:header="0"/>
          <w:type w:val="continuous"/>
        </w:sectPr>
      </w:pPr>
    </w:p>
    <w:tbl>
      <w:tblPr>
        <w:tblLayout w:type="fixed"/>
        <w:tblInd w:w="0" w:type="dxa"/>
        <w:tblCellMar>
          <w:top w:w="0" w:type="dxa"/>
          <w:left w:w="0" w:type="dxa"/>
          <w:bottom w:w="0" w:type="dxa"/>
          <w:right w:w="0" w:type="dxa"/>
        </w:tblCellMar>
      </w:tblPr>
      <w:tr>
        <w:trPr>
          <w:trHeight w:val="267"/>
        </w:trPr>
        <w:tc>
          <w:tcPr>
            <w:tcW w:w="6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187,433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164,472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340,019</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295,694</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Basic shares:</w:t>
            </w: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313,488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307,444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312,887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305,464</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8"/>
                <w:szCs w:val="18"/>
                <w:color w:val="auto"/>
              </w:rPr>
              <w:t>Earnings per share basic:</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40" w:type="dxa"/>
            <w:vAlign w:val="bottom"/>
            <w:vMerge w:val="continue"/>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0.53</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0.97</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040" w:type="dxa"/>
            <w:vAlign w:val="bottom"/>
            <w:tcBorders>
              <w:bottom w:val="single" w:sz="8" w:color="CCEEFF"/>
            </w:tcBorders>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Diluted shares:</w:t>
            </w:r>
          </w:p>
        </w:tc>
        <w:tc>
          <w:tcPr>
            <w:tcW w:w="3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313,488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307,444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312,887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305,464</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Assumed exercise of common stock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4,859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6,358</w:t>
            </w:r>
          </w:p>
        </w:tc>
        <w:tc>
          <w:tcPr>
            <w:tcW w:w="0" w:type="dxa"/>
            <w:vAlign w:val="bottom"/>
          </w:tcPr>
          <w:p>
            <w:pPr>
              <w:spacing w:after="0"/>
              <w:rPr>
                <w:sz w:val="1"/>
                <w:szCs w:val="1"/>
                <w:color w:val="auto"/>
              </w:rPr>
            </w:pPr>
          </w:p>
        </w:tc>
      </w:tr>
      <w:tr>
        <w:trPr>
          <w:trHeight w:val="237"/>
        </w:trPr>
        <w:tc>
          <w:tcPr>
            <w:tcW w:w="6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Weighted-average common and common equivalent shares</w:t>
            </w: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318,347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313,368</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318,182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311,822</w:t>
            </w:r>
          </w:p>
        </w:tc>
        <w:tc>
          <w:tcPr>
            <w:tcW w:w="0" w:type="dxa"/>
            <w:vAlign w:val="bottom"/>
          </w:tcPr>
          <w:p>
            <w:pPr>
              <w:spacing w:after="0"/>
              <w:rPr>
                <w:sz w:val="1"/>
                <w:szCs w:val="1"/>
                <w:color w:val="auto"/>
              </w:rPr>
            </w:pPr>
          </w:p>
        </w:tc>
      </w:tr>
      <w:tr>
        <w:trPr>
          <w:trHeight w:val="67"/>
        </w:trPr>
        <w:tc>
          <w:tcPr>
            <w:tcW w:w="604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040" w:type="dxa"/>
            <w:vAlign w:val="bottom"/>
            <w:tcBorders>
              <w:bottom w:val="single" w:sz="8" w:color="CCEEFF"/>
            </w:tcBorders>
            <w:shd w:val="clear" w:color="auto" w:fill="CCEEFF"/>
          </w:tcPr>
          <w:p>
            <w:pPr>
              <w:ind w:left="380"/>
              <w:spacing w:after="0" w:line="196" w:lineRule="exact"/>
              <w:rPr>
                <w:sz w:val="20"/>
                <w:szCs w:val="20"/>
                <w:color w:val="auto"/>
              </w:rPr>
            </w:pPr>
            <w:r>
              <w:rPr>
                <w:rFonts w:ascii="Times New Roman" w:cs="Times New Roman" w:eastAsia="Times New Roman" w:hAnsi="Times New Roman"/>
                <w:sz w:val="18"/>
                <w:szCs w:val="18"/>
                <w:color w:val="auto"/>
              </w:rPr>
              <w:t>Earnings per share diluted:</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Anti-dilutive shares related to:</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Outstanding stock options</w:t>
            </w:r>
          </w:p>
        </w:tc>
        <w:tc>
          <w:tcPr>
            <w:tcW w:w="3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5,903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2,611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5,772</w:t>
            </w:r>
          </w:p>
        </w:tc>
        <w:tc>
          <w:tcPr>
            <w:tcW w:w="0" w:type="dxa"/>
            <w:vAlign w:val="bottom"/>
          </w:tcPr>
          <w:p>
            <w:pPr>
              <w:spacing w:after="0"/>
              <w:rPr>
                <w:sz w:val="1"/>
                <w:szCs w:val="1"/>
                <w:color w:val="auto"/>
              </w:rPr>
            </w:pPr>
          </w:p>
        </w:tc>
      </w:tr>
      <w:tr>
        <w:trPr>
          <w:trHeight w:val="27"/>
        </w:trPr>
        <w:tc>
          <w:tcPr>
            <w:tcW w:w="60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Special Charges</w:t>
      </w:r>
    </w:p>
    <w:p>
      <w:pPr>
        <w:spacing w:after="0" w:line="94"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Company monitors global macroeconomic conditions on an ongoing basis and continues to assess opportunities for improved operational effectiveness and efficiency, as well as a better alignment of expenses with revenues. As a result of these assessments, the Company has undertaken various restructuring actions over the past several years. These actions are described below.</w:t>
      </w:r>
    </w:p>
    <w:p>
      <w:pPr>
        <w:spacing w:after="0" w:line="12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following tables display the special charges taken for ongoing actions and a roll-forward from November 2, 2013 to May 3, 2014 of the employee separation and exit cost accruals established related to these actions.</w:t>
      </w:r>
    </w:p>
    <w:p>
      <w:pPr>
        <w:spacing w:after="0" w:line="331"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Reduction of Operating Costs</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Statements of Income</w:t>
            </w:r>
          </w:p>
        </w:tc>
        <w:tc>
          <w:tcPr>
            <w:tcW w:w="2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2014</w:t>
            </w:r>
          </w:p>
        </w:tc>
        <w:tc>
          <w:tcPr>
            <w:tcW w:w="240" w:type="dxa"/>
            <w:vAlign w:val="bottom"/>
          </w:tcPr>
          <w:p>
            <w:pPr>
              <w:spacing w:after="0"/>
              <w:rPr>
                <w:sz w:val="19"/>
                <w:szCs w:val="19"/>
                <w:color w:val="auto"/>
              </w:rPr>
            </w:pPr>
          </w:p>
        </w:tc>
        <w:tc>
          <w:tcPr>
            <w:tcW w:w="6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2013</w:t>
            </w:r>
          </w:p>
        </w:tc>
        <w:tc>
          <w:tcPr>
            <w:tcW w:w="240" w:type="dxa"/>
            <w:vAlign w:val="bottom"/>
          </w:tcPr>
          <w:p>
            <w:pPr>
              <w:spacing w:after="0"/>
              <w:rPr>
                <w:sz w:val="19"/>
                <w:szCs w:val="19"/>
                <w:color w:val="auto"/>
              </w:rPr>
            </w:pPr>
          </w:p>
        </w:tc>
        <w:tc>
          <w:tcPr>
            <w:tcW w:w="7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Workforce reductions</w:t>
            </w:r>
          </w:p>
        </w:tc>
        <w:tc>
          <w:tcPr>
            <w:tcW w:w="3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closure costs</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2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impairment charge</w:t>
            </w:r>
          </w:p>
        </w:tc>
        <w:tc>
          <w:tcPr>
            <w:tcW w:w="2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items</w:t>
            </w:r>
          </w:p>
        </w:tc>
        <w:tc>
          <w:tcPr>
            <w:tcW w:w="2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Charges</w:t>
            </w:r>
          </w:p>
        </w:tc>
        <w:tc>
          <w:tcPr>
            <w:tcW w:w="3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2,685</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29,848</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760" w:type="dxa"/>
            <w:vAlign w:val="bottom"/>
            <w:tcBorders>
              <w:top w:val="single" w:sz="8" w:color="CCEEFF"/>
              <w:bottom w:val="single" w:sz="8" w:color="CCEEFF"/>
            </w:tcBorders>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742" w:right="259" w:bottom="1440" w:gutter="0" w:footer="0" w:header="0"/>
          <w:type w:val="continuous"/>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Accrued Restructuring</w:t>
            </w:r>
          </w:p>
        </w:tc>
        <w:tc>
          <w:tcPr>
            <w:tcW w:w="180" w:type="dxa"/>
            <w:vAlign w:val="bottom"/>
          </w:tcPr>
          <w:p>
            <w:pPr>
              <w:spacing w:after="0"/>
              <w:rPr>
                <w:sz w:val="13"/>
                <w:szCs w:val="13"/>
                <w:color w:val="auto"/>
              </w:rPr>
            </w:pPr>
          </w:p>
        </w:tc>
        <w:tc>
          <w:tcPr>
            <w:tcW w:w="130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Reduction of</w:t>
            </w:r>
          </w:p>
        </w:tc>
        <w:tc>
          <w:tcPr>
            <w:tcW w:w="0" w:type="dxa"/>
            <w:vAlign w:val="bottom"/>
          </w:tcPr>
          <w:p>
            <w:pPr>
              <w:spacing w:after="0"/>
              <w:rPr>
                <w:sz w:val="1"/>
                <w:szCs w:val="1"/>
                <w:color w:val="auto"/>
              </w:rPr>
            </w:pPr>
          </w:p>
        </w:tc>
      </w:tr>
      <w:tr>
        <w:trPr>
          <w:trHeight w:val="160"/>
        </w:trPr>
        <w:tc>
          <w:tcPr>
            <w:tcW w:w="99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54"/>
              <w:spacing w:after="0" w:line="160" w:lineRule="exact"/>
              <w:rPr>
                <w:sz w:val="20"/>
                <w:szCs w:val="20"/>
                <w:color w:val="auto"/>
              </w:rPr>
            </w:pPr>
            <w:r>
              <w:rPr>
                <w:rFonts w:ascii="Times New Roman" w:cs="Times New Roman" w:eastAsia="Times New Roman" w:hAnsi="Times New Roman"/>
                <w:sz w:val="14"/>
                <w:szCs w:val="14"/>
                <w:b w:val="1"/>
                <w:bCs w:val="1"/>
                <w:color w:val="auto"/>
              </w:rPr>
              <w:t>Operating Costs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CCEEFF"/>
            </w:tcBorders>
          </w:tcPr>
          <w:p>
            <w:pPr>
              <w:spacing w:after="0" w:line="20" w:lineRule="exact"/>
              <w:rPr>
                <w:sz w:val="1"/>
                <w:szCs w:val="1"/>
                <w:color w:val="auto"/>
              </w:rPr>
            </w:pPr>
          </w:p>
        </w:tc>
        <w:tc>
          <w:tcPr>
            <w:tcW w:w="8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November 2, 2013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19,955</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First quarter 2014 special charge</w:t>
            </w:r>
          </w:p>
        </w:tc>
        <w:tc>
          <w:tcPr>
            <w:tcW w:w="1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Severance payments</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February 1, 2014</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18,465</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Severance payments</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foreign currency on accrual</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7"/>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at May 3, 2014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12,032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Reduction of Operating Costs</w:t>
      </w:r>
    </w:p>
    <w:p>
      <w:pPr>
        <w:spacing w:after="0" w:line="92" w:lineRule="exact"/>
        <w:rPr>
          <w:sz w:val="20"/>
          <w:szCs w:val="20"/>
          <w:color w:val="auto"/>
        </w:rPr>
      </w:pPr>
    </w:p>
    <w:p>
      <w:pPr>
        <w:ind w:right="260" w:firstLine="432"/>
        <w:spacing w:after="0" w:line="258" w:lineRule="auto"/>
        <w:rPr>
          <w:sz w:val="20"/>
          <w:szCs w:val="20"/>
          <w:color w:val="auto"/>
        </w:rPr>
      </w:pPr>
      <w:r>
        <w:rPr>
          <w:rFonts w:ascii="Times New Roman" w:cs="Times New Roman" w:eastAsia="Times New Roman" w:hAnsi="Times New Roman"/>
          <w:sz w:val="18"/>
          <w:szCs w:val="18"/>
          <w:color w:val="auto"/>
        </w:rPr>
        <w:t>During fiscal 2012, the Company recorded special charges of approximately $8.4 million. These special charges included: $8.0 million for severance and fringe benefit costs in accordance with its ongoing benefit plan or statutory requirements at foreign locations for 95 manufacturing, engineering and selling, marketing, general and administrative (SMG&amp;A) employees; $0.2 million for lease obligation costs for facilities that the Company ceased using during the third quarter of fiscal 2012; $0.1 million for contract termination costs; and $0.2 million for the write-off of property, plant and equipment. The Company terminated the employment of all employees associated with these actions.</w:t>
      </w:r>
    </w:p>
    <w:p>
      <w:pPr>
        <w:spacing w:after="0" w:line="49"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During fiscal 2013, the Company recorded special charges of approximately $29.8 million for severance and fringe benefit costs in accordance with its ongoing benefit plan or statutory requirements at foreign locations for 235 engineering and SMG&amp;A employees. As of May 3, 2014, the Company employed 19 of the 235 employees included in these cost reduction actions. These employees must continue to be employed by the Company until their employment is involuntarily terminated in order to receive the severance benefit.</w:t>
      </w:r>
    </w:p>
    <w:p>
      <w:pPr>
        <w:spacing w:after="0" w:line="4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2014, the Company recorded a special charge of approximately $2.7 million for severance and fringe benefit costs in accordance with its ongoing benefit plan or statutory requirements at foreign locations for 30 engineering and SMG&amp;A employees. As of May 3, 2014, the Company employed 4 of the 30 employees included in this cost reduction action. These employees must continue to be employed by the Company until their employment is involuntarily terminated in order to receive the severance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Segment Information</w:t>
      </w:r>
    </w:p>
    <w:p>
      <w:pPr>
        <w:spacing w:after="0" w:line="94" w:lineRule="exact"/>
        <w:rPr>
          <w:sz w:val="20"/>
          <w:szCs w:val="20"/>
          <w:color w:val="auto"/>
        </w:rPr>
      </w:pPr>
    </w:p>
    <w:p>
      <w:pPr>
        <w:ind w:right="160" w:firstLine="432"/>
        <w:spacing w:after="0" w:line="261" w:lineRule="auto"/>
        <w:rPr>
          <w:sz w:val="20"/>
          <w:szCs w:val="20"/>
          <w:color w:val="auto"/>
        </w:rPr>
      </w:pPr>
      <w:r>
        <w:rPr>
          <w:rFonts w:ascii="Times New Roman" w:cs="Times New Roman" w:eastAsia="Times New Roman" w:hAnsi="Times New Roman"/>
          <w:sz w:val="18"/>
          <w:szCs w:val="18"/>
          <w:color w:val="auto"/>
        </w:rPr>
        <w:t>The Company operates and tracks its results in one reportable segment based upon the aggregation of five operating segments. The Company designs, develops, manufactures and markets a broad range of integrated circuits. The Chief Executive Officer has been identified as the Chief Operating Decision Maker. The Company has determined that all of the Company's operating segments share the following similar economic characteristics, and therefore meet the criteria established for operating segments to be aggregated into one reportable segment, namely:</w:t>
      </w:r>
    </w:p>
    <w:p>
      <w:pPr>
        <w:spacing w:after="0" w:line="72" w:lineRule="exact"/>
        <w:rPr>
          <w:sz w:val="20"/>
          <w:szCs w:val="20"/>
          <w:color w:val="auto"/>
        </w:rPr>
      </w:pPr>
    </w:p>
    <w:p>
      <w:pPr>
        <w:ind w:left="720" w:hanging="280"/>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primary source of revenue for each operating segment is the sale of integrated circuits.</w:t>
      </w:r>
    </w:p>
    <w:p>
      <w:pPr>
        <w:spacing w:after="0" w:line="130" w:lineRule="exact"/>
        <w:rPr>
          <w:rFonts w:ascii="Times New Roman" w:cs="Times New Roman" w:eastAsia="Times New Roman" w:hAnsi="Times New Roman"/>
          <w:sz w:val="18"/>
          <w:szCs w:val="18"/>
          <w:color w:val="auto"/>
        </w:rPr>
      </w:pPr>
    </w:p>
    <w:p>
      <w:pPr>
        <w:ind w:right="180" w:firstLine="440"/>
        <w:spacing w:after="0" w:line="329" w:lineRule="auto"/>
        <w:tabs>
          <w:tab w:leader="none" w:pos="7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integrated circuits sold by each of the Company's operating segments are manufactured using similar semiconductor manufacturing processes and raw materials in either the Company’s own production facilities or by third-party wafer fabricators using proprietary processes.</w:t>
      </w:r>
    </w:p>
    <w:p>
      <w:pPr>
        <w:spacing w:after="0" w:line="26" w:lineRule="exact"/>
        <w:rPr>
          <w:rFonts w:ascii="Times New Roman" w:cs="Times New Roman" w:eastAsia="Times New Roman" w:hAnsi="Times New Roman"/>
          <w:sz w:val="18"/>
          <w:szCs w:val="18"/>
          <w:color w:val="auto"/>
        </w:rPr>
      </w:pPr>
    </w:p>
    <w:p>
      <w:pPr>
        <w:ind w:right="680" w:firstLine="440"/>
        <w:spacing w:after="0" w:line="329" w:lineRule="auto"/>
        <w:tabs>
          <w:tab w:leader="none" w:pos="7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its products to tens of thousands of customers worldwide. Many of these customers use products spanning all operating segments in a wide range of applications.</w:t>
      </w:r>
    </w:p>
    <w:p>
      <w:pPr>
        <w:spacing w:after="0" w:line="26" w:lineRule="exact"/>
        <w:rPr>
          <w:rFonts w:ascii="Times New Roman" w:cs="Times New Roman" w:eastAsia="Times New Roman" w:hAnsi="Times New Roman"/>
          <w:sz w:val="18"/>
          <w:szCs w:val="18"/>
          <w:color w:val="auto"/>
        </w:rPr>
      </w:pPr>
    </w:p>
    <w:p>
      <w:pPr>
        <w:ind w:right="20" w:firstLine="440"/>
        <w:spacing w:after="0" w:line="328" w:lineRule="auto"/>
        <w:tabs>
          <w:tab w:leader="none" w:pos="71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integrated circuits marketed by each of the Company's operating segments are sold globally through a direct sales force, third-party distributors, independent sales representatives and via our website to the same types of customers.</w:t>
      </w:r>
    </w:p>
    <w:p>
      <w:pPr>
        <w:spacing w:after="0" w:line="1"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All of the Company's operating segments share a similar long-term financial model as they have similar economic characteristics. The causes for variation in operating and financial performance are the same among the Company's operating segments and include factors such as (i) life cycle and price and cost fluctuations, (ii) number of competitors, (iii) product differentiation and (iv) size of market opportunity. Additionally, each operating segment is subject to the overall cyclical nature of the semiconductor industry. Lastly, the number and composition of employees and the amounts and types of tools and materials required for production of products are similar for each operating segment.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02"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92" w:lineRule="exact"/>
        <w:rPr>
          <w:sz w:val="20"/>
          <w:szCs w:val="20"/>
          <w:color w:val="auto"/>
        </w:rPr>
      </w:pPr>
    </w:p>
    <w:p>
      <w:pPr>
        <w:ind w:right="80"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of, or the underlying trends of results within, each end market. The results below in the consumer end market are reflective of the sale of the Company's microphone product line in the fourth quarter of fiscal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102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3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326,530</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311,128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135,488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122,715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77,705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101,233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154,813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124,174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694,536</w:t>
            </w:r>
          </w:p>
        </w:tc>
        <w:tc>
          <w:tcPr>
            <w:tcW w:w="10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659,250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5"/>
        </w:trPr>
        <w:tc>
          <w:tcPr>
            <w:tcW w:w="39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9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Y/Y%</w:t>
            </w:r>
          </w:p>
        </w:tc>
        <w:tc>
          <w:tcPr>
            <w:tcW w:w="10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420" w:type="dxa"/>
            <w:vAlign w:val="bottom"/>
            <w:vMerge w:val="restart"/>
          </w:tcPr>
          <w:p>
            <w:pPr>
              <w:spacing w:after="0"/>
              <w:rPr>
                <w:sz w:val="12"/>
                <w:szCs w:val="12"/>
                <w:color w:val="auto"/>
              </w:rPr>
            </w:pPr>
          </w:p>
        </w:tc>
        <w:tc>
          <w:tcPr>
            <w:tcW w:w="102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39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tcPr>
          <w:p>
            <w:pPr>
              <w:jc w:val="center"/>
              <w:ind w:right="33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616,520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592,455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259,773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230,532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152,040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208,428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39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294,441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249,969</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3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5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1,322,774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1,281,384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Product Type</w:t>
      </w:r>
    </w:p>
    <w:p>
      <w:pPr>
        <w:spacing w:after="0" w:line="92" w:lineRule="exact"/>
        <w:rPr>
          <w:sz w:val="20"/>
          <w:szCs w:val="20"/>
          <w:color w:val="auto"/>
        </w:rPr>
      </w:pPr>
    </w:p>
    <w:p>
      <w:pPr>
        <w:ind w:right="160" w:firstLine="432"/>
        <w:spacing w:after="0" w:line="256" w:lineRule="auto"/>
        <w:rPr>
          <w:sz w:val="20"/>
          <w:szCs w:val="20"/>
          <w:color w:val="auto"/>
        </w:rPr>
      </w:pPr>
      <w:r>
        <w:rPr>
          <w:rFonts w:ascii="Times New Roman" w:cs="Times New Roman" w:eastAsia="Times New Roman" w:hAnsi="Times New Roman"/>
          <w:sz w:val="18"/>
          <w:szCs w:val="18"/>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of, or the underlying trends of results within, each product category. The results below in the other analog product category market are reflective of the sale of the Company's microphone product line in the fourth quarter of fiscal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144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4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Y/Y%</w:t>
            </w:r>
          </w:p>
        </w:tc>
        <w:tc>
          <w:tcPr>
            <w:tcW w:w="1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1040" w:type="dxa"/>
            <w:vAlign w:val="bottom"/>
          </w:tcPr>
          <w:p>
            <w:pPr>
              <w:jc w:val="right"/>
              <w:ind w:right="49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39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317,915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295,459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Amplifiers / Radio frequency</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186,287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170,793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analog</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88,103</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92,441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 analog signal processing</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592,305</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558,693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 management &amp; reference</w:t>
            </w: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43,138</w:t>
            </w:r>
          </w:p>
        </w:tc>
        <w:tc>
          <w:tcPr>
            <w:tcW w:w="10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43,701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analog products</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635,443</w:t>
            </w: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602,394</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Digital signal processing</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59,093</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56,856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3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694,536</w:t>
            </w:r>
          </w:p>
        </w:tc>
        <w:tc>
          <w:tcPr>
            <w:tcW w:w="100" w:type="dxa"/>
            <w:vAlign w:val="bottom"/>
          </w:tcPr>
          <w:p>
            <w:pPr>
              <w:spacing w:after="0"/>
              <w:rPr>
                <w:sz w:val="21"/>
                <w:szCs w:val="21"/>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659,250</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8890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8890</wp:posOffset>
            </wp:positionV>
            <wp:extent cx="18268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6" w:lineRule="exact"/>
        <w:rPr>
          <w:sz w:val="20"/>
          <w:szCs w:val="20"/>
          <w:color w:val="auto"/>
        </w:rPr>
      </w:pPr>
    </w:p>
    <w:p>
      <w:pPr>
        <w:jc w:val="right"/>
        <w:ind w:left="5620" w:right="5580" w:hanging="5612"/>
        <w:spacing w:after="0" w:line="564" w:lineRule="auto"/>
        <w:tabs>
          <w:tab w:leader="none" w:pos="13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does not equal the total due to rounding.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-614045</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-614045</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659"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95"/>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3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1420" w:type="dxa"/>
            <w:vAlign w:val="bottom"/>
          </w:tcPr>
          <w:p>
            <w:pPr>
              <w:jc w:val="right"/>
              <w:ind w:right="47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46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400" w:type="dxa"/>
            <w:vAlign w:val="bottom"/>
            <w:vMerge w:val="restart"/>
          </w:tcPr>
          <w:p>
            <w:pPr>
              <w:spacing w:after="0"/>
              <w:rPr>
                <w:sz w:val="12"/>
                <w:szCs w:val="12"/>
                <w:color w:val="auto"/>
              </w:rPr>
            </w:pPr>
          </w:p>
        </w:tc>
        <w:tc>
          <w:tcPr>
            <w:tcW w:w="1040" w:type="dxa"/>
            <w:vAlign w:val="bottom"/>
          </w:tcPr>
          <w:p>
            <w:pPr>
              <w:jc w:val="right"/>
              <w:ind w:right="49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3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40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Converters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608,466</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573,399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Amplifiers / Radio frequency</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351,001</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328,771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analog</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167,522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187,599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Subtotal analog signal processing</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1,126,989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1,089,769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management &amp; reference</w:t>
            </w:r>
          </w:p>
        </w:tc>
        <w:tc>
          <w:tcPr>
            <w:tcW w:w="26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81,848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83,083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analog products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1,208,837</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1,172,852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signal processing</w:t>
            </w: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113,937</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108,532</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1,322,774</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1,281,384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The sum of the individual percentages does not equal the total due to rounding.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Geographic Region</w:t>
      </w:r>
    </w:p>
    <w:p>
      <w:pPr>
        <w:spacing w:after="0" w:line="9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Revenue by geographic region, based on the primary location of the Company's customers’ design activity for its products, for the three- and six-month periods ended May 3, 2014 and May 4, 2013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4"/>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97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28"/>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280" w:type="dxa"/>
            <w:vAlign w:val="bottom"/>
          </w:tcPr>
          <w:p>
            <w:pPr>
              <w:spacing w:after="0"/>
              <w:rPr>
                <w:sz w:val="19"/>
                <w:szCs w:val="19"/>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60" w:type="dxa"/>
            <w:vAlign w:val="bottom"/>
          </w:tcPr>
          <w:p>
            <w:pPr>
              <w:spacing w:after="0"/>
              <w:rPr>
                <w:sz w:val="19"/>
                <w:szCs w:val="19"/>
                <w:color w:val="auto"/>
              </w:rPr>
            </w:pPr>
          </w:p>
        </w:tc>
        <w:tc>
          <w:tcPr>
            <w:tcW w:w="14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8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60" w:type="dxa"/>
            <w:vAlign w:val="bottom"/>
          </w:tcPr>
          <w:p>
            <w:pPr>
              <w:spacing w:after="0"/>
              <w:rPr>
                <w:sz w:val="19"/>
                <w:szCs w:val="19"/>
                <w:color w:val="auto"/>
              </w:rPr>
            </w:pPr>
          </w:p>
        </w:tc>
        <w:tc>
          <w:tcPr>
            <w:tcW w:w="13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May 4, 2013</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193,608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206,181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375,906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410,452</w:t>
            </w:r>
          </w:p>
        </w:tc>
      </w:tr>
      <w:tr>
        <w:trPr>
          <w:trHeight w:val="243"/>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28,194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44,867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51,706</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232,299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216,071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432,986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405,369</w:t>
            </w:r>
          </w:p>
        </w:tc>
      </w:tr>
      <w:tr>
        <w:trPr>
          <w:trHeight w:val="243"/>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74,591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71,874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145,682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136,562</w:t>
            </w:r>
          </w:p>
        </w:tc>
      </w:tr>
      <w:tr>
        <w:trPr>
          <w:trHeight w:val="27"/>
        </w:trPr>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83,970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210,067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168,739</w:t>
            </w:r>
          </w:p>
        </w:tc>
      </w:tr>
      <w:tr>
        <w:trPr>
          <w:trHeight w:val="243"/>
        </w:trPr>
        <w:tc>
          <w:tcPr>
            <w:tcW w:w="46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 of Asia</w:t>
            </w:r>
          </w:p>
        </w:tc>
        <w:tc>
          <w:tcPr>
            <w:tcW w:w="280" w:type="dxa"/>
            <w:vAlign w:val="bottom"/>
          </w:tcPr>
          <w:p>
            <w:pPr>
              <w:spacing w:after="0"/>
              <w:rPr>
                <w:sz w:val="21"/>
                <w:szCs w:val="21"/>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59,024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113,266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108,556</w:t>
            </w:r>
          </w:p>
        </w:tc>
      </w:tr>
      <w:tr>
        <w:trPr>
          <w:trHeight w:val="27"/>
        </w:trPr>
        <w:tc>
          <w:tcPr>
            <w:tcW w:w="4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46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694,536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659,250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1,322,774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1,281,384</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In the three- and six-month periods ended May 3, 2014 and May 4, 2013, the predominant country comprising “Rest of North and South America” is Canada; the predominant countries comprising “Europe” are Germany, Sweden, France and the United Kingdom; and the predominant countries comprising “Rest of Asia” are South Korea and Taiwan.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spacing w:after="0" w:line="128" w:lineRule="exact"/>
        <w:rPr>
          <w:sz w:val="20"/>
          <w:szCs w:val="20"/>
          <w:color w:val="auto"/>
        </w:rPr>
      </w:pPr>
    </w:p>
    <w:p>
      <w:pPr>
        <w:ind w:right="32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Level 1 inputs are quoted prices (unadjusted) in active markets for identical assets or liabilities that the reporting entity has the ability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at the measurement date.</w:t>
      </w:r>
    </w:p>
    <w:p>
      <w:pPr>
        <w:spacing w:after="0" w:line="104" w:lineRule="exact"/>
        <w:rPr>
          <w:sz w:val="20"/>
          <w:szCs w:val="20"/>
          <w:color w:val="auto"/>
        </w:rPr>
      </w:pPr>
    </w:p>
    <w:p>
      <w:pPr>
        <w:ind w:right="120" w:firstLine="432"/>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 Level 2 inputs are inputs other than quoted prices included within Level 1 that are observable for the asset or liability,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If the asset or liability has a specified (contractual) term, a Level 2 input must be observable for substantially the full term of the asset or liability.</w:t>
      </w:r>
    </w:p>
    <w:p>
      <w:pPr>
        <w:spacing w:after="0" w:line="81" w:lineRule="exact"/>
        <w:rPr>
          <w:sz w:val="20"/>
          <w:szCs w:val="20"/>
          <w:color w:val="auto"/>
        </w:rPr>
      </w:pPr>
    </w:p>
    <w:p>
      <w:pPr>
        <w:ind w:right="180" w:firstLine="432"/>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106"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tables below, set forth by level the Company’s financial assets and liabilities, excluding accrued interest components, that are accounted for at fair value on a recurring basis as of May 3, 2014 and November 2, 2013. The tables exclude cash on hand and assets and liabilities that are measured at historical cost or any basis other than fair value. As of May 3, 2014 and November 2, 2013, the Company held $33.7 million and $45.6 million, respectively, of cash that was excluded from the tables below.</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925" w:right="299" w:bottom="1440" w:gutter="0" w:footer="0" w:header="0"/>
        </w:sectPr>
      </w:pPr>
    </w:p>
    <w:bookmarkStart w:id="16" w:name="page17"/>
    <w:bookmarkEnd w:id="16"/>
    <w:p>
      <w:pPr>
        <w:ind w:left="7920"/>
        <w:spacing w:after="0"/>
        <w:rPr>
          <w:sz w:val="20"/>
          <w:szCs w:val="20"/>
          <w:color w:val="auto"/>
        </w:rPr>
      </w:pPr>
      <w:r>
        <w:rPr>
          <w:rFonts w:ascii="Times New Roman" w:cs="Times New Roman" w:eastAsia="Times New Roman" w:hAnsi="Times New Roman"/>
          <w:sz w:val="14"/>
          <w:szCs w:val="14"/>
          <w:b w:val="1"/>
          <w:bCs w:val="1"/>
          <w:color w:val="auto"/>
        </w:rPr>
        <w:t>May 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p>
      <w:pPr>
        <w:spacing w:after="0" w:line="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Institutional 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151,005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151,005</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218,049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218,049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3,879,027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3,879,027</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395,391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395,391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89,997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89,997</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40,020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40,020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19,235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19,235</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2,955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170,240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4,625,439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4,795,679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4,833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4,833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May 3, 2014 was $3,796.9 million.</w:t>
      </w:r>
    </w:p>
    <w:p>
      <w:pPr>
        <w:spacing w:after="0" w:line="2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 master netting arrangement by counterparty with respect to derivative contracts. See Note 10,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for more information related to the Company's master netting arrangements.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36" w:right="239" w:bottom="1440" w:gutter="0" w:footer="0" w:header="0"/>
        </w:sectPr>
      </w:pPr>
    </w:p>
    <w:bookmarkStart w:id="17" w:name="page18"/>
    <w:bookmarkEnd w:id="17"/>
    <w:p>
      <w:pPr>
        <w:ind w:left="7740"/>
        <w:spacing w:after="0"/>
        <w:rPr>
          <w:sz w:val="20"/>
          <w:szCs w:val="20"/>
          <w:color w:val="auto"/>
        </w:rPr>
      </w:pPr>
      <w:r>
        <w:rPr>
          <w:rFonts w:ascii="Times New Roman" w:cs="Times New Roman" w:eastAsia="Times New Roman" w:hAnsi="Times New Roman"/>
          <w:sz w:val="14"/>
          <w:szCs w:val="14"/>
          <w:b w:val="1"/>
          <w:bCs w:val="1"/>
          <w:color w:val="auto"/>
        </w:rPr>
        <w:t>November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24765</wp:posOffset>
            </wp:positionV>
            <wp:extent cx="39789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35"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b w:val="1"/>
          <w:bCs w:val="1"/>
          <w:color w:val="auto"/>
        </w:rPr>
        <w:t>Fair Value measurement at</w:t>
      </w:r>
    </w:p>
    <w:p>
      <w:pPr>
        <w:spacing w:after="0" w:line="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4"/>
          <w:szCs w:val="14"/>
          <w:b w:val="1"/>
          <w:bCs w:val="1"/>
          <w:color w:val="auto"/>
        </w:rPr>
        <w:t>Reporting Date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13335</wp:posOffset>
            </wp:positionV>
            <wp:extent cx="29756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Active</w:t>
            </w:r>
          </w:p>
        </w:tc>
        <w:tc>
          <w:tcPr>
            <w:tcW w:w="260" w:type="dxa"/>
            <w:vAlign w:val="bottom"/>
          </w:tcPr>
          <w:p>
            <w:pPr>
              <w:spacing w:after="0"/>
              <w:rPr>
                <w:sz w:val="12"/>
                <w:szCs w:val="12"/>
                <w:color w:val="auto"/>
              </w:rPr>
            </w:pPr>
          </w:p>
        </w:tc>
        <w:tc>
          <w:tcPr>
            <w:tcW w:w="13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20" w:type="dxa"/>
            <w:vAlign w:val="bottom"/>
          </w:tcPr>
          <w:p>
            <w:pPr>
              <w:spacing w:after="0"/>
              <w:rPr>
                <w:sz w:val="12"/>
                <w:szCs w:val="12"/>
                <w:color w:val="auto"/>
              </w:rPr>
            </w:pPr>
          </w:p>
        </w:tc>
        <w:tc>
          <w:tcPr>
            <w:tcW w:w="13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Markets</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for</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260" w:type="dxa"/>
            <w:vAlign w:val="bottom"/>
          </w:tcPr>
          <w:p>
            <w:pPr>
              <w:spacing w:after="0"/>
              <w:rPr>
                <w:sz w:val="12"/>
                <w:szCs w:val="12"/>
                <w:color w:val="auto"/>
              </w:rPr>
            </w:pPr>
          </w:p>
        </w:tc>
        <w:tc>
          <w:tcPr>
            <w:tcW w:w="13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360" w:type="dxa"/>
            <w:vAlign w:val="bottom"/>
          </w:tcPr>
          <w:p>
            <w:pPr>
              <w:spacing w:after="0"/>
              <w:rPr>
                <w:sz w:val="12"/>
                <w:szCs w:val="12"/>
                <w:color w:val="auto"/>
              </w:rPr>
            </w:pPr>
          </w:p>
        </w:tc>
        <w:tc>
          <w:tcPr>
            <w:tcW w:w="112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Institutional money market funds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186,896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186,896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159,556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159,556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Short - term investments: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Available-for-sale:</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Securities with one year or less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Corporate obligations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3,764,213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3,764,213</w:t>
            </w:r>
          </w:p>
        </w:tc>
        <w:tc>
          <w:tcPr>
            <w:tcW w:w="0" w:type="dxa"/>
            <w:vAlign w:val="bottom"/>
          </w:tcPr>
          <w:p>
            <w:pPr>
              <w:spacing w:after="0"/>
              <w:rPr>
                <w:sz w:val="1"/>
                <w:szCs w:val="1"/>
                <w:color w:val="auto"/>
              </w:rPr>
            </w:pPr>
          </w:p>
        </w:tc>
      </w:tr>
      <w:tr>
        <w:trPr>
          <w:trHeight w:val="243"/>
        </w:trPr>
        <w:tc>
          <w:tcPr>
            <w:tcW w:w="51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Floating rate notes, issued at par</w:t>
            </w:r>
          </w:p>
        </w:tc>
        <w:tc>
          <w:tcPr>
            <w:tcW w:w="30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207,521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207,521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Floating rate notes (1)</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113,886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113,886</w:t>
            </w:r>
          </w:p>
        </w:tc>
        <w:tc>
          <w:tcPr>
            <w:tcW w:w="0" w:type="dxa"/>
            <w:vAlign w:val="bottom"/>
          </w:tcPr>
          <w:p>
            <w:pPr>
              <w:spacing w:after="0"/>
              <w:rPr>
                <w:sz w:val="1"/>
                <w:szCs w:val="1"/>
                <w:color w:val="auto"/>
              </w:rPr>
            </w:pPr>
          </w:p>
        </w:tc>
      </w:tr>
      <w:tr>
        <w:trPr>
          <w:trHeight w:val="243"/>
        </w:trPr>
        <w:tc>
          <w:tcPr>
            <w:tcW w:w="51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Securities with greater than one year to maturity:</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Floating rate notes, issued at par</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205,203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205,203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Forward foreign currency exchange contracts (2)</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2,267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compensation investments</w:t>
            </w:r>
          </w:p>
        </w:tc>
        <w:tc>
          <w:tcPr>
            <w:tcW w:w="300" w:type="dxa"/>
            <w:vAlign w:val="bottom"/>
          </w:tcPr>
          <w:p>
            <w:pPr>
              <w:spacing w:after="0"/>
              <w:rPr>
                <w:sz w:val="21"/>
                <w:szCs w:val="21"/>
                <w:color w:val="auto"/>
              </w:rPr>
            </w:pPr>
          </w:p>
        </w:tc>
        <w:tc>
          <w:tcPr>
            <w:tcW w:w="120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17,431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17,431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 measured at fair value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204,327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4,452,646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4,656,973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measured at fair value</w:t>
            </w: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6,479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6,479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amortized cost of the Company’s investments classified as available-for-sale as of November 2, 2013 was $3,824.0 million.</w:t>
      </w:r>
    </w:p>
    <w:p>
      <w:pPr>
        <w:spacing w:after="0" w:line="27"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a master netting arrangement by counterparty with respect to derivative contracts. See Note 10, </w:t>
      </w:r>
      <w:r>
        <w:rPr>
          <w:rFonts w:ascii="Times New Roman" w:cs="Times New Roman" w:eastAsia="Times New Roman" w:hAnsi="Times New Roman"/>
          <w:sz w:val="18"/>
          <w:szCs w:val="18"/>
          <w:i w:val="1"/>
          <w:iCs w:val="1"/>
          <w:color w:val="auto"/>
        </w:rPr>
        <w:t>Derivatives,</w:t>
      </w:r>
      <w:r>
        <w:rPr>
          <w:rFonts w:ascii="Times New Roman" w:cs="Times New Roman" w:eastAsia="Times New Roman" w:hAnsi="Times New Roman"/>
          <w:sz w:val="18"/>
          <w:szCs w:val="18"/>
          <w:color w:val="auto"/>
        </w:rPr>
        <w:t xml:space="preserve"> for more information related to the Company's master netting arrangements.</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disclosures for financial instruments:</w:t>
      </w:r>
    </w:p>
    <w:p>
      <w:pPr>
        <w:spacing w:after="0" w:line="167" w:lineRule="exact"/>
        <w:rPr>
          <w:sz w:val="20"/>
          <w:szCs w:val="20"/>
          <w:color w:val="auto"/>
        </w:rPr>
      </w:pPr>
    </w:p>
    <w:p>
      <w:pPr>
        <w:ind w:right="12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equivalents and short-term investments </w:t>
      </w:r>
      <w:r>
        <w:rPr>
          <w:rFonts w:ascii="Times New Roman" w:cs="Times New Roman" w:eastAsia="Times New Roman" w:hAnsi="Times New Roman"/>
          <w:sz w:val="18"/>
          <w:szCs w:val="18"/>
          <w:color w:val="auto"/>
        </w:rPr>
        <w:t>— These investments are adjusted to fair value based on quoted market prices or are determined using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yield curve model based on current market rates.</w:t>
      </w:r>
    </w:p>
    <w:p>
      <w:pPr>
        <w:spacing w:after="0" w:line="101" w:lineRule="exact"/>
        <w:rPr>
          <w:sz w:val="20"/>
          <w:szCs w:val="20"/>
          <w:color w:val="auto"/>
        </w:rPr>
      </w:pPr>
    </w:p>
    <w:p>
      <w:pPr>
        <w:ind w:right="460" w:firstLine="43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Deferred compensation plan investments </w:t>
      </w:r>
      <w:r>
        <w:rPr>
          <w:rFonts w:ascii="Times New Roman" w:cs="Times New Roman" w:eastAsia="Times New Roman" w:hAnsi="Times New Roman"/>
          <w:sz w:val="18"/>
          <w:szCs w:val="18"/>
          <w:color w:val="auto"/>
        </w:rPr>
        <w:t>— The fair value of these mutual fund, money market fund and equity investments are based on quoted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 prices.</w:t>
      </w:r>
    </w:p>
    <w:p>
      <w:pPr>
        <w:spacing w:after="0" w:line="101" w:lineRule="exact"/>
        <w:rPr>
          <w:sz w:val="20"/>
          <w:szCs w:val="20"/>
          <w:color w:val="auto"/>
        </w:rPr>
      </w:pPr>
    </w:p>
    <w:p>
      <w:pPr>
        <w:ind w:right="60" w:firstLine="432"/>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Forward foreign currency exchange contracts </w:t>
      </w:r>
      <w:r>
        <w:rPr>
          <w:rFonts w:ascii="Times New Roman" w:cs="Times New Roman" w:eastAsia="Times New Roman" w:hAnsi="Times New Roman"/>
          <w:sz w:val="18"/>
          <w:szCs w:val="18"/>
          <w:color w:val="auto"/>
        </w:rPr>
        <w:t>— The estimated fair value of forward foreign currency exchange contracts, which includes derivatives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are accounted for as cash flow hedges and those that are not designated as cash flow hedges, is based on the estimated amount the Company would receive if it sold these agreements at the reporting date taking into consideration current interest rates as well as the creditworthiness of the counterparty for assets and the Company’s creditworthiness for liabilities.</w:t>
      </w:r>
    </w:p>
    <w:p>
      <w:pPr>
        <w:spacing w:after="0" w:line="177" w:lineRule="exact"/>
        <w:rPr>
          <w:sz w:val="20"/>
          <w:szCs w:val="20"/>
          <w:color w:val="auto"/>
        </w:rPr>
      </w:pPr>
    </w:p>
    <w:p>
      <w:pPr>
        <w:ind w:right="160" w:firstLine="432"/>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Contingent consideration </w:t>
      </w:r>
      <w:r>
        <w:rPr>
          <w:rFonts w:ascii="Times New Roman" w:cs="Times New Roman" w:eastAsia="Times New Roman" w:hAnsi="Times New Roman"/>
          <w:sz w:val="18"/>
          <w:szCs w:val="18"/>
          <w:color w:val="auto"/>
        </w:rPr>
        <w:t>— The fair value of the contingent consideration was estimated utilizing the income approach and is based upon significant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inputs not observable in the market. The income approach is based on two steps. The first step involves a projection of the cash flows that is based on the Company’s estimates of the timing and probability of achieving the defined milestones. The second step involves converting the cash flows into a present value equivalent through discounting. The discount rate reflects the Baa costs of debt plus the relevant risk associated with the asset and the time value of money.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36"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fair value measurement of the contingent consideration encompasses the following significant unobservable inputs: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Unobservable Inputs</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Range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94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Estimated contingent consideration payments</w:t>
            </w: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940" w:type="dxa"/>
            <w:vAlign w:val="bottom"/>
            <w:gridSpan w:val="3"/>
            <w:vMerge w:val="continue"/>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Discount rate</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 - 10%</w:t>
            </w:r>
          </w:p>
        </w:tc>
        <w:tc>
          <w:tcPr>
            <w:tcW w:w="0" w:type="dxa"/>
            <w:vAlign w:val="bottom"/>
          </w:tcPr>
          <w:p>
            <w:pPr>
              <w:spacing w:after="0"/>
              <w:rPr>
                <w:sz w:val="1"/>
                <w:szCs w:val="1"/>
                <w:color w:val="auto"/>
              </w:rPr>
            </w:pPr>
          </w:p>
        </w:tc>
      </w:tr>
      <w:tr>
        <w:trPr>
          <w:trHeight w:val="243"/>
        </w:trPr>
        <w:tc>
          <w:tcPr>
            <w:tcW w:w="99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Timing of cash flows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1 - 17 months</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99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Probability of achievement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6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Changes in the fair value of the contingent consideration subsequent to the acquisition date that are primarily driven by assumptions pertaining to the achievement of the defined milestones will be recognized in operating income in the period of the estimated fair value change. Significant increases or decreases in any of the inputs in isolation may result in a fluctuation in the fair value measurement.</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change in the fair value of the contingent consideration measured using significant unobservable inputs (Level 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May 3, 2014:</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Contingent</w:t>
            </w:r>
          </w:p>
        </w:tc>
      </w:tr>
      <w:tr>
        <w:trPr>
          <w:trHeight w:val="194"/>
        </w:trPr>
        <w:tc>
          <w:tcPr>
            <w:tcW w:w="9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Consideration</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November 2, 2013</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6,479</w:t>
            </w:r>
          </w:p>
        </w:tc>
      </w:tr>
      <w:tr>
        <w:trPr>
          <w:trHeight w:val="27"/>
        </w:trPr>
        <w:tc>
          <w:tcPr>
            <w:tcW w:w="9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Payment made (1)</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43"/>
        </w:trPr>
        <w:tc>
          <w:tcPr>
            <w:tcW w:w="9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Fair value adjustment (2)</w:t>
            </w: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354</w:t>
            </w:r>
          </w:p>
        </w:tc>
      </w:tr>
      <w:tr>
        <w:trPr>
          <w:trHeight w:val="27"/>
        </w:trPr>
        <w:tc>
          <w:tcPr>
            <w:tcW w:w="9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May 3, 2014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4,833</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60" w:right="2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is reflected in the Company's condensed consolidated statements of cash flows as cash used in financing activities related to the liability recognized at fair value as of the acquisition date and as cash provided by operating activities related to the fair value adjustments previously recognized in earnings.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in research and development expense in the Company's condensed consolidated statements of income.</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Recorded at Fair Value on a Recurring Basis</w:t>
      </w:r>
    </w:p>
    <w:p>
      <w:pPr>
        <w:spacing w:after="0" w:line="173" w:lineRule="exact"/>
        <w:rPr>
          <w:sz w:val="20"/>
          <w:szCs w:val="20"/>
          <w:color w:val="auto"/>
        </w:rPr>
      </w:pPr>
    </w:p>
    <w:p>
      <w:pPr>
        <w:jc w:val="both"/>
        <w:ind w:right="120" w:firstLine="432"/>
        <w:spacing w:after="0" w:line="261" w:lineRule="auto"/>
        <w:rPr>
          <w:sz w:val="20"/>
          <w:szCs w:val="20"/>
          <w:color w:val="auto"/>
        </w:rPr>
      </w:pPr>
      <w:r>
        <w:rPr>
          <w:rFonts w:ascii="Times New Roman" w:cs="Times New Roman" w:eastAsia="Times New Roman" w:hAnsi="Times New Roman"/>
          <w:sz w:val="18"/>
          <w:szCs w:val="18"/>
          <w:color w:val="auto"/>
        </w:rPr>
        <w:t>On April 4, 2011, the Company issued $375.0 million aggregate principal amount of 3.0% senior unsecured notes due April 15, 2016 (the 2016 Notes) with semi-annual fixed interest payments due on April 15 and October 15 of each year, commencing October 15, 2011. Based on quotes received from third-party banks, the fair value of the 2016 Notes as of May 3, 2014 and November 2, 2013 was $389.3 million and $392.8 million, respectively, and is classified as a Level 1 measurement according to the fair value hierarchy.</w:t>
      </w:r>
    </w:p>
    <w:p>
      <w:pPr>
        <w:spacing w:after="0" w:line="126" w:lineRule="exact"/>
        <w:rPr>
          <w:sz w:val="20"/>
          <w:szCs w:val="20"/>
          <w:color w:val="auto"/>
        </w:rPr>
      </w:pPr>
    </w:p>
    <w:p>
      <w:pPr>
        <w:jc w:val="both"/>
        <w:ind w:right="100" w:firstLine="432"/>
        <w:spacing w:after="0" w:line="261" w:lineRule="auto"/>
        <w:rPr>
          <w:sz w:val="20"/>
          <w:szCs w:val="20"/>
          <w:color w:val="auto"/>
        </w:rPr>
      </w:pPr>
      <w:r>
        <w:rPr>
          <w:rFonts w:ascii="Times New Roman" w:cs="Times New Roman" w:eastAsia="Times New Roman" w:hAnsi="Times New Roman"/>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Based on quotes received from third-party banks, the fair value of the 2023 Notes as of May 3, 2014 and November 2, 2013 was $476.0 million and $466.0 million, respectively, and is classified as a Level 1 measurement according to the fair value hierarchy.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Derivatives</w:t>
      </w:r>
    </w:p>
    <w:p>
      <w:pPr>
        <w:spacing w:after="0" w:line="92"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Foreign Exchange Exposure Management </w:t>
      </w:r>
      <w:r>
        <w:rPr>
          <w:rFonts w:ascii="Times New Roman" w:cs="Times New Roman" w:eastAsia="Times New Roman" w:hAnsi="Times New Roman"/>
          <w:sz w:val="18"/>
          <w:szCs w:val="18"/>
          <w:color w:val="auto"/>
        </w:rPr>
        <w:t>— The Company enters into forward foreign currency exchange contracts to offset certain operational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balance sheet exposures from the impact of changes in foreign currency exchange rates. Such exposures result from the portion of the Company’s operations, assets and liabilities that are denominated in currencies other</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than the U.S. dollar, primarily the Euro; other significant exposures include the Philippine Peso, the Japanese Yen and the British Pound. These foreign currency exchange contracts are entered into to support transactions made in the normal course of business, and accordingly, are not speculative in nature. The contracts are for periods consistent with the terms of the underlying transactions, generally one year or less. Hedges related to anticipated transactions are designated and documented at the inception of the respective hedges as cash flow hedges and are evaluated for effectiveness monthly. Derivative instruments are employed to eliminate or minimize certain foreign currency exposures that can be confidently identified and quantified. As the terms of the contract and the underlying transaction are matched at inception, forward contract effectiveness is calculated by comparing the change in fair value of the contract to the change in the forward value of the anticipated transaction, with the effective portion of the gain or loss on the derivative reported as a component of accumulated OCI in shareholders’ equity and reclassified into earnings in the same period during which the hedged transaction affects earnings. Any residual change in fair value of the instruments, or ineffectiveness, is recognized immediately in other (income) expense. Additionally, the Company enters into forward foreign currency contracts that economically hedge the gains and losses generated by the re-measurement of</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742" w:right="239" w:bottom="1440" w:gutter="0" w:footer="0" w:header="0"/>
        </w:sectPr>
      </w:pPr>
    </w:p>
    <w:bookmarkStart w:id="19" w:name="page20"/>
    <w:bookmarkEnd w:id="19"/>
    <w:p>
      <w:pPr>
        <w:ind w:right="260"/>
        <w:spacing w:after="0" w:line="261" w:lineRule="auto"/>
        <w:rPr>
          <w:sz w:val="20"/>
          <w:szCs w:val="20"/>
          <w:color w:val="auto"/>
        </w:rPr>
      </w:pPr>
      <w:r>
        <w:rPr>
          <w:rFonts w:ascii="Times New Roman" w:cs="Times New Roman" w:eastAsia="Times New Roman" w:hAnsi="Times New Roman"/>
          <w:sz w:val="18"/>
          <w:szCs w:val="18"/>
          <w:color w:val="auto"/>
        </w:rPr>
        <w:t>certain recorded assets and liabilities in a non-functional currency. Changes in the fair value of these undesignated hedges are recognized in other (income) expense immediately as an offset to the changes in the fair value of the asset or liability being hedged. As of May 3, 2014 and November 2, 2013, the total notional amount of these undesignated hedges was $40.0 million and $33.4 million, respectively. The fair value of these undesignated hedges in the Company’s condensed consolidated balance sheets as of May 3, 2014 and November 2, 2013 was immaterial.</w:t>
      </w:r>
    </w:p>
    <w:p>
      <w:pPr>
        <w:spacing w:after="0" w:line="12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Interest Rate Exposure Management </w:t>
      </w:r>
      <w:r>
        <w:rPr>
          <w:rFonts w:ascii="Times New Roman" w:cs="Times New Roman" w:eastAsia="Times New Roman" w:hAnsi="Times New Roman"/>
          <w:sz w:val="18"/>
          <w:szCs w:val="18"/>
          <w:color w:val="auto"/>
        </w:rPr>
        <w:t>— The Company's current and future debt may be subject to interest rate risk. The Company utilizes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derivatives to alter interest rate exposure in an attempt to reduce the effects of these changes. On April 24, 2013, the Company entered into a treasury rate lock agreement with Bank of America. This agreement allowed the Company to lock a 10-year US Treasury rate of 1.7845% through June 14, 2013 for its anticipated issuance of the 2023 Notes. The Company designated this agreement as a cash flow hedge. On June 3, 2013, the Company terminated the treasury rate lock simultaneously with the issuance of the 2023 Notes which resulted in a gain of approximately $11.0 million. This gain is being amortized into interest expense over the 10-year term of the 2023 Notes. See Note 5, </w:t>
      </w:r>
      <w:r>
        <w:rPr>
          <w:rFonts w:ascii="Times New Roman" w:cs="Times New Roman" w:eastAsia="Times New Roman" w:hAnsi="Times New Roman"/>
          <w:sz w:val="18"/>
          <w:szCs w:val="18"/>
          <w:i w:val="1"/>
          <w:iCs w:val="1"/>
          <w:color w:val="auto"/>
        </w:rPr>
        <w:t>Accumulated Other Comprehensive Income (Loss)</w:t>
      </w:r>
      <w:r>
        <w:rPr>
          <w:rFonts w:ascii="Times New Roman" w:cs="Times New Roman" w:eastAsia="Times New Roman" w:hAnsi="Times New Roman"/>
          <w:sz w:val="18"/>
          <w:szCs w:val="18"/>
          <w:color w:val="auto"/>
        </w:rPr>
        <w:t>, for more information relating to the amortization of the treasury rate lock into interest expense.</w:t>
      </w:r>
    </w:p>
    <w:p>
      <w:pPr>
        <w:spacing w:after="0" w:line="13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On June 30, 2009, the Company entered into interest rate swap transactions related to its outstanding $375 million aggregate principal amount of 5.0% senior unsecured notes due July 1, 2014 (the 2014 Notes) where the Company swapped the notional amount of its $375.0 million of fixed rate debt at 5.0% into floating interest rate debt through July 1, 2014. The Company designated these swaps as fair value hedges. The fair value of the swaps at inception was zero and subsequent changes in the fair value of the interest rate swaps were reflected in the carrying value of the interest rate swaps on the balance sheet. The carrying value of the debt on the balance sheet was adjusted by an equal and offsetting amount. The amounts earned and owed under the swap agreements were accrued each period and were reported in interest expense. There was no ineffectiveness recognized in any of the periods presented. In the second quarter of fiscal 2012, the Company terminated the interest rate swap agreement. The Company received $19.8 million in cash proceeds from the swap termination, which included $1.3 million in accrued interest.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2014 Notes, the Company recognized the remaining $8.6 million in unamortized proceeds received from the termination of the interest rate swap as other, net expense.</w:t>
      </w:r>
    </w:p>
    <w:p>
      <w:pPr>
        <w:spacing w:after="0" w:line="137"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market risk associated with the Company’s derivative instruments results from currency exchange rate or interest rate movements that are expected to offset the market risk of the underlying transactions, assets and liabilities being hedged. The counterparties to the agreements relating to the Company’s derivative instruments consist of a number of major international financial institutions with high credit ratings. Based on the credit ratings of the Company’s counterparties as of May 3, 2014, nonperformance is not perceived to be a significant risk. Furthermore, none of the Company’s derivatives are subject to collateral or other security arrangements and none contain provisions that are dependent on the Company’s credit ratings from any credit rating agency. While the contract or notional amounts of derivative financial instruments provide one measure of the volume of these transactions, they do not represent the amount of the Company’s exposure to credit risk. The amounts potentially subject to credit risk (arising from the possible inability of counterparties to meet the terms of their contracts) are generally limited to the amounts, if any, by which the counterparties’ obligations under the contracts exceed the obligations of the Company to the counterparties. As a result of the above considerations, the Company does not consider the risk of counterparty default to be significant.</w:t>
      </w:r>
    </w:p>
    <w:p>
      <w:pPr>
        <w:spacing w:after="0" w:line="189" w:lineRule="exact"/>
        <w:rPr>
          <w:sz w:val="20"/>
          <w:szCs w:val="20"/>
          <w:color w:val="auto"/>
        </w:rPr>
      </w:pPr>
    </w:p>
    <w:p>
      <w:pPr>
        <w:ind w:right="180" w:firstLine="432"/>
        <w:spacing w:after="0" w:line="258" w:lineRule="auto"/>
        <w:rPr>
          <w:sz w:val="20"/>
          <w:szCs w:val="20"/>
          <w:color w:val="auto"/>
        </w:rPr>
      </w:pPr>
      <w:r>
        <w:rPr>
          <w:rFonts w:ascii="Times New Roman" w:cs="Times New Roman" w:eastAsia="Times New Roman" w:hAnsi="Times New Roman"/>
          <w:sz w:val="18"/>
          <w:szCs w:val="18"/>
          <w:color w:val="auto"/>
        </w:rPr>
        <w:t>The Company records the fair value of its derivative financial instruments in its condensed consolidated financial statements in other current assets, other assets or accrued liabilities, depending on their net position, regardless of the purpose or intent for holding the derivative contract. Changes in the fair value of the derivative financial instruments are either recognized periodically in earnings or in shareholders’ equity as a component of OCI. Changes in the fair value of cash flow hedges are recorded in OCI and reclassified into earnings when the underlying contract matures. Changes in the fair values of derivatives not qualifying for hedge accounting or the ineffective portion of designated hedges are reported in earnings as they occur.</w:t>
      </w:r>
    </w:p>
    <w:p>
      <w:pPr>
        <w:spacing w:after="0" w:line="130" w:lineRule="exact"/>
        <w:rPr>
          <w:sz w:val="20"/>
          <w:szCs w:val="20"/>
          <w:color w:val="auto"/>
        </w:rPr>
      </w:pPr>
    </w:p>
    <w:p>
      <w:pPr>
        <w:ind w:right="40" w:firstLine="432"/>
        <w:spacing w:after="0" w:line="261" w:lineRule="auto"/>
        <w:rPr>
          <w:sz w:val="20"/>
          <w:szCs w:val="20"/>
          <w:color w:val="auto"/>
        </w:rPr>
      </w:pPr>
      <w:r>
        <w:rPr>
          <w:rFonts w:ascii="Times New Roman" w:cs="Times New Roman" w:eastAsia="Times New Roman" w:hAnsi="Times New Roman"/>
          <w:sz w:val="18"/>
          <w:szCs w:val="18"/>
          <w:color w:val="auto"/>
        </w:rPr>
        <w:t>The total notional amounts of forward foreign currency derivative instruments designated as hedging instruments of cash flow hedges denominated in Euros, British Pounds, Philippine Pesos and Japanese Yen as of May 3, 2014 and November 2, 2013 was $186.1 million and $196.9 million, respectively. The fair values of forward foreign currency derivative instruments designated as hedging instruments in the Company’s condensed consolidated balance sheets as of May 3, 2014 and November 2, 2013 were as follows: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580"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5"/>
        </w:trPr>
        <w:tc>
          <w:tcPr>
            <w:tcW w:w="4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1119"/>
              <w:spacing w:after="0"/>
              <w:rPr>
                <w:sz w:val="20"/>
                <w:szCs w:val="20"/>
                <w:color w:val="auto"/>
              </w:rPr>
            </w:pPr>
            <w:r>
              <w:rPr>
                <w:rFonts w:ascii="Times New Roman" w:cs="Times New Roman" w:eastAsia="Times New Roman" w:hAnsi="Times New Roman"/>
                <w:sz w:val="14"/>
                <w:szCs w:val="14"/>
                <w:b w:val="1"/>
                <w:bCs w:val="1"/>
                <w:color w:val="auto"/>
              </w:rPr>
              <w:t>Fair Value At</w:t>
            </w:r>
          </w:p>
        </w:tc>
      </w:tr>
      <w:tr>
        <w:trPr>
          <w:trHeight w:val="264"/>
        </w:trPr>
        <w:tc>
          <w:tcPr>
            <w:tcW w:w="4100" w:type="dxa"/>
            <w:vAlign w:val="bottom"/>
            <w:tcBorders>
              <w:bottom w:val="single" w:sz="8" w:color="CCEEFF"/>
            </w:tcBorders>
          </w:tcPr>
          <w:p>
            <w:pPr>
              <w:spacing w:after="0"/>
              <w:rPr>
                <w:sz w:val="22"/>
                <w:szCs w:val="22"/>
                <w:color w:val="auto"/>
              </w:rPr>
            </w:pPr>
          </w:p>
        </w:tc>
        <w:tc>
          <w:tcPr>
            <w:tcW w:w="38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November 2, 2013</w:t>
            </w:r>
          </w:p>
        </w:tc>
      </w:tr>
      <w:tr>
        <w:trPr>
          <w:trHeight w:val="242"/>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Forward foreign currency exchange contracts</w:t>
            </w:r>
          </w:p>
        </w:tc>
        <w:tc>
          <w:tcPr>
            <w:tcW w:w="3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2,377</w:t>
            </w:r>
          </w:p>
        </w:tc>
      </w:tr>
      <w:tr>
        <w:trPr>
          <w:trHeight w:val="27"/>
        </w:trPr>
        <w:tc>
          <w:tcPr>
            <w:tcW w:w="4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 xml:space="preserve">For information on the unrealized holding gains (losses) on derivatives included in and reclassified out of accumulated other comprehensive income into the condensed consolidated statement of income related to forward foreign currency exchange contracts, see Note 5,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All of the Company’s derivative financial instruments are subject to master netting arrangements that allow the Company and its counterparties to net settle amounts owed to each other. Derivative assets and liabilities that can be net settled under these arrangements have been presented in the Company's consolidated balance sheet on a net basis. As of May 3, 2014 and November 2, 2013, none of the master netting arrangements involved collateral. The following table presents the gross amounts of the Company's derivative assets and liabilities and the net amounts recorded in our consolidated balance sheet: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November 2, 2013</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amount of recognized assets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3,938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4,217</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amounts offset in the consolidated balance sheet</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w:t>
            </w:r>
          </w:p>
        </w:tc>
      </w:tr>
      <w:tr>
        <w:trPr>
          <w:trHeight w:val="27"/>
        </w:trPr>
        <w:tc>
          <w:tcPr>
            <w:tcW w:w="8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 presented in the consolidated balance sheet assets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2,267</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Goodwill and Intangible Assets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92"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Company evaluates goodwill for impairment annually, as well as whenever events or changes in circumstances suggest that the carrying value of goodwill may not be recoverable. The Company tests goodwill for impairment at the reporting unit level (operating segment or one level below an operating segment) on an annual basis on the first day of the fourth quarter (on or about August 3) or more frequently if indicators of impairment exist. For the Company’s latest annual impairment assessment that occurred on August 4, 2013, the Company identified its reporting units to be its five operating segments. The performance of the test involves a two-step process. The first step of the impairment test involves comparing the fair values of the applicable reporting units with their aggregate carrying values, including goodwill. The Company determines the fair value of its reporting units using the income approach methodology of valuation that includes the discounted cash flow method, as well as other generally accepted valuation methodologies. If the carrying amount of a reporting unit exceeds the reporting unit’s fair value, the Company performs the second step of the goodwill impairment test to determine the amount of impairment loss. The second step of the goodwill impairment test involves comparing the implied fair value of the affected reporting unit’s goodwill with the carrying value of that goodwill. No impairment of goodwill resulted in any of the fiscal periods presented. The following table presents the changes in goodwill during the first six months of fiscal 2014: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50"/>
        </w:trPr>
        <w:tc>
          <w:tcPr>
            <w:tcW w:w="96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May 3, 2014</w:t>
            </w:r>
          </w:p>
        </w:tc>
      </w:tr>
      <w:tr>
        <w:trPr>
          <w:trHeight w:val="249"/>
        </w:trPr>
        <w:tc>
          <w:tcPr>
            <w:tcW w:w="9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November 2, 2013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284,112</w:t>
            </w:r>
          </w:p>
        </w:tc>
      </w:tr>
      <w:tr>
        <w:trPr>
          <w:trHeight w:val="243"/>
        </w:trPr>
        <w:tc>
          <w:tcPr>
            <w:tcW w:w="9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Pr>
          <w:p>
            <w:pPr>
              <w:spacing w:after="0"/>
              <w:rPr>
                <w:sz w:val="21"/>
                <w:szCs w:val="21"/>
                <w:color w:val="auto"/>
              </w:rPr>
            </w:pPr>
          </w:p>
        </w:tc>
        <w:tc>
          <w:tcPr>
            <w:tcW w:w="15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3,229</w:t>
            </w:r>
          </w:p>
        </w:tc>
      </w:tr>
      <w:tr>
        <w:trPr>
          <w:trHeight w:val="27"/>
        </w:trPr>
        <w:tc>
          <w:tcPr>
            <w:tcW w:w="96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9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May 3, 2014</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287,341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9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 xml:space="preserve">The Company reviews finite-lived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value determined by either a quoted market price, if any, or a value determined by utilizing a discounted cash flow technique. As of May 3, 2014 and November 2, 2013, the Company’s finite-lived intangible assets consisted of the following which related to the acquisition of Multigig, Inc. (See Note 16, </w:t>
      </w:r>
      <w:r>
        <w:rPr>
          <w:rFonts w:ascii="Times New Roman" w:cs="Times New Roman" w:eastAsia="Times New Roman" w:hAnsi="Times New Roman"/>
          <w:sz w:val="18"/>
          <w:szCs w:val="18"/>
          <w:i w:val="1"/>
          <w:iCs w:val="1"/>
          <w:color w:val="auto"/>
        </w:rPr>
        <w:t>Acquisitions</w:t>
      </w: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804"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5"/>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1002"/>
              <w:spacing w:after="0"/>
              <w:rPr>
                <w:sz w:val="20"/>
                <w:szCs w:val="20"/>
                <w:color w:val="auto"/>
              </w:rPr>
            </w:pPr>
            <w:r>
              <w:rPr>
                <w:rFonts w:ascii="Times New Roman" w:cs="Times New Roman" w:eastAsia="Times New Roman" w:hAnsi="Times New Roman"/>
                <w:sz w:val="14"/>
                <w:szCs w:val="14"/>
                <w:b w:val="1"/>
                <w:bCs w:val="1"/>
                <w:color w:val="auto"/>
              </w:rPr>
              <w:t>November 2, 2013</w:t>
            </w:r>
          </w:p>
        </w:tc>
      </w:tr>
      <w:tr>
        <w:trPr>
          <w:trHeight w:val="149"/>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60" w:type="dxa"/>
            <w:vAlign w:val="bottom"/>
          </w:tcPr>
          <w:p>
            <w:pPr>
              <w:spacing w:after="0"/>
              <w:rPr>
                <w:sz w:val="12"/>
                <w:szCs w:val="12"/>
                <w:color w:val="auto"/>
              </w:rPr>
            </w:pPr>
          </w:p>
        </w:tc>
        <w:tc>
          <w:tcPr>
            <w:tcW w:w="134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260" w:type="dxa"/>
            <w:vAlign w:val="bottom"/>
          </w:tcPr>
          <w:p>
            <w:pPr>
              <w:spacing w:after="0"/>
              <w:rPr>
                <w:sz w:val="12"/>
                <w:szCs w:val="12"/>
                <w:color w:val="auto"/>
              </w:rPr>
            </w:pPr>
          </w:p>
        </w:tc>
        <w:tc>
          <w:tcPr>
            <w:tcW w:w="13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r>
      <w:tr>
        <w:trPr>
          <w:trHeight w:val="195"/>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6"/>
                <w:szCs w:val="16"/>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42"/>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Technology-based</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348</w:t>
            </w:r>
          </w:p>
        </w:tc>
      </w:tr>
      <w:tr>
        <w:trPr>
          <w:trHeight w:val="27"/>
        </w:trPr>
        <w:tc>
          <w:tcPr>
            <w:tcW w:w="47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340" w:firstLine="432"/>
        <w:spacing w:after="0" w:line="282" w:lineRule="auto"/>
        <w:rPr>
          <w:sz w:val="20"/>
          <w:szCs w:val="20"/>
          <w:color w:val="auto"/>
        </w:rPr>
      </w:pPr>
      <w:r>
        <w:rPr>
          <w:rFonts w:ascii="Times New Roman" w:cs="Times New Roman" w:eastAsia="Times New Roman" w:hAnsi="Times New Roman"/>
          <w:sz w:val="18"/>
          <w:szCs w:val="18"/>
          <w:color w:val="auto"/>
        </w:rPr>
        <w:t>For each of the three- and six-month periods ended May 3, 2014 and May 4, 2013, amortization expense related to finite-lived intangible assets was $0.1 million. The remaining amortization expense will be recognized over a period of approximately 3.0 years.</w:t>
      </w:r>
    </w:p>
    <w:p>
      <w:pPr>
        <w:spacing w:after="0" w:line="10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expects annual amortization expense for intangible assets to be: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06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9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Remainder of fiscal 2014</w:t>
            </w: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9360" w:type="dxa"/>
            <w:vAlign w:val="bottom"/>
            <w:gridSpan w:val="3"/>
            <w:vMerge w:val="continue"/>
          </w:tcPr>
          <w:p>
            <w:pPr>
              <w:spacing w:after="0"/>
              <w:rPr>
                <w:sz w:val="20"/>
                <w:szCs w:val="20"/>
                <w:color w:val="auto"/>
              </w:rPr>
            </w:pPr>
          </w:p>
        </w:tc>
        <w:tc>
          <w:tcPr>
            <w:tcW w:w="2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2015</w:t>
            </w:r>
          </w:p>
        </w:tc>
        <w:tc>
          <w:tcPr>
            <w:tcW w:w="864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43"/>
        </w:trPr>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2016</w:t>
            </w:r>
          </w:p>
        </w:tc>
        <w:tc>
          <w:tcPr>
            <w:tcW w:w="8640" w:type="dxa"/>
            <w:vAlign w:val="bottom"/>
          </w:tcPr>
          <w:p>
            <w:pPr>
              <w:spacing w:after="0"/>
              <w:rPr>
                <w:sz w:val="21"/>
                <w:szCs w:val="21"/>
                <w:color w:val="auto"/>
              </w:rPr>
            </w:pPr>
          </w:p>
        </w:tc>
        <w:tc>
          <w:tcPr>
            <w:tcW w:w="2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2017</w:t>
            </w:r>
          </w:p>
        </w:tc>
        <w:tc>
          <w:tcPr>
            <w:tcW w:w="8640" w:type="dxa"/>
            <w:vAlign w:val="bottom"/>
            <w:shd w:val="clear" w:color="auto" w:fill="CCEEFF"/>
          </w:tcPr>
          <w:p>
            <w:pPr>
              <w:spacing w:after="0"/>
              <w:rPr>
                <w:sz w:val="21"/>
                <w:szCs w:val="21"/>
                <w:color w:val="auto"/>
              </w:rPr>
            </w:pPr>
          </w:p>
        </w:tc>
        <w:tc>
          <w:tcPr>
            <w:tcW w:w="2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64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right="440" w:firstLine="432"/>
        <w:spacing w:after="0" w:line="282" w:lineRule="auto"/>
        <w:rPr>
          <w:sz w:val="20"/>
          <w:szCs w:val="20"/>
          <w:color w:val="auto"/>
        </w:rPr>
      </w:pPr>
      <w:r>
        <w:rPr>
          <w:rFonts w:ascii="Times New Roman" w:cs="Times New Roman" w:eastAsia="Times New Roman" w:hAnsi="Times New Roman"/>
          <w:sz w:val="18"/>
          <w:szCs w:val="18"/>
          <w:color w:val="auto"/>
        </w:rPr>
        <w:t>Indefinite-lived intangible assets are tested for impairment on an annual basis on the first day of the fourth quarter (on or about August 3) or more frequently if indicators of impairment exist. No impairment of intangible assets resulted from the impairment tests in any of the fiscal periods presented.</w:t>
      </w:r>
    </w:p>
    <w:p>
      <w:pPr>
        <w:spacing w:after="0" w:line="108"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Intangible assets, excluding in-process research and development (IPR&amp;D), are amortized on a straight-line basis over their estimated useful lives or on an accelerated method of amortization that is expected to reflect the estimated pattern of economic use. IPR&amp;D assets are considered indefinite-lived intangible assets until completion or abandonment of the associated research and development efforts. Upon completion of the projects, the IPR&amp;D assets will be amortized over their estimated useful lives.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Indefinite-lived intangible assets consisted of $27.8 million of IPR&amp;D as of May 3, 2014 and November 2, 2013.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Pension Plans</w:t>
      </w:r>
    </w:p>
    <w:p>
      <w:pPr>
        <w:spacing w:after="0" w:line="94" w:lineRule="exact"/>
        <w:rPr>
          <w:sz w:val="20"/>
          <w:szCs w:val="20"/>
          <w:color w:val="auto"/>
        </w:rPr>
      </w:pPr>
    </w:p>
    <w:p>
      <w:pPr>
        <w:jc w:val="both"/>
        <w:ind w:right="360" w:firstLine="432"/>
        <w:spacing w:after="0" w:line="266" w:lineRule="auto"/>
        <w:rPr>
          <w:sz w:val="20"/>
          <w:szCs w:val="20"/>
          <w:color w:val="auto"/>
        </w:rPr>
      </w:pPr>
      <w:r>
        <w:rPr>
          <w:rFonts w:ascii="Times New Roman" w:cs="Times New Roman" w:eastAsia="Times New Roman" w:hAnsi="Times New Roman"/>
          <w:sz w:val="18"/>
          <w:szCs w:val="18"/>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Net periodic pension cost of non-U.S. plans is presented in the following table: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103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092"/>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4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8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300" w:type="dxa"/>
            <w:vAlign w:val="bottom"/>
          </w:tcPr>
          <w:p>
            <w:pPr>
              <w:spacing w:after="0"/>
              <w:rPr>
                <w:sz w:val="22"/>
                <w:szCs w:val="22"/>
                <w:color w:val="auto"/>
              </w:rPr>
            </w:pP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80" w:type="dxa"/>
            <w:vAlign w:val="bottom"/>
          </w:tcPr>
          <w:p>
            <w:pPr>
              <w:spacing w:after="0"/>
              <w:rPr>
                <w:sz w:val="22"/>
                <w:szCs w:val="22"/>
                <w:color w:val="auto"/>
              </w:rPr>
            </w:pPr>
          </w:p>
        </w:tc>
        <w:tc>
          <w:tcPr>
            <w:tcW w:w="142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May 4, 2013</w:t>
            </w:r>
          </w:p>
        </w:tc>
      </w:tr>
      <w:tr>
        <w:trPr>
          <w:trHeight w:val="249"/>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3,436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5,676</w:t>
            </w: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7,107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6,251</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(5,876)</w:t>
            </w: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initial net obligation</w:t>
            </w:r>
          </w:p>
        </w:tc>
        <w:tc>
          <w:tcPr>
            <w:tcW w:w="30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43"/>
        </w:trPr>
        <w:tc>
          <w:tcPr>
            <w:tcW w:w="4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net loss</w:t>
            </w:r>
          </w:p>
        </w:tc>
        <w:tc>
          <w:tcPr>
            <w:tcW w:w="30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1,159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1,491</w:t>
            </w:r>
          </w:p>
        </w:tc>
      </w:tr>
      <w:tr>
        <w:trPr>
          <w:trHeight w:val="27"/>
        </w:trPr>
        <w:tc>
          <w:tcPr>
            <w:tcW w:w="4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4,653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9,252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7,436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40" w:firstLine="432"/>
        <w:spacing w:after="0" w:line="313" w:lineRule="auto"/>
        <w:rPr>
          <w:sz w:val="20"/>
          <w:szCs w:val="20"/>
          <w:color w:val="auto"/>
        </w:rPr>
      </w:pPr>
      <w:r>
        <w:rPr>
          <w:rFonts w:ascii="Times New Roman" w:cs="Times New Roman" w:eastAsia="Times New Roman" w:hAnsi="Times New Roman"/>
          <w:sz w:val="17"/>
          <w:szCs w:val="17"/>
          <w:color w:val="auto"/>
        </w:rPr>
        <w:t>Pension contributions of $4.3 million and $8.9 million were made by the Company during the three and six months ended May 3, 2014. The Company presently anticipates contributing an additional $8.8 million to fund its defined benefit pension plans in fiscal year 2014 for a total of $17.7 million.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804"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13 – Revolving Credit Facility</w:t>
      </w:r>
    </w:p>
    <w:p>
      <w:pPr>
        <w:spacing w:after="0" w:line="229" w:lineRule="exact"/>
        <w:rPr>
          <w:sz w:val="20"/>
          <w:szCs w:val="20"/>
          <w:color w:val="auto"/>
        </w:rPr>
      </w:pPr>
    </w:p>
    <w:p>
      <w:pPr>
        <w:ind w:right="100" w:firstLine="432"/>
        <w:spacing w:after="0" w:line="252" w:lineRule="auto"/>
        <w:rPr>
          <w:sz w:val="20"/>
          <w:szCs w:val="20"/>
          <w:color w:val="auto"/>
        </w:rPr>
      </w:pPr>
      <w:r>
        <w:rPr>
          <w:rFonts w:ascii="Times New Roman" w:cs="Times New Roman" w:eastAsia="Times New Roman" w:hAnsi="Times New Roman"/>
          <w:sz w:val="18"/>
          <w:szCs w:val="18"/>
          <w:color w:val="auto"/>
        </w:rPr>
        <w:t>As of May 3, 2014, the Company had $4,807.2 million of cash and cash equivalents and short-term investments, of which $1,287.2 million was held in the United States. The balance of the Company's cash and cash equivalents and short-term investments was held outside the United States in various foreign subsidiaries. As the Company intends to reinvest its foreign earnings indefinitely, this cash is not available to meet the Company's cash requirements in the United States, including cash dividends and common stock repurchases. During December 2012, the Company terminated its five-year, $165.0 million unsecured revolving credit facility with certain institutional lenders entered into in May 2008. On December 19, 2012, the Company entered into a five-year, $500.0 million senior unsecured revolving credit facility with certain institutional lenders (the Credit Agreement). To date, the Company has not borrowed under this credit facility but the Company may borrow in the future and use the proceeds for repayment of existing indebtedness, stock repurchases, acquisitions, capital expenditures, working capital and other lawful corporate purposes. Revolving loans under the Credit Agreement (other than swing line loans) bear interest, at the Company's option, at either a rate equal to (a) the Eurodollar Rate (as defined in the Credit Agreement) plus a margin based on the Company's debt rating or (b) the Base Rate (defined as the highest of (i) the Bank of America prime rate, (ii) the Federal Funds Rate (as defined in the Credit Agreement) plus .50% and (iii) one month Eurodollar Rate plus 1.00%) plus a margin based on the Company's debt rating. The terms of the facility impose restrictions on the Company’s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May 3, 2014, the Company was compliant with these covenants.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Debt</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On June 30, 2009, the Company issued $375.0 million aggregate principal amount of 5.0% senior unsecured notes due July 1, 2014 (the 2014 Notes) with semi-annual fixed interest payments due on January 1 and July 1 of each year, commencing January 1, 2010. The sale of the 2014 Notes was made pursuant to the terms of an underwriting agreement, dated June 25, 2009, between the Company and Credit Suisse Securities (USA) LLC, as representative of the several underwriters named therein. The net proceeds of the offering were $370.4 million, after issuing at a discount and deducting expenses, underwriting discounts and commissions, which were amortized over the term of the 2014 Notes.</w:t>
      </w:r>
    </w:p>
    <w:p>
      <w:pPr>
        <w:spacing w:after="0" w:line="130"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On June 30, 2009, the Company entered into interest rate swap transactions related to its outstanding 2014 Notes where the Company swapped the notional amount of its $375.0 million of fixed rate debt at 5.0% into floating interest rate debt through July 1, 2014</w:t>
      </w:r>
      <w:r>
        <w:rPr>
          <w:rFonts w:ascii="Times New Roman" w:cs="Times New Roman" w:eastAsia="Times New Roman" w:hAnsi="Times New Roman"/>
          <w:sz w:val="18"/>
          <w:szCs w:val="18"/>
          <w:color w:val="FF0000"/>
        </w:rPr>
        <w:t>.</w:t>
      </w:r>
      <w:r>
        <w:rPr>
          <w:rFonts w:ascii="Times New Roman" w:cs="Times New Roman" w:eastAsia="Times New Roman" w:hAnsi="Times New Roman"/>
          <w:sz w:val="18"/>
          <w:szCs w:val="18"/>
          <w:color w:val="auto"/>
        </w:rPr>
        <w:t xml:space="preserve"> The Company designated these swaps as fair value hedges. The changes in the fair value of the interest rate swaps were reflected in the carrying value of the interest rate swaps in other assets on the balance sheet. The carrying value of the debt on the balance sheet was adjusted by an equal and offsetting amount. In fiscal 2012, the Company terminated the interest rate swap agreement. The Company received $19.8 million in cash proceeds from the swap termination, which included $1.3 million in accrued interest. The proceeds, net of interest received, are disclosed in cash flows from financing activities in the Company's condensed consolidated statements of cash flows. As a result of the termination, the carrying value of the 2014 Notes was adjusted for the change in the fair value of the interest component of the debt up to the date of the termination of the swap in an amount equal to the fair value of the swap, and was amortized into earnings as a reduction of interest expense over the remaining life of the debt. During the third quarter of fiscal 2013, in conjunction with the redemption of the 2014 Notes, the Company recognized the remaining $8.6 million unamortized proceeds received from the termination of the interest rate swap as other, net expense, within non-operating (income) expense.</w:t>
      </w:r>
    </w:p>
    <w:p>
      <w:pPr>
        <w:spacing w:after="0" w:line="139"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 xml:space="preserve">During the third quarter of fiscal 2013, the Company redeemed its outstanding 2014 Notes. The redemption price was 104.744% of the principal amount of the 2014 Notes. The Company applied the provisions of Accounting Standards Codification (ASC) Subtopic 470-50, </w:t>
      </w:r>
      <w:r>
        <w:rPr>
          <w:rFonts w:ascii="Times New Roman" w:cs="Times New Roman" w:eastAsia="Times New Roman" w:hAnsi="Times New Roman"/>
          <w:sz w:val="18"/>
          <w:szCs w:val="18"/>
          <w:i w:val="1"/>
          <w:iCs w:val="1"/>
          <w:color w:val="auto"/>
        </w:rPr>
        <w:t>Modifications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Extinguishments </w:t>
      </w:r>
      <w:r>
        <w:rPr>
          <w:rFonts w:ascii="Times New Roman" w:cs="Times New Roman" w:eastAsia="Times New Roman" w:hAnsi="Times New Roman"/>
          <w:sz w:val="18"/>
          <w:szCs w:val="18"/>
          <w:color w:val="auto"/>
        </w:rPr>
        <w:t>(ASC 470-50) in order to determine if the terms of the debt were substantially different and, as a result, whether to apply modification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extinguishment accounting. The Company concluded that the debt transaction qualified as a debt extinguishment and, as a result, recognized a net loss on debt extinguishment of approximately $10.2 million recorded in other, net expense within non-operating (income) expense. This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were reflected in the Company's condensed consolidated statements of cash flows within operating activities, and the make-whole premium is reflected within financing activities.</w:t>
      </w:r>
    </w:p>
    <w:p>
      <w:pPr>
        <w:spacing w:after="0" w:line="308"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On December 22, 2010, Analog Devices Holdings B.V., a wholly owned subsidiary of the Company, entered into a credit agreement with Bank of America, N.A., London Branch as administrative agent. The borrower’s obligations were guaranteed by the Company. The credit agreement provided for a term loan facility of $145.0 million, which was set to mature on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76" w:right="239" w:bottom="1440" w:gutter="0" w:footer="0" w:header="0"/>
        </w:sectPr>
      </w:pPr>
    </w:p>
    <w:bookmarkStart w:id="23" w:name="page24"/>
    <w:bookmarkEnd w:id="23"/>
    <w:p>
      <w:pPr>
        <w:spacing w:after="0" w:line="255" w:lineRule="auto"/>
        <w:rPr>
          <w:sz w:val="20"/>
          <w:szCs w:val="20"/>
          <w:color w:val="auto"/>
        </w:rPr>
      </w:pPr>
      <w:r>
        <w:rPr>
          <w:rFonts w:ascii="Times New Roman" w:cs="Times New Roman" w:eastAsia="Times New Roman" w:hAnsi="Times New Roman"/>
          <w:sz w:val="18"/>
          <w:szCs w:val="18"/>
          <w:color w:val="auto"/>
        </w:rPr>
        <w:t>December 22, 2013. During the first quarter of fiscal 2013, the Company repaid the remaining outstanding principal balance on the loan of $60.1 million and the credit agreement was terminated. The terms of the agreement provided for a three year principal amortization schedule with $3.6 million payable quarterly every March, June, September and December with the balance payable upon the maturity date. During fiscal 2011 and fiscal 2012, the Company made additional principal payments of $17.5 million and $42.0 million, respectively. The loan bore interest at a fluctuating rate for each period equal to the LIBOR rate corresponding with the tenor of the interest period plus a spread of 1.25%. The terms of this facility included limitations on subsidiary indebtedness and on liens against the assets of the Company and its subsidiaries, and also included financial covenants that required the Company to maintain a minimum interest coverage ratio and not exceed a maximum leverage ratio.</w:t>
      </w:r>
    </w:p>
    <w:p>
      <w:pPr>
        <w:spacing w:after="0" w:line="135"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On April 4, 2011, the Company issued $375.0 million aggregate principal amount of 3.0% senior unsecured notes due April 15, 2016 (the 2016 Notes) with semi-annual fixed interest payments due on April 15 and October 15 of each year, commencing October 15, 2011. The sale of the 2016 Notes was made pursuant to the terms of an underwriting agreement, dated March 30, 2011, between the Company and Credit Suisse Securities (USA) LLC and Merrill Lynch, Pierce, Fenner and Smith Incorporated, as representative of the several underwriters named therein. The net proceeds of the offering were $370.5 million, after issuing at a discount and deducting expenses, underwriting discounts and commissions, which will be amortized over the term of the 2016 Notes. The indenture governing the 2016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May 3, 2014, the Company was compliant with these covenants. The 2016 Notes are subordinated to any future secured debt and to the other liabilities of the Company’s subsidiaries.</w:t>
      </w:r>
    </w:p>
    <w:p>
      <w:pPr>
        <w:spacing w:after="0" w:line="135" w:lineRule="exact"/>
        <w:rPr>
          <w:sz w:val="20"/>
          <w:szCs w:val="20"/>
          <w:color w:val="auto"/>
        </w:rPr>
      </w:pPr>
    </w:p>
    <w:p>
      <w:pPr>
        <w:ind w:right="120" w:firstLine="432"/>
        <w:spacing w:after="0" w:line="253" w:lineRule="auto"/>
        <w:rPr>
          <w:sz w:val="20"/>
          <w:szCs w:val="20"/>
          <w:color w:val="auto"/>
        </w:rPr>
      </w:pPr>
      <w:r>
        <w:rPr>
          <w:rFonts w:ascii="Times New Roman" w:cs="Times New Roman" w:eastAsia="Times New Roman" w:hAnsi="Times New Roman"/>
          <w:sz w:val="18"/>
          <w:szCs w:val="18"/>
          <w:color w:val="auto"/>
        </w:rPr>
        <w:t>On June 3, 2013, the Company issued $500.0 million aggregate principal amount of 2.875% senior unsecured notes due June 1, 2023 (the 2023 Notes) with semi-annual fixed interest payments due on June 1 and December 1 of each year, commencing December 1, 2013. Prior to issuing the 2023 Notes, on April 24, 2013, the Company entered into a treasury rate lock agreement with Bank of America. This agreement allowed the Company to lock a 10-year US Treasury rate of 1.7845% through June 14, 2013 for its anticipated issuance of the 2023 Notes. Upon issuing the 2023 Notes, the Company simultaneously terminated the treasury rate lock agreement resulting in a gain of approximately $11.0 million. This gain will be amortized into interest expense over the 10-year term of the 2023 Notes. The sale of the 2023 Notes was made pursuant to the terms of an underwriting agreement, dated as of May 22, 2013, among the Company and J.P. Morgan Securities LLC, Merrill Lynch, Pierce, Fenner &amp; Smith Incorporated and Credit Suisse Securities (USA) LLC, as the representatives of the several underwriters named therein. The net proceeds of the offering were $493.9 million, after discount and issuance costs. Debt discount and issuance costs will be amortized through interest expense over the term of the 2023 Notes. The indenture governing the 2023 Notes contains covenants that may limit the Company's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its assets to, any other party. As of May 3, 2014, the Company was compliant with these covenants. The notes are subordinated to any future secured debt and to the other liabilities of the Company's subsidiaries.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principal payments related to its debt obligations are due as follows: $375.0 million in fiscal 2016 and $500.0 million in fiscal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Inventories</w:t>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Inventories at May 3, 2014 and November 2, 2013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80" w:type="dxa"/>
            <w:vAlign w:val="bottom"/>
          </w:tcPr>
          <w:p>
            <w:pPr>
              <w:spacing w:after="0"/>
              <w:rPr>
                <w:sz w:val="16"/>
                <w:szCs w:val="16"/>
                <w:color w:val="auto"/>
              </w:rPr>
            </w:pPr>
          </w:p>
        </w:tc>
        <w:tc>
          <w:tcPr>
            <w:tcW w:w="142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November 2, 2013</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19,838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19,641</w:t>
            </w:r>
          </w:p>
        </w:tc>
      </w:tr>
      <w:tr>
        <w:trPr>
          <w:trHeight w:val="243"/>
        </w:trPr>
        <w:tc>
          <w:tcPr>
            <w:tcW w:w="8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26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187,225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175,155</w:t>
            </w:r>
          </w:p>
        </w:tc>
      </w:tr>
      <w:tr>
        <w:trPr>
          <w:trHeight w:val="27"/>
        </w:trPr>
        <w:tc>
          <w:tcPr>
            <w:tcW w:w="8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91,369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88,541</w:t>
            </w:r>
          </w:p>
        </w:tc>
      </w:tr>
      <w:tr>
        <w:trPr>
          <w:trHeight w:val="257"/>
        </w:trPr>
        <w:tc>
          <w:tcPr>
            <w:tcW w:w="8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inventories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298,432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283,337</w:t>
            </w:r>
          </w:p>
        </w:tc>
      </w:tr>
      <w:tr>
        <w:trPr>
          <w:trHeight w:val="20"/>
        </w:trPr>
        <w:tc>
          <w:tcPr>
            <w:tcW w:w="8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Acquisitions</w:t>
      </w:r>
    </w:p>
    <w:p>
      <w:pPr>
        <w:spacing w:after="0" w:line="94"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On March 30, 2012, the Company acquired privately-held Multigig, Inc. (Multigig) of San Jose, California. The acquisition of Multigig is expected to enhance the Company’s clocking capabilities in stand-alone and embedded applications and strengthen the Company’s high speed signal processing solutions. The acquisition-date fair value of the consideration transferred totaled $26.8 million, which consisted of $24.2 million in initial cash payments at closing and an additional $2.6 million subject to an indemnification holdback that was payable within 15 months of the transaction date. During the third</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742" w:right="239" w:bottom="1440" w:gutter="0" w:footer="0" w:header="0"/>
        </w:sectPr>
      </w:pPr>
    </w:p>
    <w:bookmarkStart w:id="24" w:name="page25"/>
    <w:bookmarkEnd w:id="24"/>
    <w:p>
      <w:pPr>
        <w:ind w:right="20"/>
        <w:spacing w:after="0" w:line="253" w:lineRule="auto"/>
        <w:rPr>
          <w:sz w:val="20"/>
          <w:szCs w:val="20"/>
          <w:color w:val="auto"/>
        </w:rPr>
      </w:pPr>
      <w:r>
        <w:rPr>
          <w:rFonts w:ascii="Times New Roman" w:cs="Times New Roman" w:eastAsia="Times New Roman" w:hAnsi="Times New Roman"/>
          <w:sz w:val="18"/>
          <w:szCs w:val="18"/>
          <w:color w:val="auto"/>
        </w:rPr>
        <w:t>quarter of fiscal 2012, the Company reduced this holdback amount by $0.1 million as a result of indemnification claims. During the third quarter of fiscal 2013, the Company paid the remaining $2.5 million due under the holdback. The Company’s assessment of fair value of the tangible and intangible assets acquired and liabilities assumed was based on their estimated fair values at the date of acquisition, resulting in the recognition of $15.6 million of IPR&amp;D, $1.1 million of developed technology, $7.0 million of goodwill and $3.1 million of net deferred tax assets. The goodwill recognized is attributable to future technologies that have yet to be determined as well as the assembled workforce of Multigig. Future technologies do not meet the criteria for recognition separately from goodwill because they are a part of future development and growth of the business. None of the goodwill is expected to be deductible for tax purposes. During the fourth quarter of fiscal 2012, the Company finalized its purchase accounting for Multigig, which resulted in adjustments of $0.4 million to deferred taxes and goodwill. In addition, the Company will be obligated to pay royalties to the Multigig employees on revenue recognized from the sale of certain Multigig products through the earlier of 5 years or the aggregate maximum payment of $1.0 million. Royalty payments to Multigig employees require post-acquisition services to be rendered and, as such, the Company will record these amounts as compensation expense in the related periods. As of May 3, 2014, no royalty payments have been made. The Company recognized $0.5 million of acquisition-related costs that were expensed in fiscal 2012, which were included in operating expenses in the Company's condensed consolidated statement of income.</w:t>
      </w:r>
    </w:p>
    <w:p>
      <w:pPr>
        <w:spacing w:after="0" w:line="137"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8"/>
          <w:szCs w:val="18"/>
          <w:color w:val="auto"/>
        </w:rPr>
        <w:t>On June 9, 2011, the Company acquired privately-held Lyric Semiconductor, Inc. (Lyric) of Cambridge, Massachusetts. The acquisition of Lyric gives the Company the potential to achieve significant improvement in power efficiency in mixed signal processing. The acquisition-date fair value of the consideration transferred totaled $27.8 million, which consisted of $14.0 million in initial cash payments at closing and contingent consideration of up to $13.8 million. The contingent consideration arrangement requires additional cash payments to the former equity holders of Lyric upon the achievement of certain technological and product development milestones payable during the period from June 2011 through June 2016. The Company estimated the fair value of the contingent consideration arrangement utilizing the income approach. Changes in the fair value of the contingent consideration subsequent to the acquisition date primarily driven by assumptions pertaining to the achievement of the defined milestones will be recognized in operating income in the period of the estimated fair value change. As of May 3, 2014, the Company had paid $10.0 million in contingent consideration. These payments are reflected in the Company's condensed consolidated statements of cash flows as cash used in financing activities related to the liability recognized at fair value as of the acquisition date and cash provided by operating activities related to the fair value adjustments previously recognized in earnings. The Company’s assessment of fair value of the tangible and intangible assets acquired and liabilities assumed was based on their estimated fair values at the date of acquisition, resulting in the recognition of $12.2 million of IPR&amp;D, $18.9 million of goodwill and $3.3 million of net deferred tax liabilities. The goodwill recognized is attributable to future technologies that have yet to be determined as well as the assembled workforce of Lyric. Future technologies do not meet the criteria for recognition separately from goodwill because they are a part of future development and growth of the business. None of the goodwill is expected to be deductible for tax purposes. The fair value of the remaining contingent consideration was approximately $4.8 million as of May 3, 2014, of which $4.0 million is included in accrued liabilities and $0.8 million is included in other non-current liabilities in the Company's condensed consolidated balance sheet. In addition, the Company will be obligated to pay royalties to the former equity holders of Lyric on revenue recognized from the sale of Lyric products and licenses through the earlier of 20 years, or the accrual of a maximum of $25.0 million. Royalty payments to Lyric employees require post-acquisition services to be rendered and, as such, the Company will record these amounts as compensation expense in the related periods. As of May 3, 2014, no royalty payments have been made. The Company recognized $0.2 million of acquisition-related costs that were expensed in fiscal 2011, which were included in operating expenses in the Company's condensed consolidated statement of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94"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The Company has provided for potential tax liabilities due in the various jurisdictions in which the Company operates. Judgment is required in determining the worldwide income tax expense provision. In the ordinary course of global business, there are many transactions and calculations where the ultimate tax outcome is uncertain. Some of these uncertainties arise as a consequence of cost reimbursement arrangements among related entities. Although the Company believes its estimates are reasonable, no assurance can be given that the final tax outcome of these matters will not be different from that which is reflected in the historical income tax provisions and accruals. Such differences could have a material impact on the Company’s income tax provision and operating results in the period in which such determination is made.</w:t>
      </w:r>
    </w:p>
    <w:p>
      <w:pPr>
        <w:spacing w:after="0" w:line="93"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Company’s effective tax rate reflects the applicable tax rate in effect in the various tax jurisdictions around the world where our income is earned. The Company's effective tax rate for all periods presented is lower than the U.S. federal statutory rate of 35%, primarily due to lower statutory tax rates applicable to the Company's operations in jurisdictions in which the Company earns income.</w:t>
      </w:r>
    </w:p>
    <w:p>
      <w:pPr>
        <w:spacing w:after="0" w:line="8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filed a petition with the U.S. Tax Court for one open matter for fiscal years 2006 and 2007. The matter that pertains to Section 965 of the Internal Revenue Code related to the beneficial tax treatment of dividends paid from foreign</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40" w:top="661" w:right="279" w:bottom="1440" w:gutter="0" w:footer="0" w:header="0"/>
        </w:sectPr>
      </w:pPr>
    </w:p>
    <w:bookmarkStart w:id="25" w:name="page26"/>
    <w:bookmarkEnd w:id="25"/>
    <w:p>
      <w:pPr>
        <w:ind w:right="60"/>
        <w:spacing w:after="0" w:line="256" w:lineRule="auto"/>
        <w:rPr>
          <w:sz w:val="20"/>
          <w:szCs w:val="20"/>
          <w:color w:val="auto"/>
        </w:rPr>
      </w:pPr>
      <w:r>
        <w:rPr>
          <w:rFonts w:ascii="Times New Roman" w:cs="Times New Roman" w:eastAsia="Times New Roman" w:hAnsi="Times New Roman"/>
          <w:sz w:val="18"/>
          <w:szCs w:val="18"/>
          <w:color w:val="auto"/>
        </w:rPr>
        <w:t>owned companies under The American Jobs Creation Act. The potential liability for this adjustment is $36.5 million. On September 18, 2013, in a matter not involving the Company, the U.S. Tax Court held that accounts receivable created under Rev. Proc. 99-32 may constitute indebtedness for purposes of Section 965 (b)(3) of the Internal Revenue Code and that the IRS was not precluded from reducing the beneficial dividend received deduction because of the increase in related-party indebtedness (BMC Software Inc. v Commissioner, 141 T.C. No. 5 2013). After analyzing the Tax Court’s decision, the Company has determined that its tax position with respect to Section 965(b)(3) of the Internal Revenue Code no longer meets the more likely than not standard of recognition for accounting purposes. Accordingly, the Company recorded a $36.5 million reserve for this matter in the fourth quarter of fiscal 2013.</w:t>
      </w:r>
    </w:p>
    <w:p>
      <w:pPr>
        <w:spacing w:after="0" w:line="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 of the Company's U.S. federal tax returns for years prior to fiscal year 2010 are subject to examination.</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 of the Company's Ireland tax returns for years prior to fiscal year 2009 are subject to examination.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Tax Benefits</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changes in the total amounts of unrealized tax benefits for the six months ended May 3, 2014.</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Unrealized Tax Benefits</w:t>
            </w:r>
          </w:p>
        </w:tc>
        <w:tc>
          <w:tcPr>
            <w:tcW w:w="0" w:type="dxa"/>
            <w:vAlign w:val="bottom"/>
          </w:tcPr>
          <w:p>
            <w:pPr>
              <w:spacing w:after="0"/>
              <w:rPr>
                <w:sz w:val="1"/>
                <w:szCs w:val="1"/>
                <w:color w:val="auto"/>
              </w:rPr>
            </w:pPr>
          </w:p>
        </w:tc>
      </w:tr>
      <w:tr>
        <w:trPr>
          <w:trHeight w:val="243"/>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November 2, 2013</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68,139</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Additions for tax positions related to current year</w:t>
            </w:r>
          </w:p>
        </w:tc>
        <w:tc>
          <w:tcPr>
            <w:tcW w:w="26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324"/>
        </w:trPr>
        <w:tc>
          <w:tcPr>
            <w:tcW w:w="9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Reductions for tax positions related to prior years</w:t>
            </w:r>
          </w:p>
        </w:tc>
        <w:tc>
          <w:tcPr>
            <w:tcW w:w="260" w:type="dxa"/>
            <w:vAlign w:val="bottom"/>
          </w:tcPr>
          <w:p>
            <w:pPr>
              <w:spacing w:after="0"/>
              <w:rPr>
                <w:sz w:val="24"/>
                <w:szCs w:val="24"/>
                <w:color w:val="auto"/>
              </w:rPr>
            </w:pPr>
          </w:p>
        </w:tc>
        <w:tc>
          <w:tcPr>
            <w:tcW w:w="2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81"/>
        </w:trPr>
        <w:tc>
          <w:tcPr>
            <w:tcW w:w="9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9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May 3, 2014</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68,854</w:t>
            </w: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New Accounting Pronouncements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Implemented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Comprehensive Income</w:t>
      </w:r>
    </w:p>
    <w:p>
      <w:pPr>
        <w:spacing w:after="0" w:line="90" w:lineRule="exact"/>
        <w:rPr>
          <w:sz w:val="20"/>
          <w:szCs w:val="20"/>
          <w:color w:val="auto"/>
        </w:rPr>
      </w:pPr>
    </w:p>
    <w:p>
      <w:pPr>
        <w:ind w:right="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January 2013, the FASB issued ASU No. 2013-02, </w:t>
      </w:r>
      <w:r>
        <w:rPr>
          <w:rFonts w:ascii="Times New Roman" w:cs="Times New Roman" w:eastAsia="Times New Roman" w:hAnsi="Times New Roman"/>
          <w:sz w:val="18"/>
          <w:szCs w:val="18"/>
          <w:i w:val="1"/>
          <w:iCs w:val="1"/>
          <w:color w:val="auto"/>
        </w:rPr>
        <w:t>Reporting of Amounts Reclassified out of Accumulated Other Comprehensive Income</w:t>
      </w:r>
      <w:r>
        <w:rPr>
          <w:rFonts w:ascii="Times New Roman" w:cs="Times New Roman" w:eastAsia="Times New Roman" w:hAnsi="Times New Roman"/>
          <w:sz w:val="18"/>
          <w:szCs w:val="18"/>
          <w:color w:val="auto"/>
        </w:rPr>
        <w:t xml:space="preserve"> (ASU No. 2013-02), which seek to improve the reporting of reclassifications out of accumulated other comprehensive income by requiring an entity to report the effect of significant reclassifications out of accumulated other comprehensive income on the respective line items in net income if the amount being reclassified is required under U.S. GAAP to be reclassified in its entirety to net income. For other amounts that are not required under U.S. GAAP to be reclassified in their entirety to net income in the same reporting period, an entity is required to cross-reference other disclosures required under U.S. GAAP that provide additional detail about those amounts. The amendments in ASU No. 2013-02 supersede the presentation requirements for reclassifications out of accumulated other comprehensive income in ASU No. 2011-05, </w:t>
      </w:r>
      <w:r>
        <w:rPr>
          <w:rFonts w:ascii="Times New Roman" w:cs="Times New Roman" w:eastAsia="Times New Roman" w:hAnsi="Times New Roman"/>
          <w:sz w:val="18"/>
          <w:szCs w:val="18"/>
          <w:i w:val="1"/>
          <w:iCs w:val="1"/>
          <w:color w:val="auto"/>
        </w:rPr>
        <w:t>Presentation of Comprehensive Income</w:t>
      </w:r>
      <w:r>
        <w:rPr>
          <w:rFonts w:ascii="Times New Roman" w:cs="Times New Roman" w:eastAsia="Times New Roman" w:hAnsi="Times New Roman"/>
          <w:sz w:val="18"/>
          <w:szCs w:val="18"/>
          <w:color w:val="auto"/>
        </w:rPr>
        <w:t xml:space="preserve">, and ASU No. 2011-12, </w:t>
      </w:r>
      <w:r>
        <w:rPr>
          <w:rFonts w:ascii="Times New Roman" w:cs="Times New Roman" w:eastAsia="Times New Roman" w:hAnsi="Times New Roman"/>
          <w:sz w:val="18"/>
          <w:szCs w:val="18"/>
          <w:i w:val="1"/>
          <w:iCs w:val="1"/>
          <w:color w:val="auto"/>
        </w:rPr>
        <w:t>Deferral of the Effective Date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Amendments to the Presentation of Reclassifications of Items Out of Accumulated Other Comprehensive Income in Accounting Standards Update No. 2011-05</w:t>
      </w:r>
      <w:r>
        <w:rPr>
          <w:rFonts w:ascii="Times New Roman" w:cs="Times New Roman" w:eastAsia="Times New Roman" w:hAnsi="Times New Roman"/>
          <w:sz w:val="18"/>
          <w:szCs w:val="18"/>
          <w:color w:val="auto"/>
        </w:rPr>
        <w:t>. The adoption of ASU No. 2013-02 in the first quarter of fiscal 2014 required additional disclosures related to comprehensive income but did not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Company's financial condition or results of operations.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Balance Sheet</w:t>
      </w:r>
    </w:p>
    <w:p>
      <w:pPr>
        <w:spacing w:after="0" w:line="90"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December 2011, the FASB issued ASU No. 2011-11, </w:t>
      </w:r>
      <w:r>
        <w:rPr>
          <w:rFonts w:ascii="Times New Roman" w:cs="Times New Roman" w:eastAsia="Times New Roman" w:hAnsi="Times New Roman"/>
          <w:sz w:val="18"/>
          <w:szCs w:val="18"/>
          <w:i w:val="1"/>
          <w:iCs w:val="1"/>
          <w:color w:val="auto"/>
        </w:rPr>
        <w:t>Disclosures about Offsetting Assets and Liabilities</w:t>
      </w:r>
      <w:r>
        <w:rPr>
          <w:rFonts w:ascii="Times New Roman" w:cs="Times New Roman" w:eastAsia="Times New Roman" w:hAnsi="Times New Roman"/>
          <w:sz w:val="18"/>
          <w:szCs w:val="18"/>
          <w:color w:val="auto"/>
        </w:rPr>
        <w:t xml:space="preserve"> (ASU No. 2011-11). ASU No. 2011-11 amended ASC 210, </w:t>
      </w:r>
      <w:r>
        <w:rPr>
          <w:rFonts w:ascii="Times New Roman" w:cs="Times New Roman" w:eastAsia="Times New Roman" w:hAnsi="Times New Roman"/>
          <w:sz w:val="18"/>
          <w:szCs w:val="18"/>
          <w:i w:val="1"/>
          <w:iCs w:val="1"/>
          <w:color w:val="auto"/>
        </w:rPr>
        <w:t>Balance Sheet,</w:t>
      </w:r>
      <w:r>
        <w:rPr>
          <w:rFonts w:ascii="Times New Roman" w:cs="Times New Roman" w:eastAsia="Times New Roman" w:hAnsi="Times New Roman"/>
          <w:sz w:val="18"/>
          <w:szCs w:val="18"/>
          <w:color w:val="auto"/>
        </w:rPr>
        <w:t xml:space="preserve"> to converge the presentation of offsetting assets and liabilities between U.S. GAAP and IFRS. ASU No. 2011-11 requires that entities disclose both gross information and net information about both instruments and transactions eligible for offset in the statement of financial position and instruments and transactions subject to an agreement similar to a master netting arrangement. The Company adopted ASU No. 2011-11 in the first quarter of fiscal year 2014. Subsequently, in January 2013, the FASB issued ASU No. 2013-01, </w:t>
      </w:r>
      <w:r>
        <w:rPr>
          <w:rFonts w:ascii="Times New Roman" w:cs="Times New Roman" w:eastAsia="Times New Roman" w:hAnsi="Times New Roman"/>
          <w:sz w:val="18"/>
          <w:szCs w:val="18"/>
          <w:i w:val="1"/>
          <w:iCs w:val="1"/>
          <w:color w:val="auto"/>
        </w:rPr>
        <w:t>Clarifying the Scope of Disclosures about offsetting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 and Liabilities</w:t>
      </w:r>
      <w:r>
        <w:rPr>
          <w:rFonts w:ascii="Times New Roman" w:cs="Times New Roman" w:eastAsia="Times New Roman" w:hAnsi="Times New Roman"/>
          <w:sz w:val="18"/>
          <w:szCs w:val="18"/>
          <w:color w:val="auto"/>
        </w:rPr>
        <w:t>, which clarifies that the scope of ASU No. 2011-11 applies to derivatives accounted for in accordance with Topic 815, Derivatives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Hedging, including bifurcated embedded derivatives, repurchase agreements and reverse repurchase agreements, and securities borrowing and securities lending transactions that are either offset in accordance with Section 210-20-45 or Section 815-10-45 or subject to an enforceable master netting arrangement or similar agreement. The adoption of ASU No. 2011-11 and ASU No. 2013-01 in the first quarter of fiscal 2014 required additional disclosures related to offsetting assets and liabilities but did not impact the Company's financial condition or results of operations.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702"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Standards to be Implemented</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Discontinued Operations</w:t>
      </w:r>
    </w:p>
    <w:p>
      <w:pPr>
        <w:spacing w:after="0" w:line="90"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 xml:space="preserve">In April 2014, the FASB issued ASU No. 2014-08 (ASU 2014-08), </w:t>
      </w:r>
      <w:r>
        <w:rPr>
          <w:rFonts w:ascii="Times New Roman" w:cs="Times New Roman" w:eastAsia="Times New Roman" w:hAnsi="Times New Roman"/>
          <w:sz w:val="18"/>
          <w:szCs w:val="18"/>
          <w:i w:val="1"/>
          <w:iCs w:val="1"/>
          <w:color w:val="auto"/>
        </w:rPr>
        <w:t>Presentation of Financial Statements (Topic 205) and 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 (Topic 360): Reporting Discontinued Operations and Disclosures of Disposals of Components of an Entity</w:t>
      </w:r>
      <w:r>
        <w:rPr>
          <w:rFonts w:ascii="Times New Roman" w:cs="Times New Roman" w:eastAsia="Times New Roman" w:hAnsi="Times New Roman"/>
          <w:sz w:val="18"/>
          <w:szCs w:val="18"/>
          <w:color w:val="auto"/>
        </w:rPr>
        <w:t>, which raises the threshold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disposals to qualify as discontinued operations. Under the new guidance, a disposal representing a strategic shift that has (or will have) a major effect on an entity’s financial results or a business activity classified as held for sale, should be reported as discontinued operations. ASU 2014-08 also expands the disclosure requirements for discontinued operations and adds new disclosures for individually significant dispositions that do not qualify as discontinued operations. ASU 2014-08 is effective prospectively for fiscal years, and interim reporting periods within those years, beginning after December 15, 2014, which is the Company's first quarter of fiscal year 2016. Early adoption is permitted, but only for disposals (or classifications as held for sale) that have not been reported in the financial statements previously issued or available for issuance. The adoption of ASU 2014-08 in the first quarter of fiscal 2016 is not expected to have a material impact on the Company's financial condition or results of operations.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0" w:lineRule="exact"/>
        <w:rPr>
          <w:sz w:val="20"/>
          <w:szCs w:val="20"/>
          <w:color w:val="auto"/>
        </w:rPr>
      </w:pPr>
    </w:p>
    <w:p>
      <w:pPr>
        <w:ind w:right="140" w:firstLine="432"/>
        <w:spacing w:after="0" w:line="257" w:lineRule="auto"/>
        <w:rPr>
          <w:sz w:val="20"/>
          <w:szCs w:val="20"/>
          <w:color w:val="auto"/>
        </w:rPr>
      </w:pPr>
      <w:r>
        <w:rPr>
          <w:rFonts w:ascii="Times New Roman" w:cs="Times New Roman" w:eastAsia="Times New Roman" w:hAnsi="Times New Roman"/>
          <w:sz w:val="18"/>
          <w:szCs w:val="18"/>
          <w:color w:val="auto"/>
        </w:rPr>
        <w:t xml:space="preserve">In July 2013, the FASB issued ASU No. 2013-11, </w:t>
      </w:r>
      <w:r>
        <w:rPr>
          <w:rFonts w:ascii="Times New Roman" w:cs="Times New Roman" w:eastAsia="Times New Roman" w:hAnsi="Times New Roman"/>
          <w:sz w:val="18"/>
          <w:szCs w:val="18"/>
          <w:i w:val="1"/>
          <w:iCs w:val="1"/>
          <w:color w:val="auto"/>
        </w:rPr>
        <w:t>Presentation of an Unrecognized Tax Benefit When a Net Operating Loss Carryforward, a Similar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 Loss, or a Tax Credit Carryforward Exists </w:t>
      </w:r>
      <w:r>
        <w:rPr>
          <w:rFonts w:ascii="Times New Roman" w:cs="Times New Roman" w:eastAsia="Times New Roman" w:hAnsi="Times New Roman"/>
          <w:sz w:val="18"/>
          <w:szCs w:val="18"/>
          <w:color w:val="auto"/>
        </w:rPr>
        <w:t>(ASU No. 2013-11). ASU No. 2013-11 requires that an unrecognized tax benefit, or a portion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unrecognized tax benefit, should be presented as a reduction to a deferred tax asset for a net operating loss carryforward, a similar tax loss or a tax credit carryforward, with certain exceptions. ASU No. 2013-11 is effective for fiscal years, and interim periods within those years, beginning after December 15, 2013, which is the Company's first quarter of fiscal year 2015. Early adoption is permitted. The adoption of ASU No. 2013-11 in the first quarter of fiscal 2015 will affect the presentation of the Company's unrecognized tax benefits but will not impact the Company's financial condition or results of operations.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On May 19, 2014, the Board of Directors of the Company declared a cash dividend of $0.37 per outstanding share of common stock. The dividend will be paid on June 10, 2014 to all shareholders of record at the close of business on May 30, 2014.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340"/>
          </w:cols>
          <w:pgMar w:left="240" w:top="659" w:right="319" w:bottom="1440" w:gutter="0" w:footer="0" w:header="0"/>
        </w:sectPr>
      </w:pPr>
    </w:p>
    <w:bookmarkStart w:id="27" w:name="page28"/>
    <w:bookmarkEnd w:id="27"/>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2"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November 2, 2013.</w:t>
      </w:r>
    </w:p>
    <w:p>
      <w:pPr>
        <w:spacing w:after="0" w:line="122" w:lineRule="exact"/>
        <w:rPr>
          <w:sz w:val="20"/>
          <w:szCs w:val="20"/>
          <w:color w:val="auto"/>
        </w:rPr>
      </w:pPr>
    </w:p>
    <w:p>
      <w:pPr>
        <w:ind w:right="180" w:firstLine="432"/>
        <w:spacing w:after="0" w:line="25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including in particular the section entitled “Outlook,”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All statements other than statements of historical fact are statements that could be deemed forward-looking statements.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“could” and “will,” and variations of such words and similar expressions are intended to identify such forward-looking statements. In addition, any statements that refer to projections regarding our future financial performance; our anticipated growth and trends in our businesses; our future capital needs and capital expenditures; our future market position and expected competitive changes in the marketplace for our products; our ability to pay dividends or repurchase stock; our ability to service our outstanding debt; our expected tax rate; the effect of new accounting pronouncements; and other characterizations of future events or circumstances are forward-looking statements. Readers are cautioned that these forward-looking statements are only predictions and are inherently subject to risks, uncertainties, and assumptions that are difficult to predict, including those identified in Part II, Item 1A. “Risk Factors” and elsewhere herein. Therefore, actual results may differ materially and adversely from those expressed in any forward-looking statements. We undertake no obligation to revise or update any forward-looking statements, including to reflect events or circumstances occurring after the date of the filing of this report, except to the extent required by law.</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tabular amounts in thousands except per share amounts and percentages)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tcBorders>
              <w:bottom w:val="single" w:sz="8" w:color="auto"/>
            </w:tcBorders>
          </w:tcPr>
          <w:p>
            <w:pPr>
              <w:spacing w:after="0"/>
              <w:rPr>
                <w:sz w:val="16"/>
                <w:szCs w:val="16"/>
                <w:color w:val="auto"/>
              </w:rPr>
            </w:pPr>
          </w:p>
        </w:tc>
      </w:tr>
      <w:tr>
        <w:trPr>
          <w:trHeight w:val="264"/>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694,536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659,250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187,433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164,472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0.52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454"/>
        </w:trPr>
        <w:tc>
          <w:tcPr>
            <w:tcW w:w="50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540" w:type="dxa"/>
            <w:vAlign w:val="bottom"/>
            <w:tcBorders>
              <w:bottom w:val="single" w:sz="8" w:color="auto"/>
            </w:tcBorders>
          </w:tcPr>
          <w:p>
            <w:pPr>
              <w:spacing w:after="0"/>
              <w:rPr>
                <w:sz w:val="24"/>
                <w:szCs w:val="24"/>
                <w:color w:val="auto"/>
              </w:rPr>
            </w:pPr>
          </w:p>
        </w:tc>
      </w:tr>
      <w:tr>
        <w:trPr>
          <w:trHeight w:val="262"/>
        </w:trPr>
        <w:tc>
          <w:tcPr>
            <w:tcW w:w="50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60" w:type="dxa"/>
            <w:vAlign w:val="bottom"/>
          </w:tcPr>
          <w:p>
            <w:pPr>
              <w:spacing w:after="0"/>
              <w:rPr>
                <w:sz w:val="22"/>
                <w:szCs w:val="22"/>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8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1,322,774</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rPr>
              <w:t>1,281,384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41,390</w:t>
            </w:r>
          </w:p>
        </w:tc>
        <w:tc>
          <w:tcPr>
            <w:tcW w:w="100" w:type="dxa"/>
            <w:vAlign w:val="bottom"/>
          </w:tcPr>
          <w:p>
            <w:pPr>
              <w:spacing w:after="0"/>
              <w:rPr>
                <w:sz w:val="21"/>
                <w:szCs w:val="21"/>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340,019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295,694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44,325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as a % of revenue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5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7" w:lineRule="exact"/>
        <w:rPr>
          <w:sz w:val="20"/>
          <w:szCs w:val="20"/>
          <w:color w:val="auto"/>
        </w:rPr>
      </w:pPr>
    </w:p>
    <w:p>
      <w:pPr>
        <w:ind w:right="320"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year-to-year revenue changes by end market and product type are more fully outlined below under </w:t>
      </w:r>
      <w:r>
        <w:rPr>
          <w:rFonts w:ascii="Times New Roman" w:cs="Times New Roman" w:eastAsia="Times New Roman" w:hAnsi="Times New Roman"/>
          <w:sz w:val="18"/>
          <w:szCs w:val="18"/>
          <w:i w:val="1"/>
          <w:iCs w:val="1"/>
          <w:color w:val="auto"/>
        </w:rPr>
        <w:t>Revenue Trends by End Market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Trends by Product Type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End Market</w:t>
      </w:r>
    </w:p>
    <w:p>
      <w:pPr>
        <w:spacing w:after="0" w:line="92"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summarizes revenue by end market. 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738" w:right="239" w:bottom="1440" w:gutter="0" w:footer="0" w:header="0"/>
        </w:sectPr>
      </w:pPr>
    </w:p>
    <w:bookmarkStart w:id="28" w:name="page29"/>
    <w:bookmarkEnd w:id="28"/>
    <w:p>
      <w:pPr>
        <w:ind w:right="260"/>
        <w:spacing w:after="0" w:line="282" w:lineRule="auto"/>
        <w:rPr>
          <w:sz w:val="20"/>
          <w:szCs w:val="20"/>
          <w:color w:val="auto"/>
        </w:rPr>
      </w:pPr>
      <w:r>
        <w:rPr>
          <w:rFonts w:ascii="Times New Roman" w:cs="Times New Roman" w:eastAsia="Times New Roman" w:hAnsi="Times New Roman"/>
          <w:sz w:val="18"/>
          <w:szCs w:val="18"/>
          <w:color w:val="auto"/>
        </w:rPr>
        <w:t>this occurs, we reclassify revenue by end market for prior periods. Such reclassifications typically do not materially change the sizing of, or the underlying trends of results within, each end market.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94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4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326,530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311,128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135,488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122,715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77,705</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101,233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154,813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124,174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57"/>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694,536</w:t>
            </w:r>
          </w:p>
        </w:tc>
        <w:tc>
          <w:tcPr>
            <w:tcW w:w="120" w:type="dxa"/>
            <w:vAlign w:val="bottom"/>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659,250</w:t>
            </w:r>
          </w:p>
        </w:tc>
        <w:tc>
          <w:tcPr>
            <w:tcW w:w="12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5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9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380" w:type="dxa"/>
            <w:vAlign w:val="bottom"/>
            <w:vMerge w:val="restart"/>
          </w:tcPr>
          <w:p>
            <w:pPr>
              <w:spacing w:after="0"/>
              <w:rPr>
                <w:sz w:val="12"/>
                <w:szCs w:val="12"/>
                <w:color w:val="auto"/>
              </w:rPr>
            </w:pPr>
          </w:p>
        </w:tc>
        <w:tc>
          <w:tcPr>
            <w:tcW w:w="940" w:type="dxa"/>
            <w:vAlign w:val="bottom"/>
          </w:tcPr>
          <w:p>
            <w:pPr>
              <w:jc w:val="center"/>
              <w:ind w:right="31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tcPr>
          <w:p>
            <w:pPr>
              <w:jc w:val="center"/>
              <w:ind w:right="29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616,520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592,455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Automotive</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259,773</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230,532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Consumer</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152,040</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208,428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Communications</w:t>
            </w: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294,441</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249,969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6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1,322,774</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b w:val="1"/>
                <w:bCs w:val="1"/>
                <w:color w:val="auto"/>
              </w:rPr>
              <w:t>1,281,384</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decrease in revenue in the consumer end market in both the three- and six-month periods ended May 3, 2014 as compared to the same period of the prior fiscal year was primarily the result of the sale of our microphone product line in the fourth quarter of fiscal 2013. Automotive end market revenue increased in both the three- and six-month periods ended May 3, 2014 as compared to the same period of the prior fiscal year primarily as a result of increasing electronic content in vehicles and higher demand for new vehicles. Communications end market revenue increased in the three- and six-month periods ended May 3, 2014 as compared to the same period of the prior fiscal year primarily as a result of increased wireless base station deployment activity in China.</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Product Type</w:t>
      </w:r>
    </w:p>
    <w:p>
      <w:pPr>
        <w:spacing w:after="0" w:line="92"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of, or the underlying trends of results within, each product category.</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1320" w:type="dxa"/>
            <w:vAlign w:val="bottom"/>
          </w:tcPr>
          <w:p>
            <w:pPr>
              <w:jc w:val="right"/>
              <w:ind w:right="43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00" w:type="dxa"/>
            <w:vAlign w:val="bottom"/>
          </w:tcPr>
          <w:p>
            <w:pPr>
              <w:spacing w:after="0"/>
              <w:rPr>
                <w:sz w:val="12"/>
                <w:szCs w:val="12"/>
                <w:color w:val="auto"/>
              </w:rPr>
            </w:pPr>
          </w:p>
        </w:tc>
        <w:tc>
          <w:tcPr>
            <w:tcW w:w="138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Y/Y%</w:t>
            </w:r>
          </w:p>
        </w:tc>
        <w:tc>
          <w:tcPr>
            <w:tcW w:w="10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vMerge w:val="restart"/>
          </w:tcPr>
          <w:p>
            <w:pPr>
              <w:spacing w:after="0"/>
              <w:rPr>
                <w:sz w:val="12"/>
                <w:szCs w:val="12"/>
                <w:color w:val="auto"/>
              </w:rPr>
            </w:pPr>
          </w:p>
        </w:tc>
        <w:tc>
          <w:tcPr>
            <w:tcW w:w="134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44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9"/>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Converters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317,915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295,459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Amplifiers / Radio frequency</w:t>
            </w:r>
          </w:p>
        </w:tc>
        <w:tc>
          <w:tcPr>
            <w:tcW w:w="24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186,287</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170,793</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analog</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88,103</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92,441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Subtotal analog signal processing</w:t>
            </w: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592,305</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558,693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Power management &amp; reference</w:t>
            </w: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43,138</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43,701</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7"/>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analog products</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635,443</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602,394</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0" w:type="dxa"/>
            <w:vAlign w:val="bottom"/>
          </w:tcPr>
          <w:p>
            <w:pPr>
              <w:spacing w:after="0"/>
              <w:rPr>
                <w:sz w:val="1"/>
                <w:szCs w:val="1"/>
                <w:color w:val="auto"/>
              </w:rPr>
            </w:pPr>
          </w:p>
        </w:tc>
      </w:tr>
      <w:tr>
        <w:trPr>
          <w:trHeight w:val="27"/>
        </w:trPr>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Digital signal processing</w:t>
            </w: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59,093</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80" w:type="dxa"/>
            <w:vAlign w:val="bottom"/>
            <w:tcBorders>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56,856</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50"/>
        </w:trPr>
        <w:tc>
          <w:tcPr>
            <w:tcW w:w="44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694,536</w:t>
            </w:r>
          </w:p>
        </w:tc>
        <w:tc>
          <w:tcPr>
            <w:tcW w:w="12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659,250</w:t>
            </w:r>
          </w:p>
        </w:tc>
        <w:tc>
          <w:tcPr>
            <w:tcW w:w="120" w:type="dxa"/>
            <w:vAlign w:val="bottom"/>
          </w:tcPr>
          <w:p>
            <w:pPr>
              <w:spacing w:after="0"/>
              <w:rPr>
                <w:sz w:val="21"/>
                <w:szCs w:val="21"/>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8890</wp:posOffset>
            </wp:positionV>
            <wp:extent cx="16979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8890</wp:posOffset>
            </wp:positionV>
            <wp:extent cx="16897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pacing w:after="0" w:line="16" w:lineRule="exact"/>
        <w:rPr>
          <w:sz w:val="20"/>
          <w:szCs w:val="20"/>
          <w:color w:val="auto"/>
        </w:rPr>
      </w:pPr>
    </w:p>
    <w:p>
      <w:pPr>
        <w:jc w:val="right"/>
        <w:ind w:left="5620" w:right="5580" w:hanging="5612"/>
        <w:spacing w:after="0" w:line="564" w:lineRule="auto"/>
        <w:tabs>
          <w:tab w:leader="none" w:pos="13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individual percentages does not equal the total due to rounding.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5510530</wp:posOffset>
            </wp:positionH>
            <wp:positionV relativeFrom="paragraph">
              <wp:posOffset>-614045</wp:posOffset>
            </wp:positionV>
            <wp:extent cx="16979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97990" cy="8890"/>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-614045</wp:posOffset>
            </wp:positionV>
            <wp:extent cx="16897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9735"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5"/>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0" w:type="dxa"/>
            <w:vAlign w:val="bottom"/>
          </w:tcPr>
          <w:p>
            <w:pPr>
              <w:spacing w:after="0"/>
              <w:rPr>
                <w:sz w:val="1"/>
                <w:szCs w:val="1"/>
                <w:color w:val="auto"/>
              </w:rPr>
            </w:pPr>
          </w:p>
        </w:tc>
      </w:tr>
      <w:tr>
        <w:trPr>
          <w:trHeight w:val="149"/>
        </w:trPr>
        <w:tc>
          <w:tcPr>
            <w:tcW w:w="4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1320" w:type="dxa"/>
            <w:vAlign w:val="bottom"/>
          </w:tcPr>
          <w:p>
            <w:pPr>
              <w:jc w:val="right"/>
              <w:ind w:right="415"/>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120" w:type="dxa"/>
            <w:vAlign w:val="bottom"/>
          </w:tcPr>
          <w:p>
            <w:pPr>
              <w:spacing w:after="0"/>
              <w:rPr>
                <w:sz w:val="12"/>
                <w:szCs w:val="12"/>
                <w:color w:val="auto"/>
              </w:rPr>
            </w:pPr>
          </w:p>
        </w:tc>
        <w:tc>
          <w:tcPr>
            <w:tcW w:w="134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Y/Y%</w:t>
            </w:r>
          </w:p>
        </w:tc>
        <w:tc>
          <w:tcPr>
            <w:tcW w:w="1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vMerge w:val="restart"/>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vMerge w:val="restart"/>
          </w:tcPr>
          <w:p>
            <w:pPr>
              <w:spacing w:after="0"/>
              <w:rPr>
                <w:sz w:val="12"/>
                <w:szCs w:val="12"/>
                <w:color w:val="auto"/>
              </w:rPr>
            </w:pPr>
          </w:p>
        </w:tc>
        <w:tc>
          <w:tcPr>
            <w:tcW w:w="1340" w:type="dxa"/>
            <w:vAlign w:val="bottom"/>
          </w:tcPr>
          <w:p>
            <w:pPr>
              <w:jc w:val="right"/>
              <w:ind w:right="434"/>
              <w:spacing w:after="0" w:line="149"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4"/>
        </w:trPr>
        <w:tc>
          <w:tcPr>
            <w:tcW w:w="4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3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Converters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608,466</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573,399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Amplifiers / Radio frequency</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351,001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328,771</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analog</w:t>
            </w: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167,522</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187,599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Subtotal analog signal processing</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1,126,989</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1,089,769</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management &amp; reference</w:t>
            </w:r>
          </w:p>
        </w:tc>
        <w:tc>
          <w:tcPr>
            <w:tcW w:w="2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81,848</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83,083</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analog products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1,208,837</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1,172,852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0" w:type="dxa"/>
            <w:vAlign w:val="bottom"/>
          </w:tcPr>
          <w:p>
            <w:pPr>
              <w:spacing w:after="0"/>
              <w:rPr>
                <w:sz w:val="1"/>
                <w:szCs w:val="1"/>
                <w:color w:val="auto"/>
              </w:rPr>
            </w:pPr>
          </w:p>
        </w:tc>
      </w:tr>
      <w:tr>
        <w:trPr>
          <w:trHeight w:val="237"/>
        </w:trPr>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Digital signal processing</w:t>
            </w: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113,937</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108,532</w:t>
            </w:r>
          </w:p>
        </w:tc>
        <w:tc>
          <w:tcPr>
            <w:tcW w:w="100" w:type="dxa"/>
            <w:vAlign w:val="bottom"/>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44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1,322,774</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14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1,281,384</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Times New Roman" w:cs="Times New Roman" w:eastAsia="Times New Roman" w:hAnsi="Times New Roman"/>
          <w:sz w:val="18"/>
          <w:szCs w:val="18"/>
          <w:color w:val="auto"/>
        </w:rPr>
        <w:t>* The sum of the individual percentages does not equal the total due to rounding.</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increase in total revenue in both the three- and six-month periods ended May 3, 2014 as compared to the same period of the prior fiscal year was the result of improving demand across most product type categories, which was partially offset by declines in the other analog product category, primarily as a result of the sale of our microphone product line in the fourth quarter of fiscal 2013.</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Trends by Geographic Region</w:t>
      </w:r>
    </w:p>
    <w:p>
      <w:pPr>
        <w:spacing w:after="0" w:line="92"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Revenue by geographic region, based upon the primary location of our customers’ design activity for our products for the three- and six-month periods ended May 3, 2014 and May 4, 2013 were as follows: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1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06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8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9"/>
                <w:szCs w:val="19"/>
                <w:color w:val="auto"/>
              </w:rPr>
            </w:pP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3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206,181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25,431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28,194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232,299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216,071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16,228</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74,591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71,874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109,583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83,970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25,613</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Rest of Asia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59,024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52,960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6,064</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7"/>
        </w:trPr>
        <w:tc>
          <w:tcPr>
            <w:tcW w:w="23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694,536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659,250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35,286</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060" w:type="dxa"/>
            <w:vAlign w:val="bottom"/>
            <w:gridSpan w:val="3"/>
          </w:tcPr>
          <w:p>
            <w:pPr>
              <w:ind w:left="2320"/>
              <w:spacing w:after="0"/>
              <w:rPr>
                <w:sz w:val="20"/>
                <w:szCs w:val="20"/>
                <w:color w:val="auto"/>
              </w:rPr>
            </w:pPr>
            <w:r>
              <w:rPr>
                <w:rFonts w:ascii="Times New Roman" w:cs="Times New Roman" w:eastAsia="Times New Roman" w:hAnsi="Times New Roman"/>
                <w:sz w:val="14"/>
                <w:szCs w:val="14"/>
                <w:b w:val="1"/>
                <w:bCs w:val="1"/>
                <w:color w:val="auto"/>
              </w:rPr>
              <w:t>Region</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40" w:type="dxa"/>
            <w:vAlign w:val="bottom"/>
          </w:tcPr>
          <w:p>
            <w:pPr>
              <w:spacing w:after="0"/>
              <w:rPr>
                <w:sz w:val="19"/>
                <w:szCs w:val="19"/>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80" w:type="dxa"/>
            <w:vAlign w:val="bottom"/>
          </w:tcPr>
          <w:p>
            <w:pPr>
              <w:spacing w:after="0"/>
              <w:rPr>
                <w:sz w:val="19"/>
                <w:szCs w:val="19"/>
                <w:color w:val="auto"/>
              </w:rPr>
            </w:pPr>
          </w:p>
        </w:tc>
        <w:tc>
          <w:tcPr>
            <w:tcW w:w="12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Pr>
          <w:p>
            <w:pPr>
              <w:spacing w:after="0"/>
              <w:rPr>
                <w:sz w:val="19"/>
                <w:szCs w:val="19"/>
                <w:color w:val="auto"/>
              </w:rPr>
            </w:pPr>
          </w:p>
        </w:tc>
        <w:tc>
          <w:tcPr>
            <w:tcW w:w="162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1"/>
        </w:trPr>
        <w:tc>
          <w:tcPr>
            <w:tcW w:w="2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20" w:type="dxa"/>
            <w:vAlign w:val="bottom"/>
            <w:tcBorders>
              <w:top w:val="single" w:sz="8" w:color="auto"/>
              <w:bottom w:val="single" w:sz="8" w:color="auto"/>
            </w:tcBorders>
            <w:vMerge w:val="restart"/>
          </w:tcPr>
          <w:p>
            <w:pPr>
              <w:spacing w:after="0" w:line="20" w:lineRule="exact"/>
              <w:rPr>
                <w:sz w:val="1"/>
                <w:szCs w:val="1"/>
                <w:color w:val="auto"/>
              </w:rPr>
            </w:pPr>
          </w:p>
        </w:tc>
        <w:tc>
          <w:tcPr>
            <w:tcW w:w="23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32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2320" w:type="dxa"/>
            <w:vAlign w:val="bottom"/>
            <w:vMerge w:val="continue"/>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375,906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410,452</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North and South America</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44,867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51,706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432,986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405,369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27,617</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145,682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136,562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9,120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43"/>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24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210,067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168,739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41,328</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Asia</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113,266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108,556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4,710</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57"/>
        </w:trPr>
        <w:tc>
          <w:tcPr>
            <w:tcW w:w="50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1,322,774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1,281,384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41,390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3 %</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In the three- and six-month periods ended May 3, 2014 and May 4, 2013, the predominant country comprising “Rest of North and South America” is Canada; the predominant countries comprising “Europe” are Germany, Sweden, France and the United Kingdom; and the predominant countries comprising “Rest of Asia” are South Korea and Taiwan.</w:t>
      </w:r>
    </w:p>
    <w:p>
      <w:pPr>
        <w:spacing w:after="0" w:line="4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On a regional basis, the sales decline in the three- and six-month periods ended May 3, 2014 as compared to the same period of the prior fiscal year in the Americas was primarily the result of the sale of our microphone product line in the fourth quarter of fiscal 2013. The sales increases in the three- and six-month periods ended May 3, 2014 as compared to the same period of the prior fiscal year in all other regions were the result of an increase in demand in the automotive, communications, and industrial end markets, partially offset by a lower demand for products used in consumer applications.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925" w:right="239" w:bottom="1440" w:gutter="0" w:footer="0" w:header="0"/>
        </w:sectPr>
      </w:pPr>
    </w:p>
    <w:bookmarkStart w:id="30" w:name="page31"/>
    <w:bookmarkEnd w:id="30"/>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80" w:type="dxa"/>
            <w:vAlign w:val="bottom"/>
            <w:tcBorders>
              <w:bottom w:val="single" w:sz="8" w:color="auto"/>
            </w:tcBorders>
          </w:tcPr>
          <w:p>
            <w:pPr>
              <w:spacing w:after="0"/>
              <w:rPr>
                <w:sz w:val="16"/>
                <w:szCs w:val="16"/>
                <w:color w:val="auto"/>
              </w:rPr>
            </w:pPr>
          </w:p>
        </w:tc>
      </w:tr>
      <w:tr>
        <w:trPr>
          <w:trHeight w:val="264"/>
        </w:trPr>
        <w:tc>
          <w:tcPr>
            <w:tcW w:w="1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1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458,743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422,195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36,548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867,861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812,479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55,382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Gross margin %</w:t>
            </w: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r>
    </w:tbl>
    <w:p>
      <w:pPr>
        <w:spacing w:after="0" w:line="252"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Gross margin percentage increased by 210 and 220 basis points in the three and six months ended May 3, 2014, respectively, as compared to the three and six months ended May 4, 2013, respectively, primarily as a result of improved utilization levels in our manufacturing facilities.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(R&amp;D)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80" w:type="dxa"/>
            <w:vAlign w:val="bottom"/>
            <w:tcBorders>
              <w:bottom w:val="single" w:sz="8" w:color="auto"/>
            </w:tcBorders>
          </w:tcPr>
          <w:p>
            <w:pPr>
              <w:spacing w:after="0"/>
              <w:rPr>
                <w:sz w:val="16"/>
                <w:szCs w:val="16"/>
                <w:color w:val="auto"/>
              </w:rPr>
            </w:pPr>
          </w:p>
        </w:tc>
      </w:tr>
      <w:tr>
        <w:trPr>
          <w:trHeight w:val="264"/>
        </w:trPr>
        <w:tc>
          <w:tcPr>
            <w:tcW w:w="13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1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R&amp;D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136,258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128,110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8,148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10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264,904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253,274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11,630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1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R&amp;D expenses as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 % of revenue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71"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R&amp;D expenses increased in the three and six months ended May 3, 2014, as compared to the same periods of fiscal 2013, primarily as a result of increases in variable compensation expense linked to our overall profitability and revenue growth, increases in operational spending for engineering supplies and wafers and, to a lesser extent, the annual merit increases for R&amp;D employees and related benefit expenses.</w:t>
      </w:r>
    </w:p>
    <w:p>
      <w:pPr>
        <w:spacing w:after="0" w:line="122" w:lineRule="exact"/>
        <w:rPr>
          <w:sz w:val="20"/>
          <w:szCs w:val="20"/>
          <w:color w:val="auto"/>
        </w:rPr>
      </w:pPr>
    </w:p>
    <w:p>
      <w:pPr>
        <w:ind w:right="80" w:firstLine="432"/>
        <w:spacing w:after="0" w:line="258" w:lineRule="auto"/>
        <w:rPr>
          <w:sz w:val="20"/>
          <w:szCs w:val="20"/>
          <w:color w:val="auto"/>
        </w:rPr>
      </w:pPr>
      <w:r>
        <w:rPr>
          <w:rFonts w:ascii="Times New Roman" w:cs="Times New Roman" w:eastAsia="Times New Roman" w:hAnsi="Times New Roman"/>
          <w:sz w:val="18"/>
          <w:szCs w:val="18"/>
          <w:color w:val="auto"/>
        </w:rPr>
        <w:t>R&amp;D expenses as a percentage of revenue will fluctuate from year-to-year depending on the amount of revenue and the success of new product development efforts, which we view as critical to our future growth. We have hundreds of R&amp;D projects underway, none of which we believe are material on an individual basis. We expect to continue the development of innovative technologies and processes for new products. We believe that a continued commitment to R&amp;D is essential to maintain product leadership with our existing products as well as to provide innovative new product offerings, and we expect to continue to make significant R&amp;D investments in the future.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Marketing, General and Administrative (SMG&amp;A)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60" w:type="dxa"/>
            <w:vAlign w:val="bottom"/>
            <w:tcBorders>
              <w:bottom w:val="single" w:sz="8" w:color="auto"/>
            </w:tcBorders>
          </w:tcPr>
          <w:p>
            <w:pPr>
              <w:spacing w:after="0"/>
              <w:rPr>
                <w:sz w:val="16"/>
                <w:szCs w:val="16"/>
                <w:color w:val="auto"/>
              </w:rPr>
            </w:pPr>
          </w:p>
        </w:tc>
      </w:tr>
      <w:tr>
        <w:trPr>
          <w:trHeight w:val="264"/>
        </w:trPr>
        <w:tc>
          <w:tcPr>
            <w:tcW w:w="138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1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SMG&amp;A</w:t>
            </w: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41"/>
        </w:trPr>
        <w:tc>
          <w:tcPr>
            <w:tcW w:w="1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expenses</w:t>
            </w:r>
          </w:p>
        </w:tc>
        <w:tc>
          <w:tcPr>
            <w:tcW w:w="116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   102,085</w:t>
            </w: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   102,703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200,263</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   200,263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SMG&amp;A</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as a %</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1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revenue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171"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SMG&amp;A expenses remained flat in the three and six months ended May 3, 2014, as compared to the same periods of fiscal 2013. Decreases in SMG&amp;A salary and benefit expenses were attributable to a reduction of stock-based compensation expense, as the same periods of fiscal 2013 included $6.3 million related to the accelerated vesting of restricted stock units following the death of the Company's then CEO in the second quarter of fiscal 2013, and were offset by increases in operational spending and variable compensation expense linked to our overall profitability and revenue growth.</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Charges – Reduction of Operating Costs</w:t>
      </w:r>
    </w:p>
    <w:p>
      <w:pPr>
        <w:spacing w:after="0" w:line="173"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We monitor global macroeconomic conditions on an ongoing basis, and continue to assess opportunities for improved operational effectiveness and efficiency, as well as a better alignment of expenses with revenues. As a result of these assessments, we have undertaken various restructuring actions over the past several years. These reductions relating to ongoing actions are described below.</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440" w:right="239" w:bottom="1440" w:gutter="0" w:footer="0" w:header="0"/>
        </w:sectPr>
      </w:pPr>
    </w:p>
    <w:bookmarkStart w:id="31" w:name="page32"/>
    <w:bookmarkEnd w:id="31"/>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During fiscal 2012, we recorded special charges of approximately $8.4 million. These special charges included: $8.0 million for severance and fringe benefit costs in accordance with our ongoing benefit plan or statutory requirements at foreign locations for 95 manufacturing, engineering and SMG&amp;A employees; $0.2 million for lease obligation costs for facilities that we ceased using during the third quarter of fiscal 2012; $0.1 million for contract termination costs; and $0.2 million for the write-off of property, plant and equipment. These actions resulted in annual cost savings of approximately $12.0 million. We have terminated the employment of all employees associated with these actions.</w:t>
      </w:r>
    </w:p>
    <w:p>
      <w:pPr>
        <w:spacing w:after="0" w:line="130" w:lineRule="exact"/>
        <w:rPr>
          <w:sz w:val="20"/>
          <w:szCs w:val="20"/>
          <w:color w:val="auto"/>
        </w:rPr>
      </w:pPr>
    </w:p>
    <w:p>
      <w:pPr>
        <w:ind w:right="60" w:firstLine="432"/>
        <w:spacing w:after="0" w:line="277" w:lineRule="auto"/>
        <w:rPr>
          <w:sz w:val="20"/>
          <w:szCs w:val="20"/>
          <w:color w:val="auto"/>
        </w:rPr>
      </w:pPr>
      <w:r>
        <w:rPr>
          <w:rFonts w:ascii="Times New Roman" w:cs="Times New Roman" w:eastAsia="Times New Roman" w:hAnsi="Times New Roman"/>
          <w:sz w:val="17"/>
          <w:szCs w:val="17"/>
          <w:color w:val="auto"/>
        </w:rPr>
        <w:t>During fiscal 2013, we recorded special charges of approximately $29.8 million for severance and fringe benefit costs in accordance with our ongoing benefit plan or statutory requirements at foreign locations for 235 engineering and SMG&amp;A employees. As of May 3, 2014, we employed 19 of the 235 employees included in these cost reduction actions. These employees must continue to be employed by us until their employment is involuntarily terminated in order to receive the severance benefit. We estimate these actions will result in annual cost savings of approximately $32.6 million, once fully implemented. We expect that these annual cost savings will be used to make additional investments in products that we expect will drive revenue growth in the future.</w:t>
      </w:r>
    </w:p>
    <w:p>
      <w:pPr>
        <w:spacing w:after="0" w:line="33"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During the first quarter of fiscal 2014, we recorded a special charge of approximately $2.7 million for severance and fringe benefit costs in accordance with our ongoing benefit plan or statutory requirements at foreign locations for 30 engineering and SMG&amp;A employees. As of May 3, 2014, we employed 4 of the 30 employees included in this cost reduction action. These employees must continue to be employed by us until their employment is involuntarily terminated in order to receive the severance benefit. We estimate this action will result in annual cost savings of approximately $4.5 million, once fully implemented.</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180" w:type="dxa"/>
            <w:vAlign w:val="bottom"/>
            <w:tcBorders>
              <w:bottom w:val="single" w:sz="8" w:color="auto"/>
            </w:tcBorders>
          </w:tcPr>
          <w:p>
            <w:pPr>
              <w:spacing w:after="0"/>
              <w:rPr>
                <w:sz w:val="16"/>
                <w:szCs w:val="16"/>
                <w:color w:val="auto"/>
              </w:rPr>
            </w:pPr>
          </w:p>
        </w:tc>
      </w:tr>
      <w:tr>
        <w:trPr>
          <w:trHeight w:val="264"/>
        </w:trPr>
        <w:tc>
          <w:tcPr>
            <w:tcW w:w="13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15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220,400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191,382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29,018</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  $</w:t>
            </w:r>
          </w:p>
        </w:tc>
        <w:tc>
          <w:tcPr>
            <w:tcW w:w="102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400,009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344,871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55,138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5"/>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income</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15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 a % of revenue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171" w:lineRule="exact"/>
        <w:rPr>
          <w:sz w:val="20"/>
          <w:szCs w:val="20"/>
          <w:color w:val="auto"/>
        </w:rPr>
      </w:pPr>
    </w:p>
    <w:p>
      <w:pPr>
        <w:ind w:right="180"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year-over-year increase in operating income in the three months ended May 3, 2014 was primarily the result of an increase in revenue of $35.3 million and a 210 basis point increase in gross margin percentage partially offset by a $8.1 million increase in R&amp;D expenses as more fully described above under the heading </w:t>
      </w:r>
      <w:r>
        <w:rPr>
          <w:rFonts w:ascii="Times New Roman" w:cs="Times New Roman" w:eastAsia="Times New Roman" w:hAnsi="Times New Roman"/>
          <w:sz w:val="18"/>
          <w:szCs w:val="18"/>
          <w:i w:val="1"/>
          <w:iCs w:val="1"/>
          <w:color w:val="auto"/>
        </w:rPr>
        <w:t>Research and Development (R&amp;D).</w:t>
      </w:r>
    </w:p>
    <w:p>
      <w:pPr>
        <w:spacing w:after="0" w:line="122"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The year-over-year increase in operating income in the six months ended May 3, 2014 was primarily the result of an increase in revenue of $41.4 million and a 220 basis point increase in gross margin percentage.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3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3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29,935</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23,189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53,240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42,076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11,164</w:t>
            </w:r>
          </w:p>
        </w:tc>
      </w:tr>
      <w:tr>
        <w:trPr>
          <w:trHeight w:val="243"/>
        </w:trPr>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r>
    </w:tbl>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effective tax rate reflects the applicable tax rate in effect in the various tax jurisdictions around the world where our income is earned.</w:t>
      </w:r>
    </w:p>
    <w:p>
      <w:pPr>
        <w:spacing w:after="0" w:line="171"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color w:val="auto"/>
        </w:rPr>
        <w:t>The tax rate for all periods presented was below the U.S. federal statutory tax rate of 35%, primarily due to lower statutory tax rates applicable to our operations in the foreign jurisdictions in which we earn income. Income from non-US jurisdictions accounted for approximately 77% of our total revenues for the six months ended May 3, 2014, resulting in a material portion of our pretax income being earned and taxed outside the U.S., primarily in Bermuda and Ireland, at rates ranging from 0% to 35%. The impact on our provision for income taxes of income earned in foreign jurisdictions being taxed at rates different than the U.S. statutory rate was a benefit of approximately $42.8 million and a foreign effective tax rate of approximately 3.3% in our second quarter of fiscal 2014, compared to $37.9 million and a foreign effective tax rate of approximately 4.1% in our second quarter of fiscal 2013. The impact on our provision for income taxes of income earned in foreign jurisdictions being taxed at rates different than the U.S. statutory rate was a benefit of approximately $82.3 million and a foreign effective tax rate of approximately 4.4% in the first six months of fiscal 2014 compared to approximately $69.8 million and a foreign effective tax rate of approximately 7.1% for the first six months of fiscal 2013. A reduction in the ratio 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742" w:right="239" w:bottom="1440" w:gutter="0" w:footer="0" w:header="0"/>
        </w:sectPr>
      </w:pPr>
    </w:p>
    <w:bookmarkStart w:id="32" w:name="page33"/>
    <w:bookmarkEnd w:id="32"/>
    <w:p>
      <w:pPr>
        <w:ind w:right="20"/>
        <w:spacing w:after="0" w:line="258" w:lineRule="auto"/>
        <w:rPr>
          <w:sz w:val="20"/>
          <w:szCs w:val="20"/>
          <w:color w:val="auto"/>
        </w:rPr>
      </w:pPr>
      <w:r>
        <w:rPr>
          <w:rFonts w:ascii="Times New Roman" w:cs="Times New Roman" w:eastAsia="Times New Roman" w:hAnsi="Times New Roman"/>
          <w:sz w:val="18"/>
          <w:szCs w:val="18"/>
          <w:color w:val="auto"/>
        </w:rPr>
        <w:t>domestic taxable income to worldwide taxable income effectively lowers the overall tax rate, due to the fact that the tax rates in the majority of foreign jurisdictions where we earn income are significantly lower than the U.S. statutory rate. In addition, our effective income tax rate can be impacted each year by discrete factors or events. Our effective tax rate for the first six months of fiscal 2014 was not significantly impacted by discrete items. Our effective tax rate for the first six months of fiscal 2013 included a tax benefit of $6.6 million recorded as a result of the reversal of certain prior period tax liabilities and a tax benefit of $6.3 million from the reinstatement of the U.S. federal research and development tax credit in January 2013 retroactive to January 1, 2012.</w:t>
      </w:r>
    </w:p>
    <w:p>
      <w:pPr>
        <w:spacing w:after="0" w:line="13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expect our effective tax rate to be approximately 13.5% for the remainder of fiscal 2014.</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tcBorders>
              <w:bottom w:val="single" w:sz="8" w:color="auto"/>
            </w:tcBorders>
          </w:tcPr>
          <w:p>
            <w:pPr>
              <w:spacing w:after="0"/>
              <w:rPr>
                <w:sz w:val="16"/>
                <w:szCs w:val="16"/>
                <w:color w:val="auto"/>
              </w:rPr>
            </w:pPr>
          </w:p>
        </w:tc>
      </w:tr>
      <w:tr>
        <w:trPr>
          <w:trHeight w:val="264"/>
        </w:trPr>
        <w:tc>
          <w:tcPr>
            <w:tcW w:w="15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60" w:type="dxa"/>
            <w:vAlign w:val="bottom"/>
          </w:tcPr>
          <w:p>
            <w:pPr>
              <w:spacing w:after="0"/>
              <w:rPr>
                <w:sz w:val="22"/>
                <w:szCs w:val="22"/>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200" w:type="dxa"/>
            <w:vAlign w:val="bottom"/>
          </w:tcPr>
          <w:p>
            <w:pPr>
              <w:spacing w:after="0"/>
              <w:rPr>
                <w:sz w:val="22"/>
                <w:szCs w:val="22"/>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60" w:type="dxa"/>
            <w:vAlign w:val="bottom"/>
          </w:tcPr>
          <w:p>
            <w:pPr>
              <w:spacing w:after="0"/>
              <w:rPr>
                <w:sz w:val="22"/>
                <w:szCs w:val="22"/>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May 4, 2013</w:t>
            </w:r>
          </w:p>
        </w:tc>
        <w:tc>
          <w:tcPr>
            <w:tcW w:w="180" w:type="dxa"/>
            <w:vAlign w:val="bottom"/>
          </w:tcPr>
          <w:p>
            <w:pPr>
              <w:spacing w:after="0"/>
              <w:rPr>
                <w:sz w:val="22"/>
                <w:szCs w:val="22"/>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6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1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187,433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164,472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340,019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295,694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44,325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5"/>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 as a %</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1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revenue</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1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EPS</w:t>
            </w: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$0.59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8"/>
                <w:szCs w:val="18"/>
                <w:color w:val="auto"/>
              </w:rPr>
              <w:t>$0.52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$0.95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7"/>
        </w:trPr>
        <w:tc>
          <w:tcPr>
            <w:tcW w:w="15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540" w:firstLine="432"/>
        <w:spacing w:after="0" w:line="282" w:lineRule="auto"/>
        <w:rPr>
          <w:sz w:val="20"/>
          <w:szCs w:val="20"/>
          <w:color w:val="auto"/>
        </w:rPr>
      </w:pPr>
      <w:r>
        <w:rPr>
          <w:rFonts w:ascii="Times New Roman" w:cs="Times New Roman" w:eastAsia="Times New Roman" w:hAnsi="Times New Roman"/>
          <w:sz w:val="18"/>
          <w:szCs w:val="18"/>
          <w:color w:val="auto"/>
        </w:rPr>
        <w:t>Net income increased 14% in the three months ended May 3, 2014 as compared to the same period of fiscal 2013 as the $29.0 million increase in operating income was partially offset by a higher provision for income taxes in the second quarter of fiscal 2014.</w:t>
      </w:r>
    </w:p>
    <w:p>
      <w:pPr>
        <w:spacing w:after="0" w:line="108" w:lineRule="exact"/>
        <w:rPr>
          <w:sz w:val="20"/>
          <w:szCs w:val="20"/>
          <w:color w:val="auto"/>
        </w:rPr>
      </w:pPr>
    </w:p>
    <w:p>
      <w:pPr>
        <w:ind w:right="680" w:firstLine="432"/>
        <w:spacing w:after="0" w:line="282" w:lineRule="auto"/>
        <w:rPr>
          <w:sz w:val="20"/>
          <w:szCs w:val="20"/>
          <w:color w:val="auto"/>
        </w:rPr>
      </w:pPr>
      <w:r>
        <w:rPr>
          <w:rFonts w:ascii="Times New Roman" w:cs="Times New Roman" w:eastAsia="Times New Roman" w:hAnsi="Times New Roman"/>
          <w:sz w:val="18"/>
          <w:szCs w:val="18"/>
          <w:color w:val="auto"/>
        </w:rPr>
        <w:t>Net income increased 15% in the six months ended May 3, 2014 as compared to the same period of fiscal 2013 as the $55.1 million increase in operating income was partially offset by a higher provision for income taxes in the first six months of fiscal 2014.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Outlook</w:t>
      </w:r>
    </w:p>
    <w:p>
      <w:pPr>
        <w:spacing w:after="0" w:line="92" w:lineRule="exact"/>
        <w:rPr>
          <w:sz w:val="20"/>
          <w:szCs w:val="20"/>
          <w:color w:val="auto"/>
        </w:rPr>
      </w:pPr>
    </w:p>
    <w:p>
      <w:pPr>
        <w:ind w:right="200" w:firstLine="432"/>
        <w:spacing w:after="0" w:line="258" w:lineRule="auto"/>
        <w:rPr>
          <w:sz w:val="20"/>
          <w:szCs w:val="20"/>
          <w:color w:val="auto"/>
        </w:rPr>
      </w:pPr>
      <w:r>
        <w:rPr>
          <w:rFonts w:ascii="Times New Roman" w:cs="Times New Roman" w:eastAsia="Times New Roman" w:hAnsi="Times New Roman"/>
          <w:sz w:val="18"/>
          <w:szCs w:val="18"/>
          <w:color w:val="auto"/>
        </w:rPr>
        <w:t>The following statements are based on current expectations. These statements are forward-looking and our actual results may differ materially as a result of, among other things, the important factors contained in Part II, Item 1A. "Risk Factors" in this Quarterly Report on Form 10-Q. Unless specifically mentioned, these statements do not give effect to the potential impact of any mergers, acquisitions, divestitures, or business combinations that may be announced or closed after the date of filing this report. These statements supersede all prior statements regarding our business outlook made by us and we disclaim any obligation to update these forward-looking statements.</w:t>
      </w:r>
    </w:p>
    <w:p>
      <w:pPr>
        <w:spacing w:after="0" w:line="130" w:lineRule="exact"/>
        <w:rPr>
          <w:sz w:val="20"/>
          <w:szCs w:val="20"/>
          <w:color w:val="auto"/>
        </w:rPr>
      </w:pPr>
    </w:p>
    <w:p>
      <w:pPr>
        <w:ind w:right="120" w:firstLine="432"/>
        <w:spacing w:after="0" w:line="261" w:lineRule="auto"/>
        <w:rPr>
          <w:sz w:val="20"/>
          <w:szCs w:val="20"/>
          <w:color w:val="auto"/>
        </w:rPr>
      </w:pPr>
      <w:r>
        <w:rPr>
          <w:rFonts w:ascii="Times New Roman" w:cs="Times New Roman" w:eastAsia="Times New Roman" w:hAnsi="Times New Roman"/>
          <w:sz w:val="18"/>
          <w:szCs w:val="18"/>
          <w:color w:val="auto"/>
        </w:rPr>
        <w:t>We are planning for revenue in the third quarter of fiscal 2014 to increase approximately 1% to 5% from the second quarter of fiscal 2014. Our plan is for gross margin for the third quarter of fiscal 2014 to increase approximately 50 basis points from the second quarter of fiscal 2014 and for operating expenses to be flat to up 3% from the second quarter of fiscal 2014. We expect our effective tax rate to be approximately 13.5%. As a result, we are planning for diluted earnings per share to be in the range of $0.60 to $0.64 in the third quarter of fiscal 2014.</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94" w:lineRule="exact"/>
        <w:rPr>
          <w:sz w:val="20"/>
          <w:szCs w:val="20"/>
          <w:color w:val="auto"/>
        </w:rPr>
      </w:pPr>
    </w:p>
    <w:p>
      <w:pPr>
        <w:ind w:right="140" w:firstLine="432"/>
        <w:spacing w:after="0" w:line="257" w:lineRule="auto"/>
        <w:rPr>
          <w:sz w:val="20"/>
          <w:szCs w:val="20"/>
          <w:color w:val="auto"/>
        </w:rPr>
      </w:pPr>
      <w:r>
        <w:rPr>
          <w:rFonts w:ascii="Times New Roman" w:cs="Times New Roman" w:eastAsia="Times New Roman" w:hAnsi="Times New Roman"/>
          <w:sz w:val="18"/>
          <w:szCs w:val="18"/>
          <w:color w:val="auto"/>
        </w:rPr>
        <w:t>At May 3, 2014, our principal source of liquidity was $4,807.2 million of cash and cash equivalents and short-term investments, of which approximately $1,287.2 million was held in the United States. The balance of our cash and cash equivalents and short-term investments was held outside the United States in various foreign subsidiaries. As we intend to</w:t>
      </w:r>
    </w:p>
    <w:p>
      <w:pPr>
        <w:spacing w:after="0" w:line="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reinvest our foreign earnings indefinitely, this cash held outside the United States is not available to meet our cash requirements in the United States, including cash dividends and common stock repurchases. Our cash and cash equivalents consist of highly liquid investments with maturities of three months or less at the time of acquisition and our short-term investments consist primarily of corporate obligations, such as commercial paper and floating rate notes, bonds and bank time deposits. We maintain these balances with high credit quality counterparties, continually monitor the amount of credit exposure to any one issuer and diversify our investments in order to minimize our credit risk.</w:t>
      </w:r>
    </w:p>
    <w:p>
      <w:pPr>
        <w:spacing w:after="0" w:line="133" w:lineRule="exact"/>
        <w:rPr>
          <w:sz w:val="20"/>
          <w:szCs w:val="20"/>
          <w:color w:val="auto"/>
        </w:rPr>
      </w:pPr>
    </w:p>
    <w:p>
      <w:pPr>
        <w:ind w:right="260" w:firstLine="432"/>
        <w:spacing w:after="0" w:line="266" w:lineRule="auto"/>
        <w:rPr>
          <w:sz w:val="20"/>
          <w:szCs w:val="20"/>
          <w:color w:val="auto"/>
        </w:rPr>
      </w:pPr>
      <w:r>
        <w:rPr>
          <w:rFonts w:ascii="Times New Roman" w:cs="Times New Roman" w:eastAsia="Times New Roman" w:hAnsi="Times New Roman"/>
          <w:sz w:val="18"/>
          <w:szCs w:val="18"/>
          <w:color w:val="auto"/>
        </w:rPr>
        <w:t>We believe that our existing sources of liquidity and cash expected to be generated from future operations, together with existing and anticipated available long-term financing, will be sufficient to fund operations, capital expenditures, research and development efforts, dividend payments (if any) and repurchases of our stock (if any) under our stock repurchase program in the immediate future and for at least the next twelve months.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742"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95"/>
        </w:trPr>
        <w:tc>
          <w:tcPr>
            <w:tcW w:w="8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64"/>
        </w:trPr>
        <w:tc>
          <w:tcPr>
            <w:tcW w:w="8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200" w:type="dxa"/>
            <w:vAlign w:val="bottom"/>
          </w:tcPr>
          <w:p>
            <w:pPr>
              <w:spacing w:after="0"/>
              <w:rPr>
                <w:sz w:val="22"/>
                <w:szCs w:val="22"/>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May 4, 2013</w:t>
            </w:r>
          </w:p>
        </w:tc>
      </w:tr>
      <w:tr>
        <w:trPr>
          <w:trHeight w:val="249"/>
        </w:trPr>
        <w:tc>
          <w:tcPr>
            <w:tcW w:w="8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$395,897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$410,155</w:t>
            </w:r>
          </w:p>
        </w:tc>
      </w:tr>
      <w:tr>
        <w:trPr>
          <w:trHeight w:val="243"/>
        </w:trPr>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operations as a % of revenue</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7"/>
        </w:trPr>
        <w:tc>
          <w:tcPr>
            <w:tcW w:w="8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(214,339)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(251,733)</w:t>
            </w:r>
          </w:p>
        </w:tc>
      </w:tr>
      <w:tr>
        <w:trPr>
          <w:trHeight w:val="243"/>
        </w:trPr>
        <w:tc>
          <w:tcPr>
            <w:tcW w:w="86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(169,642)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(92,484)</w:t>
            </w:r>
          </w:p>
        </w:tc>
      </w:tr>
    </w:tbl>
    <w:p>
      <w:pPr>
        <w:spacing w:after="0" w:line="17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At May 3, 2014, cash and cash equivalents totaled $402.8 million. The following changes contributed to the net increase in cash and cash equivalents of $10.7 million in the first six months of fiscal 2014 as compared to the same period in fiscal 2013.</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2014 we generated cash from operating activities of $395.9 million, a decrease compared to the first six months of fiscal 2013 primarily as a result of net cash outflows from working capital changes, partially offset by higher net income adjusted for non-cash items.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7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During the first six months of fiscal 2014 cash used for investing activities included $92.2 million for property, plant and equipment additions and $113.1 million for the net purchases of available-for-sale short term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six months of fiscal 2014 cash used for financing activities included proceeds of $142.5 million from the exercise of employee stock options.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distributed $221.8 million to our shareholders in dividend payments and repurchased 2.3 million shares of our common stock for $111.6 million.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40" w:type="dxa"/>
            <w:vAlign w:val="bottom"/>
          </w:tcPr>
          <w:p>
            <w:pPr>
              <w:spacing w:after="0"/>
              <w:rPr>
                <w:sz w:val="16"/>
                <w:szCs w:val="16"/>
                <w:color w:val="auto"/>
              </w:rPr>
            </w:pPr>
          </w:p>
        </w:tc>
        <w:tc>
          <w:tcPr>
            <w:tcW w:w="168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May 3, 2014</w:t>
            </w:r>
          </w:p>
        </w:tc>
        <w:tc>
          <w:tcPr>
            <w:tcW w:w="170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November 2, 2013</w:t>
            </w:r>
          </w:p>
        </w:tc>
        <w:tc>
          <w:tcPr>
            <w:tcW w:w="26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4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49"/>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$360,847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$325,144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35,703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Days sales outstanding</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$298,432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$283,337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15,095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Days cost of sales in inventory</w:t>
            </w: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spacing w:after="0" w:line="171"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The increase in accounts receivable in dollars and in days was primarily the result of higher product shipments made to our distributors in the final month of the second quarter of fiscal 2014 as compared to the final month of the fourth quarter of fiscal 2013.</w:t>
      </w:r>
    </w:p>
    <w:p>
      <w:pPr>
        <w:spacing w:after="0" w:line="108"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Inventory increased as compared to the end of the fourth quarter of fiscal 2013 as a result of increased manufacturing production to support anticipated higher sales demand. Our inventory levels are impacted by our need to support forecasted sales demand and variations between those forecasts and actual demand. Days cost of sales in inventory increased from 111 days at the end of the fourth quarter of fiscal 2013 to 115 days at the end of the second quarter of fiscal 2014, primarily as a result of the increased inventory levels, while cost of sales remained flat as a result of improved factory utilization.</w:t>
      </w:r>
    </w:p>
    <w:p>
      <w:pPr>
        <w:spacing w:after="0" w:line="126"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Current liabilities increased slightly to $571.2 million at May 3, 2014 from $570.5 million at the end of fiscal 2013. This increase was a result of higher deferred income on shipments to distributors, which is more fully described below, and accounts payable, partially offset by a decrease in income taxes payable and accrued liabilities.</w:t>
      </w:r>
    </w:p>
    <w:p>
      <w:pPr>
        <w:spacing w:after="0" w:line="122"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As of May 3, 2014 and November 2, 2013, we had gross deferred revenue of $334.0 million and $309.2 million, respectively, and gross deferred cost of sales of $66.1 million and $61.8 million, respectively. Deferred income on shipments to distributors increased in the first six months of fiscal 2014 primarily as a result of an increase in product shipments into the channel during the final month of the second quarter of fiscal 2014 in order to support anticipated sales demand. Sales to distributors are made under agreements that allow distributors to receive price-adjustment credits and to return qualifying products for credit, as determined by us, in order to reduce the amounts of slow-moving, discontinued or obsolete product from their inventory. Given the uncertainties associated with the levels of price-adjustment credits to be granted to distributors, the sales price to the distributors is not fixed or determinable until the distributors resell the products to their customers. Therefore,</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736" w:right="239" w:bottom="1440" w:gutter="0" w:footer="0" w:header="0"/>
        </w:sectPr>
      </w:pPr>
    </w:p>
    <w:bookmarkStart w:id="34" w:name="page35"/>
    <w:bookmarkEnd w:id="34"/>
    <w:p>
      <w:pPr>
        <w:ind w:right="80"/>
        <w:spacing w:after="0" w:line="261" w:lineRule="auto"/>
        <w:rPr>
          <w:sz w:val="20"/>
          <w:szCs w:val="20"/>
          <w:color w:val="auto"/>
        </w:rPr>
      </w:pPr>
      <w:r>
        <w:rPr>
          <w:rFonts w:ascii="Times New Roman" w:cs="Times New Roman" w:eastAsia="Times New Roman" w:hAnsi="Times New Roman"/>
          <w:sz w:val="18"/>
          <w:szCs w:val="18"/>
          <w:color w:val="auto"/>
        </w:rPr>
        <w:t>we defer revenue recognition from sales to distributors until the distributors have sold the products to their customers. The amount of price-adjustments is dependent on future overall market conditions, and therefore the levels of these adjustments could fluctuate significantly from period to period. To the extent that we experience a significant increase in the amount of credits we issue to our distributors, there could be a material impact on the ultimate revenue and gross margin recognized relating to these transactions.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May 3, 2014, we had $872.5 million in principal outstanding on our long term debt. Our debt obligations consist of the following:</w:t>
      </w:r>
    </w:p>
    <w:p>
      <w:pPr>
        <w:spacing w:after="0" w:line="16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$375.0 Million Aggregate Principal Amount of 3.0% Senior Unsecured Notes (2016 Notes)</w:t>
      </w:r>
    </w:p>
    <w:p>
      <w:pPr>
        <w:spacing w:after="0" w:line="9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On April 4, 2011, we issued $375.0 million aggregate principal amount of 3.0% senior unsecured notes due April 15, 2016 (the 2016 Notes) with semi-annual fixed interest payments due on April 15 and October 15 of each year, commencing October 15, 2011.</w:t>
      </w:r>
    </w:p>
    <w:p>
      <w:pPr>
        <w:spacing w:after="0" w:line="1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$500.0 Million Aggregate Principal Amount of 2.875% Senior Unsecured Notes (2023 Notes)</w:t>
      </w:r>
    </w:p>
    <w:p>
      <w:pPr>
        <w:spacing w:after="0" w:line="9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On June 3, 2013, we issued $500.0 million aggregate principal amount of 2.875% senior unsecured notes due June 1, 2023 (the 2023 Notes) with semi-annual fixed interest payments due on June 1 and December 1 of each year, commencing December 1, 2013.</w:t>
      </w:r>
    </w:p>
    <w:p>
      <w:pPr>
        <w:spacing w:after="0" w:line="108"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 xml:space="preserve">The indentures governing the 2016 Notes and the 2023 Notes contain covenants that may limit our ability to: incur, create, assume or guarantee any debt for borrowed money secured by a lien upon a principal property; enter into sale and lease-back transactions with respect to a principal property; and consolidate with or merge into, or transfer or lease all or substantially all of our assets to, any other party. As of May 3, 2014, we were compliant with these covenants. See Note 14,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the Notes to our Condensed Consolidated Financial Statements contained in Item 1 of this Quarterly Report on Form 10-Q for further information on our outstanding debt.</w:t>
      </w:r>
    </w:p>
    <w:p>
      <w:pPr>
        <w:spacing w:after="0" w:line="1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173"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On December 19, 2012, we entered into a five-year, $500.0 million senior unsecured revolving credit facility with certain institutional lenders. To date, we have not borrowed under this credit facility but we may borrow in the future and use the proceeds for repayment of existing indebtedness, stock repurchases, acquisitions, capital expenditures, working capital and other lawful corporate purposes. The terms of the facility impose restrictions on our ability to undertake certain transactions, to create certain liens on assets and to incur certain subsidiary indebtedness. In addition, the credit agreement contains a consolidated leverage ratio covenant of total consolidated funded debt to consolidated earnings before interest, taxes, depreciation, and amortization (EBITDA) of not greater than 3.0 to 1.0. As of May 3, 2014, we were compliant with these covenants.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$375.0 Million Aggregate Principal Amount of 5.0% Senior Unsecured Notes (2014 Notes)</w:t>
      </w:r>
    </w:p>
    <w:p>
      <w:pPr>
        <w:spacing w:after="0" w:line="9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During the third quarter of fiscal 2013, we redeemed our outstanding 2014 Notes which were due on July 1, 2014. The redemption price was 104.744% of the principal amount of the notes. We recognized a net loss on debt extinguishment of approximately $10.2 million recorded in other, net expense within non-operating (income) expense. The loss was comprised of the make-whole premium of $17.8 million paid to bondholders on the 2014 Notes in accordance with the terms of the notes, the recognition of the remaining $8.6 million of unamortized proceeds received from the termination of the interest rate swap associated with the debt, and the write off of approximately $1.0 million of debt issuance and discount costs that remained to be amortized. The write off of the remaining unamortized portion of debt issuance costs, discount and swap proceeds are reflected in our condensed consolidated statements of cash flows within operating activities, and the make-whole premium is reflected within financing activities.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common stock repurchase program has been in place since August 2004. As of May 3, 2014, in the aggregate, our Board of Directors has authorized us to repurchase $5.6 billion of our common stock under the program. Under the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under the program. As of May 3, 2014, we had repurchased a total of approximately 132.1 million shares of our common stock for approximately $4,579.0 million under this program. As of May 3, 2014, an additional $991.0 million remains available for repurchase of shares under the current authorized program. The repurchased shares are held as authorized but unissued shares of common stock. We also from time to time repurchase shares in</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380"/>
          </w:cols>
          <w:pgMar w:left="240" w:top="742" w:right="279" w:bottom="1440" w:gutter="0" w:footer="0" w:header="0"/>
        </w:sectPr>
      </w:pPr>
    </w:p>
    <w:bookmarkStart w:id="35" w:name="page36"/>
    <w:bookmarkEnd w:id="35"/>
    <w:p>
      <w:pPr>
        <w:ind w:right="140"/>
        <w:spacing w:after="0" w:line="266" w:lineRule="auto"/>
        <w:rPr>
          <w:sz w:val="20"/>
          <w:szCs w:val="20"/>
          <w:color w:val="auto"/>
        </w:rPr>
      </w:pPr>
      <w:r>
        <w:rPr>
          <w:rFonts w:ascii="Times New Roman" w:cs="Times New Roman" w:eastAsia="Times New Roman" w:hAnsi="Times New Roman"/>
          <w:sz w:val="18"/>
          <w:szCs w:val="18"/>
          <w:color w:val="auto"/>
        </w:rPr>
        <w:t>settlement of employee tax withholding obligations due upon the vesting of restricted stock units or the exercise of stock options, or in certain limited circumstances to satisfy the exercise price of options granted to our employees under our equity compensation plans. Any future common stock repurchases will be based on several factors, including our financial performance, outlook, liquidity and the amount of cash we have available in the United States.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92"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Net additions to property, plant and equipment were $92.2 million in the first six months of fiscal 2014 and were funded with a combination of cash on hand and cash generated from operations. We expect capital expenditures for fiscal 2014 to consist of $124.0 million for ongoing capital spending and approximately $56.0 million for new buildings we are constructing. These capital expenditures will be funded with a combination of cash on hand and cash generated from operations.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92" w:lineRule="exact"/>
        <w:rPr>
          <w:sz w:val="20"/>
          <w:szCs w:val="20"/>
          <w:color w:val="auto"/>
        </w:rPr>
      </w:pPr>
    </w:p>
    <w:p>
      <w:pPr>
        <w:jc w:val="both"/>
        <w:ind w:right="420" w:firstLine="432"/>
        <w:spacing w:after="0" w:line="261" w:lineRule="auto"/>
        <w:rPr>
          <w:sz w:val="20"/>
          <w:szCs w:val="20"/>
          <w:color w:val="auto"/>
        </w:rPr>
      </w:pPr>
      <w:r>
        <w:rPr>
          <w:rFonts w:ascii="Times New Roman" w:cs="Times New Roman" w:eastAsia="Times New Roman" w:hAnsi="Times New Roman"/>
          <w:sz w:val="18"/>
          <w:szCs w:val="18"/>
          <w:color w:val="auto"/>
        </w:rPr>
        <w:t>On May 19, 2014, our Board of Directors declared a cash dividend of $0.37 per outstanding share of common stock. The dividend will be paid on June 10, 2014 to all shareholders of record at the close of business on May 30, 2014 and is expected to total approximately $116.2 million. We currently expect quarterly dividends to continue at $0.37 per share, although they remain subject to determination and declaration by our Board of Directors. The payment of future dividends, if any, will be based on several factors, including our financial performance, outlook and liquidity.</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31" w:lineRule="exact"/>
        <w:rPr>
          <w:sz w:val="20"/>
          <w:szCs w:val="20"/>
          <w:color w:val="auto"/>
        </w:rPr>
      </w:pPr>
    </w:p>
    <w:p>
      <w:pPr>
        <w:ind w:right="560"/>
        <w:spacing w:after="0" w:line="292" w:lineRule="auto"/>
        <w:rPr>
          <w:sz w:val="20"/>
          <w:szCs w:val="20"/>
          <w:color w:val="auto"/>
        </w:rPr>
      </w:pPr>
      <w:r>
        <w:rPr>
          <w:rFonts w:ascii="Times New Roman" w:cs="Times New Roman" w:eastAsia="Times New Roman" w:hAnsi="Times New Roman"/>
          <w:sz w:val="18"/>
          <w:szCs w:val="18"/>
          <w:color w:val="auto"/>
        </w:rPr>
        <w:t>There have not been any material changes during the first six months of fiscal 2014 to the amounts presented in the table summarizing our contractual obligations included in our Annual Report on Form 10-K for the fiscal year ended November 2, 2013.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new accounting pronouncements are issued by the Financial Accounting Standards Board (FASB) that are adopted by us as of the specified effective date. Unless otherwise discussed, management believes that the impact of recently issued standards will not have a material impact on our future financial condition and results of operations. See Note 18, </w:t>
      </w:r>
      <w:r>
        <w:rPr>
          <w:rFonts w:ascii="Times New Roman" w:cs="Times New Roman" w:eastAsia="Times New Roman" w:hAnsi="Times New Roman"/>
          <w:sz w:val="18"/>
          <w:szCs w:val="18"/>
          <w:i w:val="1"/>
          <w:iCs w:val="1"/>
          <w:color w:val="auto"/>
        </w:rPr>
        <w:t>New Accounting Pronouncements,</w:t>
      </w:r>
      <w:r>
        <w:rPr>
          <w:rFonts w:ascii="Times New Roman" w:cs="Times New Roman" w:eastAsia="Times New Roman" w:hAnsi="Times New Roman"/>
          <w:sz w:val="18"/>
          <w:szCs w:val="18"/>
          <w:color w:val="auto"/>
        </w:rPr>
        <w:t xml:space="preserve"> of the Notes to our Condensed Consolidated Financial Statements contained in Item 1 of this Quarterly Report on Form 10-Q for a description of recently issued and adopted accounting pronouncements, including the dates of adoption and impact on our historical financial condition and results of operations.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94"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six months of fiscal 2014 to the information provided under the heading “Critical Accounting Policies and Estimates” included in our Annual Report on Form 10-K for the fiscal year ended November 3, 2013.</w:t>
      </w:r>
    </w:p>
    <w:p>
      <w:pPr>
        <w:spacing w:after="0" w:line="104"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02"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the first six months of fiscal 2014 to the information provided under Item 7A. “Quantitative and Qualitative Disclosures about Market Risk” set forth in our Annual Report on Form 10-K for the fiscal year ended November 2, 2013.</w:t>
      </w:r>
    </w:p>
    <w:p>
      <w:pPr>
        <w:spacing w:after="0" w:line="320"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right="160" w:firstLine="8"/>
        <w:spacing w:after="0" w:line="254"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r>
        <w:rPr>
          <w:rFonts w:ascii="Times New Roman" w:cs="Times New Roman" w:eastAsia="Times New Roman" w:hAnsi="Times New Roman"/>
          <w:sz w:val="18"/>
          <w:szCs w:val="18"/>
          <w:color w:val="auto"/>
        </w:rPr>
        <w:t>. Our management, with the participation of our Chief Executive Officer and Chief Financial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evaluated the effectiveness of our disclosure controls and procedures as of May 3, 2014.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(SEC)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80"/>
          </w:cols>
          <w:pgMar w:left="240" w:top="661" w:right="279" w:bottom="1440" w:gutter="0" w:footer="0" w:header="0"/>
        </w:sectPr>
      </w:pPr>
    </w:p>
    <w:bookmarkStart w:id="36" w:name="page37"/>
    <w:bookmarkEnd w:id="36"/>
    <w:p>
      <w:pPr>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May 3, 2014, our Chief Executive Officer and Chief Financial Officer concluded that, as of such date, our disclosure controls and procedures were effective at the reasonable assurance level.</w:t>
      </w:r>
    </w:p>
    <w:p>
      <w:pPr>
        <w:spacing w:after="0" w:line="106" w:lineRule="exact"/>
        <w:rPr>
          <w:sz w:val="20"/>
          <w:szCs w:val="20"/>
          <w:color w:val="auto"/>
        </w:rPr>
      </w:pPr>
    </w:p>
    <w:p>
      <w:pPr>
        <w:ind w:right="100" w:firstLine="8"/>
        <w:spacing w:after="0" w:line="267"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quarter ended May 3, 2014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Set forth below and elsewhere in this report and in other documents we file with the SEC are descriptions of certain risks and uncertainties that could cause our actual results to differ materially from the results contemplated by the forward-looking statements contained in this report. Additional risks and uncertainties not presently known to us or that we presently deem less significant may also adversely affect our business. The description below includes any material changes to and supersedes the description of the risk factors affecting our business previously discussed in "Part I, Item 1A Risk Factors” of our Annual Report on Form 10-K for the fiscal year ended November 2, 2013.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Disruptions in global credit and financial markets could materially and adversely affect our business and results of operations.</w:t>
      </w:r>
    </w:p>
    <w:p>
      <w:pPr>
        <w:spacing w:after="0" w:line="227"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There is significant continuing uncertainty regarding the stability of global credit and financial markets.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Significant disruption to global credit and financial markets may also adversely affect our ability to access external financing sources on acceptable terms. Financial difficulties experienced by our customers could result in nonpayment or payment delays for previously purchased products, thereby increasing our credit risk exposure. Uncertainty regarding the future stability of the global credit and financial markets could cause the value of the currency in the affected markets to deteriorate, thus reducing the purchasing power of those customers. In addition, financial difficulties experienced by our suppliers or distributors could result in product delays, increased accounts receivable defaults and inventory challenges.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future revenue, gross margins, operating results and net income are difficult to predict and may materially fluctuate.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revenue, gross margins, operating results and net income are difficult to predict and may be materially affected by a number of factors, including:</w:t>
      </w:r>
    </w:p>
    <w:p>
      <w:pPr>
        <w:spacing w:after="0" w:line="63"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adverse economic conditions in the markets in which we sell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demand for our products and for end products that incorporate our products;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cost structure in both the short term and over a longer duration;</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new product announcements or introductions by us, our customers or our competitors;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pressures;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manufacturing yields, adequate availability of wafers and other raw materials, and manufacturing, assembly and test capacity;</w:t>
      </w:r>
    </w:p>
    <w:p>
      <w:pPr>
        <w:spacing w:after="0" w:line="103" w:lineRule="exact"/>
        <w:rPr>
          <w:rFonts w:ascii="Times New Roman" w:cs="Times New Roman" w:eastAsia="Times New Roman" w:hAnsi="Times New Roman"/>
          <w:sz w:val="18"/>
          <w:szCs w:val="18"/>
          <w:color w:val="auto"/>
        </w:rPr>
      </w:pPr>
    </w:p>
    <w:p>
      <w:pPr>
        <w:ind w:left="660" w:right="320" w:hanging="328"/>
        <w:spacing w:after="0" w:line="360"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third-party suppliers, subcontractors and manufacturers to supply us with sufficient quantities of raw materials, products and/or components;</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decline in our backlog;</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delay or cancellation of significant customer orders and our ability to manage inventory;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hire, retain and motivate adequate numbers of engineers and other qualified employees to meet the demands of our customers;</w:t>
      </w: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380"/>
          </w:cols>
          <w:pgMar w:left="240" w:top="661" w:right="279" w:bottom="1440" w:gutter="0" w:footer="0" w:header="0"/>
        </w:sectPr>
      </w:pPr>
    </w:p>
    <w:bookmarkStart w:id="37" w:name="page38"/>
    <w:bookmarkEnd w:id="37"/>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of providing employee benefits, including health insurance, pension plan contributions and retirement benefits;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geographic, product or customer mix;</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utilize our manufacturing facilities at efficient levels;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litigation-related costs;</w:t>
      </w:r>
    </w:p>
    <w:p>
      <w:pPr>
        <w:spacing w:after="0" w:line="103" w:lineRule="exact"/>
        <w:rPr>
          <w:rFonts w:ascii="Times New Roman" w:cs="Times New Roman" w:eastAsia="Times New Roman" w:hAnsi="Times New Roman"/>
          <w:sz w:val="18"/>
          <w:szCs w:val="18"/>
          <w:color w:val="auto"/>
        </w:rPr>
      </w:pPr>
    </w:p>
    <w:p>
      <w:pPr>
        <w:ind w:left="660" w:right="200" w:hanging="328"/>
        <w:spacing w:after="0" w:line="360"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inherent in forecasting future operating expense levels, including with respect to costs associated with labor, utilities, transportation and raw materials;</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related to compliance with increasing worldwide government, environmental and social responsibility regulations;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in the United States, Ireland or worldwide; and</w:t>
      </w:r>
    </w:p>
    <w:p>
      <w:pPr>
        <w:spacing w:after="0" w:line="103" w:lineRule="exact"/>
        <w:rPr>
          <w:rFonts w:ascii="Times New Roman" w:cs="Times New Roman" w:eastAsia="Times New Roman" w:hAnsi="Times New Roman"/>
          <w:sz w:val="18"/>
          <w:szCs w:val="18"/>
          <w:color w:val="auto"/>
        </w:rPr>
      </w:pPr>
    </w:p>
    <w:p>
      <w:pPr>
        <w:ind w:left="660" w:right="60" w:hanging="328"/>
        <w:spacing w:after="0" w:line="391"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public health emergencies, natural disasters, widespread travel disruptions, security risks, terrorist activities, international conflicts and other events beyond our control.</w:t>
      </w:r>
    </w:p>
    <w:p>
      <w:pPr>
        <w:spacing w:after="0" w:line="10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In addition, the semiconductor market has historically been cyclical and subject to significant economic upturns and downturns. Our business is also subject to rapid technological changes and there can be no assurance (i) that products stocked in our inventory will not be rendered obsolete before we ship them, or (ii) that we will be able to design, develop and produce products in a timely fashion to accommodate changing customer demand. As a result of these and other factors, there can be no assurance that we will not experience material fluctuations in future revenue, gross margins, operating results and net income on a quarterly or annual basis. Our historical financial performance and results of operations should not be relied upon as indicators of future performance or results. In addition, if our revenue, gross margins, operating results and net income do not meet the expectations of securities analysts or investors, the market price of our common stock may decline.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Increases in our effective tax rate and exposure to additional tax liabilities may adversely impact our results of operations.</w:t>
      </w:r>
    </w:p>
    <w:p>
      <w:pPr>
        <w:spacing w:after="0" w:line="92"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A number of factors may increase our future effective tax rate, including: changes in applicable tax laws or the interpretation of such tax laws; increases in tax rates in various jurisdictions; variation in the jurisdictions in which profits are earned and taxed; repatriation of non-U.S. earnings; any adverse resolution of ongoing tax audits or adverse rulings from taxing authorities worldwide; changes in the valuation of our deferred tax assets and liabilities; adjustments to income taxes upon finalization of various tax returns; increases in expenses not deductible for tax purposes, including executive compensation subject to the limitations of Section 162(m) of the Internal Revenue Code and amortization of assets acquired in connection with strategic transactions; decreased availability of tax deductions for stock-based compensation awards worldwide; and changes in available tax credits. Any significant increase in our future effective tax rates could adversely impact our net income during future periods.</w:t>
      </w:r>
    </w:p>
    <w:p>
      <w:pPr>
        <w:spacing w:after="0" w:line="214"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color w:val="auto"/>
        </w:rPr>
        <w:t>Long-term contracts are not typical for us and incorrect forecasts or reductions, cancellations or delays in orders for our products could adversely affect our operating results.</w:t>
      </w:r>
    </w:p>
    <w:p>
      <w:pPr>
        <w:spacing w:after="0" w:line="25" w:lineRule="exact"/>
        <w:rPr>
          <w:sz w:val="20"/>
          <w:szCs w:val="20"/>
          <w:color w:val="auto"/>
        </w:rPr>
      </w:pPr>
    </w:p>
    <w:p>
      <w:pPr>
        <w:ind w:right="20" w:firstLine="432"/>
        <w:spacing w:after="0" w:line="255" w:lineRule="auto"/>
        <w:rPr>
          <w:sz w:val="20"/>
          <w:szCs w:val="20"/>
          <w:color w:val="auto"/>
        </w:rPr>
      </w:pPr>
      <w:r>
        <w:rPr>
          <w:rFonts w:ascii="Times New Roman" w:cs="Times New Roman" w:eastAsia="Times New Roman" w:hAnsi="Times New Roman"/>
          <w:sz w:val="18"/>
          <w:szCs w:val="18"/>
          <w:color w:val="auto"/>
        </w:rPr>
        <w:t>We typically do not have long-term sales contracts with our customers. 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In other instances, we manufacture product based on forecasts of customer demands. As a result, we may incur inventory and manufacturing costs in advance of anticipated sales, and we are subject to the risk of lower than expected orders or cancellations of orders, leading to a sharp reduction of sales and backlog. Further, orders or forecasts may be for products that meet the customer’s unique requirements so that those canceled or unrealized orders would, in addition, result in an inventory of unsaleable products, causing potential inventory write-offs. As a result of lengthy manufacturing cycles for certain of the products that are subject to these uncertainties, the amount of unsaleable product could be substantial. Incorrect forecasts, or reductions, cancellations or delays in orders for our products could adversely affect our operating results.</w:t>
      </w:r>
    </w:p>
    <w:p>
      <w:pPr>
        <w:spacing w:after="0" w:line="21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Our future success depends upon our ability to continue to innovate, improve our existing products, design, develop, produce and market new products, and identify and enter new markets.</w:t>
      </w:r>
    </w:p>
    <w:p>
      <w:pPr>
        <w:spacing w:after="0" w:line="25"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Our future success significantly depends on our continued ability to improve our existing products and design, develop, produce and market innovative new products. Product design, development, innovation and enhancement is often a complex, time-consuming and costly process involving significant investment in research and development, with no assurance of return on investment. There can be no assurance that we will be able to develop and introduce new and improved products in a timely</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634" w:right="259" w:bottom="1440" w:gutter="0" w:footer="0" w:header="0"/>
        </w:sectPr>
      </w:pPr>
    </w:p>
    <w:bookmarkStart w:id="38" w:name="page39"/>
    <w:bookmarkEnd w:id="38"/>
    <w:p>
      <w:pPr>
        <w:ind w:right="60"/>
        <w:spacing w:after="0" w:line="254" w:lineRule="auto"/>
        <w:rPr>
          <w:sz w:val="20"/>
          <w:szCs w:val="20"/>
          <w:color w:val="auto"/>
        </w:rPr>
      </w:pPr>
      <w:r>
        <w:rPr>
          <w:rFonts w:ascii="Times New Roman" w:cs="Times New Roman" w:eastAsia="Times New Roman" w:hAnsi="Times New Roman"/>
          <w:sz w:val="18"/>
          <w:szCs w:val="18"/>
          <w:color w:val="auto"/>
        </w:rPr>
        <w:t>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Also, some of our customers in these markets are less established, which could subject us to increased credit risk. There can be no assurance that the markets we serve will grow in the future, that our existing and new products will meet the requirements of these markets, that our products will achieve customer acceptance in these markets, that competitors will not force price reductions or take market share from us, or that we can achieve or maintain adequate gross margins or profits in these markets. Furthermore, a decline in demand in one or several of our end-user markets could have a material adverse effect on the demand for our products and our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not be able to compete successfully in markets within the semiconductor industry in the future.</w:t>
      </w:r>
    </w:p>
    <w:p>
      <w:pPr>
        <w:spacing w:after="0" w:line="92"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face intense technological and pricing competition in the semiconductor industry, and we expect this competition to increase in the future, including from companies located outside the United States. Many companies have sufficient financial, manufacturing, technical, sales and marketing resources to develop and market products that compete with our products. Some of our competitors may have more advantageous supply or development relationships with our current and potential customers or suppliers. Our competitors also include emerging companies selling specialized products in markets we serve. Competition is generally based on design and quality of products, product performance, features and functionality, and product pricing, availability and capacity, with the relative importance of these factors varying among products, markets and customers. Existing or new competitors may develop products or technologies that more effectively address the demands of our customers and markets with enhanced performance, features and functionality, lower power requirements, greater levels of integration or lower cost. Increased competition in certain markets has resulted in and may continue to result in declining average selling prices, reduced gross margins and loss of market share in those markets. There can be no assurance that we will be able to compete successfully in the future against existing or new competitors, or that our operating results will not be adversely affected by increased competition.</w:t>
      </w:r>
    </w:p>
    <w:p>
      <w:pPr>
        <w:spacing w:after="0" w:line="211" w:lineRule="exact"/>
        <w:rPr>
          <w:sz w:val="20"/>
          <w:szCs w:val="20"/>
          <w:color w:val="auto"/>
        </w:rPr>
      </w:pPr>
    </w:p>
    <w:p>
      <w:pPr>
        <w:ind w:right="6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third-party suppliers, subcontractors and manufacturers for some industry-standard wafers, manufacturing processes, assembly and test services, and transportation, and we generally cannot control their availability or conditions of supply.</w:t>
      </w:r>
    </w:p>
    <w:p>
      <w:pPr>
        <w:spacing w:after="0" w:line="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We rely, and plan to continue to rely, on suppliers, assembly and test subcontractors, freight carriers, and third-party wafer fabricators to supply most of our wafers that can be manufactured using industry-standard submicron processes. This reliance involves several risks, including reduced control over availability, capacity utilization, delivery schedules, manufacturing yields, and costs. We currently source approximately 50% of our wafer requirements annually from third-party wafer fabrication foundries, primarily Taiwan Semiconductor Manufacturing Company, or TSMC</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In addition, these suppliers often provide manufacturing services to our competitors and therefore periods of increased industry demand may result in capacity constraints. In certain instances, the third-party supplier is the sole source of highly specialized processing services. If our suppliers are unable or unwilling to manufacture and deliver components to us on the time schedule and of the quality or quantity that we require or provide us with required manufacturing processes, we may be forced to seek to engage additional or replacement suppliers, which could result in additional expenses and delays in product development or shipment of product to our customers. If additional or replacement suppliers or manufacturing processes are not available, we may also experience delays in product development or shipment which could, in turn, result in the temporary or permanent loss of customers.</w:t>
      </w:r>
    </w:p>
    <w:p>
      <w:pPr>
        <w:spacing w:after="0" w:line="211"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The markets for semiconductor products are cyclical, and increased production may lead to overcapacity and lower prices, and conversely, we may not be able to satisfy unexpected demand for our products.</w:t>
      </w:r>
    </w:p>
    <w:p>
      <w:pPr>
        <w:spacing w:after="0" w:line="25" w:lineRule="exact"/>
        <w:rPr>
          <w:sz w:val="20"/>
          <w:szCs w:val="20"/>
          <w:color w:val="auto"/>
        </w:rPr>
      </w:pPr>
    </w:p>
    <w:p>
      <w:pPr>
        <w:ind w:right="140" w:firstLine="432"/>
        <w:spacing w:after="0" w:line="254" w:lineRule="auto"/>
        <w:rPr>
          <w:sz w:val="20"/>
          <w:szCs w:val="20"/>
          <w:color w:val="auto"/>
        </w:rPr>
      </w:pPr>
      <w:r>
        <w:rPr>
          <w:rFonts w:ascii="Times New Roman" w:cs="Times New Roman" w:eastAsia="Times New Roman" w:hAnsi="Times New Roman"/>
          <w:sz w:val="18"/>
          <w:szCs w:val="18"/>
          <w:color w:val="auto"/>
        </w:rPr>
        <w:t>The cyclical nature of the semiconductor industry has resulted in periods when demand for our products has increased or decreased rapidly. If we expand our operations and workforce too rapidly or procure excessive resources in anticipation of increased demand for our products, and that demand does not materialize at the pace at which we expect, or declines, or if we overbuild inventory in a period of decreased demand, our operating results may be adversely affected as a result of increased operating expenses, reduced margins, underutilization of capacity or asset impairment charges. These capacity expansions by us and other semiconductor manufacturers could also lead to overcapacity in our target markets which could lead to price erosion that would adversely impact our operating results. Conversely, during periods of rapid increases in demand, our available capacity may not be sufficient to satisfy the demand. In addition, we may not be able to expand our workforce and operations in a sufficiently timely manner, procure adequate resources and raw materials, or locate suitable third-party suppliers, to respond effectively to changes in demand for our existing products or to the demand for new products requested by our customers, and our current or future business could be materially and adversely affected.</w:t>
      </w: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661" w:right="279" w:bottom="1440" w:gutter="0" w:footer="0" w:header="0"/>
        </w:sectPr>
      </w:pPr>
    </w:p>
    <w:bookmarkStart w:id="39" w:name="page40"/>
    <w:bookmarkEnd w:id="39"/>
    <w:p>
      <w:pPr>
        <w:ind w:right="540"/>
        <w:spacing w:after="0" w:line="284" w:lineRule="auto"/>
        <w:rPr>
          <w:sz w:val="20"/>
          <w:szCs w:val="20"/>
          <w:color w:val="auto"/>
        </w:rPr>
      </w:pPr>
      <w:r>
        <w:rPr>
          <w:rFonts w:ascii="Times New Roman" w:cs="Times New Roman" w:eastAsia="Times New Roman" w:hAnsi="Times New Roman"/>
          <w:sz w:val="18"/>
          <w:szCs w:val="18"/>
          <w:i w:val="1"/>
          <w:iCs w:val="1"/>
          <w:color w:val="auto"/>
        </w:rPr>
        <w:t>Our semiconductor products are complex and we may be subject to product warranty and indemnity claims, which could result in significant costs and damage to our reputation and adversely affect the market acceptance of our products.</w:t>
      </w:r>
    </w:p>
    <w:p>
      <w:pPr>
        <w:spacing w:after="0" w:line="25" w:lineRule="exact"/>
        <w:rPr>
          <w:sz w:val="20"/>
          <w:szCs w:val="20"/>
          <w:color w:val="auto"/>
        </w:rPr>
      </w:pPr>
    </w:p>
    <w:p>
      <w:pPr>
        <w:ind w:right="80" w:firstLine="432"/>
        <w:spacing w:after="0" w:line="254" w:lineRule="auto"/>
        <w:rPr>
          <w:sz w:val="20"/>
          <w:szCs w:val="20"/>
          <w:color w:val="auto"/>
        </w:rPr>
      </w:pPr>
      <w:r>
        <w:rPr>
          <w:rFonts w:ascii="Times New Roman" w:cs="Times New Roman" w:eastAsia="Times New Roman" w:hAnsi="Times New Roman"/>
          <w:sz w:val="18"/>
          <w:szCs w:val="18"/>
          <w:color w:val="auto"/>
        </w:rPr>
        <w:t>Semiconductor products are highly complex and may contain defects when they are first introduced or as new versions are developed. We generally warrant our products to our customers for one year from the date title passes from us. We invest significant resources in the testing of our products; however, if any of our products contain defects, we may be required to incur additional development and remediation costs, pursuant to warranty and indemnification provisions in our customer contracts and purchase orders. These problems may divert our technical and other resources from other product development efforts and could result in claims against us by our customers or others, including liability for costs associated with product recalls, which may adversely impact our operating results. We may also be subject to customer indemnity claims. Our customers have on occasion been sued, and may in the future be sued, by third parties alleging infringement of intellectual property rights, or damages resulting from use of our products. Those customers may seek indemnification from us under the terms and conditions of our sales contracts with them. In certain cases, our potential indemnification liability may be significant. If any of our products contains defects, or has reliability, quality or compatibility problems, our reputation may be damaged, which could make it more difficult for us to sell our products to existing and prospective customers and could also adversely affect our operating results.</w:t>
      </w:r>
    </w:p>
    <w:p>
      <w:pPr>
        <w:spacing w:after="0" w:line="51"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operating results.</w:t>
      </w:r>
    </w:p>
    <w:p>
      <w:pPr>
        <w:spacing w:after="0" w:line="21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We are involved in frequent litigation, including claims regarding intellectual property rights, which could be costly to bring or defend and could require us to redesign products or pay significant royalties.</w:t>
      </w:r>
    </w:p>
    <w:p>
      <w:pPr>
        <w:spacing w:after="0" w:line="25" w:lineRule="exact"/>
        <w:rPr>
          <w:sz w:val="20"/>
          <w:szCs w:val="20"/>
          <w:color w:val="auto"/>
        </w:rPr>
      </w:pPr>
    </w:p>
    <w:p>
      <w:pPr>
        <w:ind w:right="80" w:firstLine="432"/>
        <w:spacing w:after="0" w:line="253" w:lineRule="auto"/>
        <w:rPr>
          <w:sz w:val="20"/>
          <w:szCs w:val="20"/>
          <w:color w:val="auto"/>
        </w:rPr>
      </w:pPr>
      <w:r>
        <w:rPr>
          <w:rFonts w:ascii="Times New Roman" w:cs="Times New Roman" w:eastAsia="Times New Roman" w:hAnsi="Times New Roman"/>
          <w:sz w:val="18"/>
          <w:szCs w:val="18"/>
          <w:color w:val="auto"/>
        </w:rPr>
        <w:t>The semiconductor industry is characterized by frequent claims and litigation involving patent and other intellectual property rights, including claims arising under our contractual obligations to indemnify our customers. Other companies or individuals have obtained patents covering a variety of semiconductor designs and processes, and we might be required to obtain licenses under some of these patents or be precluded from making and selling infringing products, if those patents are found to be valid and infringed by us.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also be subject to litigation or arbitration disputes arising under our contractual obligations, as well as indemnity, warranty or product liability claims that could lead to significant costs and expenses as we defend those claims or pay damage awards. There can be no assurance that we are adequately insured to protect against all claims and potential liabilities. We may incur costs and expenses relating to a recall of our customers’ products due to an alleged failure of components we supply. An adverse outcome in litigation or arbitration could have a material adverse effect on our financial position or on our operating results or cash flows in the period in which the dispute is resolved.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may be unable to adequately protect our proprietary intellectual property rights, which may limit our ability to compete effectively.</w:t>
      </w:r>
    </w:p>
    <w:p>
      <w:pPr>
        <w:spacing w:after="0" w:line="92"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Our future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intellectual property, it is possible that competitors or other unauthorized third parties may obtain, copy, use or disclose our technologies, products and processes. Moreover, the laws of foreign countries in which we design, manufacture, market and sell our products may afford little or no effective protection of our proprietary intellectual property.</w:t>
      </w:r>
    </w:p>
    <w:p>
      <w:pPr>
        <w:spacing w:after="0" w:line="130" w:lineRule="exact"/>
        <w:rPr>
          <w:sz w:val="20"/>
          <w:szCs w:val="20"/>
          <w:color w:val="auto"/>
        </w:rPr>
      </w:pPr>
    </w:p>
    <w:p>
      <w:pPr>
        <w:ind w:firstLine="432"/>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adequate protection. We may not be able to obtain foreign patents or pending applications corresponding to our U.S. patents and applications. Even if foreign patents are granted, effective enforcement in foreign countries may not be available. If our patents and mask works do not adequately protect our technology, our competitors may be able to offer products similar to ours. Our competitors may also be able to develop similar technology independently or design around our patents.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00"/>
          </w:cols>
          <w:pgMar w:left="240" w:top="821" w:right="259" w:bottom="1440" w:gutter="0" w:footer="0" w:header="0"/>
        </w:sectPr>
      </w:pPr>
    </w:p>
    <w:bookmarkStart w:id="40" w:name="page41"/>
    <w:bookmarkEnd w:id="40"/>
    <w:p>
      <w:pPr>
        <w:ind w:right="240" w:firstLine="432"/>
        <w:spacing w:after="0" w:line="258" w:lineRule="auto"/>
        <w:rPr>
          <w:sz w:val="20"/>
          <w:szCs w:val="20"/>
          <w:color w:val="auto"/>
        </w:rPr>
      </w:pPr>
      <w:r>
        <w:rPr>
          <w:rFonts w:ascii="Times New Roman" w:cs="Times New Roman" w:eastAsia="Times New Roman" w:hAnsi="Times New Roman"/>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or technology without our 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 significant disruption in, or breach in security of, our information technology systems could materially and adversely affect our business or reputation.</w:t>
      </w:r>
    </w:p>
    <w:p>
      <w:pPr>
        <w:spacing w:after="0" w:line="254" w:lineRule="exact"/>
        <w:rPr>
          <w:sz w:val="20"/>
          <w:szCs w:val="20"/>
          <w:color w:val="auto"/>
        </w:rPr>
      </w:pPr>
    </w:p>
    <w:p>
      <w:pPr>
        <w:ind w:right="80" w:firstLine="297"/>
        <w:spacing w:after="0" w:line="301" w:lineRule="auto"/>
        <w:rPr>
          <w:sz w:val="20"/>
          <w:szCs w:val="20"/>
          <w:color w:val="auto"/>
        </w:rPr>
      </w:pPr>
      <w:r>
        <w:rPr>
          <w:rFonts w:ascii="Times New Roman" w:cs="Times New Roman" w:eastAsia="Times New Roman" w:hAnsi="Times New Roman"/>
          <w:sz w:val="18"/>
          <w:szCs w:val="18"/>
          <w:color w:val="auto"/>
        </w:rPr>
        <w:t>We rely on information technology systems throughout our company to keep financial records and customer data, process orders, manage inventory, coordinate shipments to customers, maintain confidential and proprietary information, assist in semiconductor engineering and other technical activities and operate other critical functions such as internet connectivity, network communications and email. Our information technology systems may be susceptible to damage, disruptions or shutdowns due to power outages, hardware failures, telecommunication failures, user errors, catastrophes or other unforeseen events. If we were to experience a prolonged disruption in the information technology systems that involve our internal communications or our interactions with customers or suppliers, it could result in the loss of sales and customers and significant incremental costs, which could adversely affect our business. We may also be subject to security breaches caused by computer viruses, illegal break-ins or hacking, sabotage, or acts of vandalism by third parties. Our security measures or those of our third party service providers may not detect or prevent security breaches. In addition, we provide our confidential and proprietary information to our third-party business partners in certain cases where doing so is necessary to conduct our business. While we employ confidentiality agreements to protect such information, nonetheless those third parties may also be subject to security breaches or otherwise compromise the protection of such information. Security breaches of our information technology systems or those of our partners could result in the misappropriation or unauthorized disclosure of confidential and proprietary information belonging to us or to our employees, partners, customers or suppliers, which could result in our suffering significant financial or reputational damage.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If we do not retain our key personnel, our ability to execute our business strategy will be adversely affected.</w:t>
      </w:r>
    </w:p>
    <w:p>
      <w:pPr>
        <w:spacing w:after="0" w:line="92" w:lineRule="exact"/>
        <w:rPr>
          <w:sz w:val="20"/>
          <w:szCs w:val="20"/>
          <w:color w:val="auto"/>
        </w:rPr>
      </w:pPr>
    </w:p>
    <w:p>
      <w:pPr>
        <w:ind w:right="140" w:firstLine="432"/>
        <w:spacing w:after="0" w:line="258" w:lineRule="auto"/>
        <w:rPr>
          <w:sz w:val="20"/>
          <w:szCs w:val="20"/>
          <w:color w:val="auto"/>
        </w:rPr>
      </w:pPr>
      <w:r>
        <w:rPr>
          <w:rFonts w:ascii="Times New Roman" w:cs="Times New Roman" w:eastAsia="Times New Roman" w:hAnsi="Times New Roman"/>
          <w:sz w:val="18"/>
          <w:szCs w:val="18"/>
          <w:color w:val="auto"/>
        </w:rPr>
        <w:t>Our continued success depends to a significant extent upon the recruitment, retention and effective succession of our executive officers and key management and technical personnel, particularly our experienced engineers. The competition for these employees is intense. The loss of the services of one or more of our key personnel could have a material adverse effect on our operating results. In addition, there could be a material adverse effect on our business should the turnover rates for engineers and other key personnel increase significantly or if we are unable to continue to attract and retain qualified personnel. We do not maintain any key person life insurance policy on any of our officers or employees.</w:t>
      </w:r>
    </w:p>
    <w:p>
      <w:pPr>
        <w:spacing w:after="0" w:line="182" w:lineRule="exact"/>
        <w:rPr>
          <w:sz w:val="20"/>
          <w:szCs w:val="20"/>
          <w:color w:val="auto"/>
        </w:rPr>
      </w:pPr>
    </w:p>
    <w:p>
      <w:pPr>
        <w:ind w:right="200"/>
        <w:spacing w:after="0" w:line="284" w:lineRule="auto"/>
        <w:rPr>
          <w:sz w:val="20"/>
          <w:szCs w:val="20"/>
          <w:color w:val="auto"/>
        </w:rPr>
      </w:pPr>
      <w:r>
        <w:rPr>
          <w:rFonts w:ascii="Times New Roman" w:cs="Times New Roman" w:eastAsia="Times New Roman" w:hAnsi="Times New Roman"/>
          <w:sz w:val="18"/>
          <w:szCs w:val="18"/>
          <w:i w:val="1"/>
          <w:iCs w:val="1"/>
          <w:color w:val="auto"/>
        </w:rPr>
        <w:t>To remain competitive, we may need to invest in or acquire other companies, purchase or license technology from third parties, or enter into other strategic transactions in order to introduce new products or enhance our existing products.</w:t>
      </w:r>
    </w:p>
    <w:p>
      <w:pPr>
        <w:spacing w:after="0" w:line="2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An element of our business strategy involves expansion through the acquisitions of businesses, assets, products or technologies that allow us to complement our existing product offerings, diversify our product portfolio, expand our market coverage, increase our engineering workforce or enhance our technological capabilities. We may not be able to find businesses that have the technology or resources we need and, if we find such businesses, we may not be able to invest in, purchase or license the technology or resources on commercially favorable terms or at all. Acquisitions, investments and technology licenses are difficult to identify and complete for a number of reasons, including the cost of potential transactions, competition among prospective buyers and licensees, the need for regulatory approvals, and difficulties related to integration efforts. Both in the U.S. and abroad, governmental regulation of acquisitions has become more complex, increasing the costs and risks of undertaking significant acquisitions. In order to finance a potential transaction, we may need to raise additional funds by issuing securities or borrowing money. We may not be able to obtain financing on favorable terms, and the sale of our stock may result in the dilution of our existing shareholders or the issuance of securities with rights that are superior to the rights of our common shareholders.</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Acquisitions also involve a number of risks, including:</w:t>
      </w:r>
    </w:p>
    <w:p>
      <w:pPr>
        <w:spacing w:after="0" w:line="6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or delay integrating acquired technologies, operations and personnel with our existing businesses;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attention in connection with both negotiating the transaction and integrating the assets;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strain on managerial and operational resources as management tries to oversee larger or more complex operations;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funding requirements for acquired companies, which may be significant;</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loss of key employees;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742" w:right="239" w:bottom="1440" w:gutter="0" w:footer="0" w:header="0"/>
        </w:sectPr>
      </w:pPr>
    </w:p>
    <w:bookmarkStart w:id="41" w:name="page42"/>
    <w:bookmarkEnd w:id="41"/>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unforeseen liabilities of acquired companies; and</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costly and time-consuming litigation.</w:t>
      </w:r>
    </w:p>
    <w:p>
      <w:pPr>
        <w:spacing w:after="0" w:line="212"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address these risks, we may not realize some or all of the expected benefits of the acquisition, which may have an adverse effect on our business plans and operating results.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rely on supplies, services and manufacturing capacity located in geologically unstable areas, which could affect our ability to produce products.</w:t>
      </w:r>
    </w:p>
    <w:p>
      <w:pPr>
        <w:spacing w:after="0" w:line="92" w:lineRule="exact"/>
        <w:rPr>
          <w:sz w:val="20"/>
          <w:szCs w:val="20"/>
          <w:color w:val="auto"/>
        </w:rPr>
      </w:pPr>
    </w:p>
    <w:p>
      <w:pPr>
        <w:ind w:right="260" w:firstLine="432"/>
        <w:spacing w:after="0" w:line="255" w:lineRule="auto"/>
        <w:rPr>
          <w:sz w:val="20"/>
          <w:szCs w:val="20"/>
          <w:color w:val="auto"/>
        </w:rPr>
      </w:pPr>
      <w:r>
        <w:rPr>
          <w:rFonts w:ascii="Times New Roman" w:cs="Times New Roman" w:eastAsia="Times New Roman" w:hAnsi="Times New Roman"/>
          <w:sz w:val="18"/>
          <w:szCs w:val="18"/>
          <w:color w:val="auto"/>
        </w:rPr>
        <w:t>We, like many companies in the semiconductor industry, rely on supplies, services, internal manufacturing capacity, wafer fabrication foundries and other subcontractors in geologically unstable locations around the world. The impact of earthquakes, tsunamis, flooding or other natural disasters would disrupt local semiconductor-related businesses, and adversely affect manufacturing capacity, availability and cost of key raw materials, utilities and equipment, and availability of key services, including transport of our products worldwide. Our insurance may not adequately cover losses resulting from such disruptions. Any prolonged inability to utilize one of our manufacturing facilities, or those of our subcontractors or third-party wafer fabrication foundries, as a result of fire, flood, natural disaster, unavailability of utilities or otherwise, could result in a temporary or permanent loss of customers for affected products, which could have a material adverse effect on our results of operations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exposed to business, economic, political, legal, regulatory and other risks through our significant worldwide operations.</w:t>
      </w:r>
    </w:p>
    <w:p>
      <w:pPr>
        <w:spacing w:after="0" w:line="92"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8"/>
          <w:szCs w:val="18"/>
          <w:color w:val="auto"/>
        </w:rPr>
        <w:t>We have significant operations and manufacturing facilities outside the United States, including in Ireland and the Philippines. The majority of our revenue is derived from customers in international markets, and we expect that international sales will continue to account for a significant portion of our revenue in the future.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as well as high energy costs, could have an adverse impact on industrial and consumer spending patterns and could adversely impact demand for our products. At May 3, 2014, our principal source of liquidity was $4,807.2 million of cash and cash equivalents and short-term investments, of which approximately $1,287.2 million was held in the United States and the remaining balance was held outside the United States in various foreign subsidiaries. As we intend to reinvest our foreign earnings indefinitely, this cash held outside the United States is not readily available to meet our cash requirements in the United States. We require a substantial amount of cash in the United States for operating requirements, stock repurchases, cash dividends and acquisitions. If we are unable to address our U.S. cash requirements through operations, through borrowings under our current credit facility, through future debt or equity offerings or from other sources of cash obtained at an acceptable cost, it may be necessary for us to consider repatriation of earnings that are permanently reinvested, and we may be required to pay additional taxes under current tax laws, which could have a material effect on our results of operations and financial condition.</w:t>
      </w:r>
    </w:p>
    <w:p>
      <w:pPr>
        <w:spacing w:after="0" w:line="135"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Furthermore, in addition to being exposed to the ongoing economic cycles in the semiconductor industry, we are also subject to different business, economic and political risks inherent in international operations, including the risks associated with the recent crisis in global credit and financial markets, ongoing uncertainties and political and economic instability in many countries around the world, as well as economic disruption from acts of terrorism and the response to them by the United States and its allies. Other business risks associated with global operations include increased managerial complexities, air transportation disruptions, expropriation, currency controls, currency exchange rate movement, additional costs related to foreign taxes and tariffs, increases in labor and transportation costs, trade and travel restrictions, pandemics, import and export license requirements and customs restrictions, and accounts receivable collections.</w:t>
      </w:r>
    </w:p>
    <w:p>
      <w:pPr>
        <w:spacing w:after="0" w:line="13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17"/>
          <w:szCs w:val="17"/>
          <w:color w:val="auto"/>
        </w:rPr>
        <w:t>Additionally, as an international company, we are exposed to complex and varying government regulations and legal standards, particularly with respect to price protection, competition practices, export control regulations, customs and tax requirements, anti-boycott regulations, data privacy, intellectual property, anti-corruption and environmental compliance. Among other laws and regulations, we are subject to U.S. Customs and Export Regulations, including U.S. International Traffic and Arms Regulations and similar laws, which collectively control import, export and sale of products and technologies, and the Foreign Corrupt Practices Act and similar anti-bribery laws, which prohibit companies from making improper payments to government officials for the purposes of obtaining or retaining business. Compliance with these laws and regulations imposes costs on us that can reduce our profitability, and any failure to successfully comply could subject us to monetary liabilities and other sanctions that could further harm our business and financial condition.</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60"/>
          </w:cols>
          <w:pgMar w:left="240" w:top="634" w:right="299" w:bottom="1440" w:gutter="0" w:footer="0" w:header="0"/>
        </w:sectPr>
      </w:pPr>
    </w:p>
    <w:bookmarkStart w:id="42" w:name="page43"/>
    <w:bookmarkEnd w:id="42"/>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also incur significant costs associated with our foreign defined benefit pension plans. There can be no assurance that the value of the plan assets will be sufficient in the future and it is possible that we may be required to make higher cash contributions to the plans in future years, which would reduce the cash available for other business purposes.</w:t>
      </w:r>
    </w:p>
    <w:p>
      <w:pPr>
        <w:spacing w:after="0" w:line="122" w:lineRule="exact"/>
        <w:rPr>
          <w:sz w:val="20"/>
          <w:szCs w:val="20"/>
          <w:color w:val="auto"/>
        </w:rPr>
      </w:pPr>
    </w:p>
    <w:p>
      <w:pPr>
        <w:ind w:right="200" w:firstLine="432"/>
        <w:spacing w:after="0" w:line="256" w:lineRule="auto"/>
        <w:rPr>
          <w:sz w:val="20"/>
          <w:szCs w:val="20"/>
          <w:color w:val="auto"/>
        </w:rPr>
      </w:pPr>
      <w:r>
        <w:rPr>
          <w:rFonts w:ascii="Times New Roman" w:cs="Times New Roman" w:eastAsia="Times New Roman" w:hAnsi="Times New Roman"/>
          <w:sz w:val="18"/>
          <w:szCs w:val="18"/>
          <w:color w:val="auto"/>
        </w:rPr>
        <w:t>We expect to continue to expand our business and operations in China. Our success in the Chinese markets may be adversely affected by China’s continuously evolving laws and regulations, including those relating to taxation, import and export tariffs, currency controls, environmental regulations, indigenous innovation, and intellectual property rights and enforcement of those rights. Enforcement of existing laws or agreements may be inconsistent. In addition, changes in the political environment, governmental policies or U.S.-China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operating results are dependent on the performance of independent distributors.</w:t>
      </w:r>
    </w:p>
    <w:p>
      <w:pPr>
        <w:spacing w:after="0" w:line="92" w:lineRule="exact"/>
        <w:rPr>
          <w:sz w:val="20"/>
          <w:szCs w:val="20"/>
          <w:color w:val="auto"/>
        </w:rPr>
      </w:pPr>
    </w:p>
    <w:p>
      <w:pPr>
        <w:ind w:right="60" w:firstLine="432"/>
        <w:spacing w:after="0" w:line="256" w:lineRule="auto"/>
        <w:rPr>
          <w:sz w:val="20"/>
          <w:szCs w:val="20"/>
          <w:color w:val="auto"/>
        </w:rPr>
      </w:pPr>
      <w:r>
        <w:rPr>
          <w:rFonts w:ascii="Times New Roman" w:cs="Times New Roman" w:eastAsia="Times New Roman" w:hAnsi="Times New Roman"/>
          <w:sz w:val="18"/>
          <w:szCs w:val="18"/>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they could terminate their representation of us. We generally do not require letters of credit from our distributors and are not protected against accounts receivable default or declarations of bankruptcy by these distributors. Our inability to collect open accounts receivable could adversely affect our operating results. Termination of a significant distributor, whether at our initiative or the distributor’s initiative or through consolidation in the distribution industry, could disrupt our current business, and if we are unable to find suitable replacements, our operating results could be adversely affected.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 are subject to increasingly strict environmental, health and safety (EHS) regulations, which could increase our expenses and affect our operating results.</w:t>
      </w:r>
    </w:p>
    <w:p>
      <w:pPr>
        <w:spacing w:after="0" w:line="173"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industry is subject to increasingly strict EHS requirements, particularly those environmental requirements that control and restrict the sourcing, use, transportation, emission, discharge, storage and disposal of certain chemicals, minerals, elements and materials used or produced in the semiconductor manufacturing process. Public attention to environmental, sustainability and social responsibility concerns continues to increase, and our customers routinely include stringent environmental and other standards in their contracts with us. Changes in environmental laws or regulations may require us to invest in costly equipment or alter the way our products are made. In addition, we use hazardous and other regulated materials that subject us to risks of strict liability for damages caused by potential or actual releases of such materials. Any failure to control such materials adequately or to comply with statutory or regulatory standards or contractual obligations could result in liability for damages, penalties, and civil and criminal fines, and might damage our reputation, increase our expenses, and adversely affect our operating results.</w:t>
      </w:r>
    </w:p>
    <w:p>
      <w:pPr>
        <w:spacing w:after="0" w:line="131" w:lineRule="exact"/>
        <w:rPr>
          <w:sz w:val="20"/>
          <w:szCs w:val="20"/>
          <w:color w:val="auto"/>
        </w:rPr>
      </w:pPr>
    </w:p>
    <w:p>
      <w:pPr>
        <w:ind w:right="20" w:firstLine="432"/>
        <w:spacing w:after="0" w:line="253" w:lineRule="auto"/>
        <w:rPr>
          <w:sz w:val="20"/>
          <w:szCs w:val="20"/>
          <w:color w:val="auto"/>
        </w:rPr>
      </w:pPr>
      <w:r>
        <w:rPr>
          <w:rFonts w:ascii="Times New Roman" w:cs="Times New Roman" w:eastAsia="Times New Roman" w:hAnsi="Times New Roman"/>
          <w:sz w:val="18"/>
          <w:szCs w:val="18"/>
          <w:color w:val="auto"/>
        </w:rPr>
        <w:t>The new “conflict minerals” rules recently promulgated by the Securities and Exchange Commission could adversely affect the sourcing, supply and pricing of materials used in our products. 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U.S. Congress may pass federal greenhouse gas legislation in the future. The U.S.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 However, there is no assurance that the cost to comply with current or future EHS laws and regulations will not exceed our estimates or adversely affect our financial condition or results of operations. Additionally, any failure by us to comply with applicable EHS requirements or contractual obligations could result in penalties, civil and criminal fines, suspension of or changes to production, legal liability and damage to our reputation.</w:t>
      </w:r>
    </w:p>
    <w:p>
      <w:pPr>
        <w:spacing w:after="0" w:line="21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generate sufficient cash flow, we may not be able to service our debt obligations, including making payments on our outstanding senior unsecured notes.</w:t>
      </w:r>
    </w:p>
    <w:p>
      <w:pPr>
        <w:spacing w:after="0" w:line="25" w:lineRule="exact"/>
        <w:rPr>
          <w:sz w:val="20"/>
          <w:szCs w:val="20"/>
          <w:color w:val="auto"/>
        </w:rPr>
      </w:pPr>
    </w:p>
    <w:p>
      <w:pPr>
        <w:ind w:right="80" w:firstLine="432"/>
        <w:spacing w:after="0" w:line="281" w:lineRule="auto"/>
        <w:rPr>
          <w:sz w:val="20"/>
          <w:szCs w:val="20"/>
          <w:color w:val="auto"/>
        </w:rPr>
      </w:pPr>
      <w:r>
        <w:rPr>
          <w:rFonts w:ascii="Times New Roman" w:cs="Times New Roman" w:eastAsia="Times New Roman" w:hAnsi="Times New Roman"/>
          <w:sz w:val="17"/>
          <w:szCs w:val="17"/>
          <w:color w:val="auto"/>
        </w:rPr>
        <w:t>In April 2011, we issued in a public offering $375.0 million aggregate principal amount of 3.0% senior unsecured notes due April 15, 2016 (the 2016 Notes). In June 2013, we issued in a public offering $500.0 million aggregate principal amount of 2.875% senior unsecured notes due June 1, 2023 (the 2023 Notes and together with the 2016 Notes, the Notes). Our ability to make payments of principal and interest on our indebtedness when due depends upon our future performance, which will be subject to general economic conditions, industry cycles and financial, business and other factors affecting our consolidated</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742" w:right="239" w:bottom="1440" w:gutter="0" w:footer="0" w:header="0"/>
        </w:sectPr>
      </w:pPr>
    </w:p>
    <w:bookmarkStart w:id="43" w:name="page44"/>
    <w:bookmarkEnd w:id="43"/>
    <w:p>
      <w:pPr>
        <w:ind w:right="200"/>
        <w:spacing w:after="0" w:line="281" w:lineRule="auto"/>
        <w:rPr>
          <w:sz w:val="20"/>
          <w:szCs w:val="20"/>
          <w:color w:val="auto"/>
        </w:rPr>
      </w:pPr>
      <w:r>
        <w:rPr>
          <w:rFonts w:ascii="Times New Roman" w:cs="Times New Roman" w:eastAsia="Times New Roman" w:hAnsi="Times New Roman"/>
          <w:sz w:val="18"/>
          <w:szCs w:val="18"/>
          <w:color w:val="auto"/>
        </w:rPr>
        <w:t>operations, many of which are beyond our control. If we are unable to generate sufficient cash flow from operations in the future to service our outstanding debt, we may be required to, among other things:</w:t>
      </w:r>
    </w:p>
    <w:p>
      <w:pPr>
        <w:spacing w:after="0" w:line="2" w:lineRule="exact"/>
        <w:rPr>
          <w:sz w:val="20"/>
          <w:szCs w:val="20"/>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financing in the debt or equity markets;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refinance or restructure all or a portion of our indebtedness, including the Notes;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 under our existing revolving credit facility;</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 funds that would otherwise be invested in our operations;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selected assets; or</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delay planned capital expenditures or operating expenditures.</w:t>
      </w:r>
    </w:p>
    <w:p>
      <w:pPr>
        <w:spacing w:after="0" w:line="212"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Such measures might not be sufficient to enable us to service our debt, including the Notes, which could negatively impact our financial results. In addition, any such financing, refinancing or sale of assets might not be possible on economically favorable terms.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in our revolving credit facility and outstanding debt instruments may limit our activities.</w:t>
      </w:r>
    </w:p>
    <w:p>
      <w:pPr>
        <w:spacing w:after="0" w:line="92"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Our current revolving credit facility and our outstanding senior unsecured notes impose, and future debt instruments to which we may become subject may impose, restrictions that limit our ability to engage in activities that could otherwise benefit our company, including to undertake certain transactions, to create certain liens on our assets and to incur certain subsidiary indebtedness. Our ability to comply with these financial restrictions and covenants is dependent on our future performance, which is subject to prevailing economic conditions and other factors, including factors that are beyond our control such as foreign exchange rates, interest rates, changes in technology and changes in the level of competition. In addition, our revolving credit facility requires us to maintain compliance with specified financial ratios. If we breach any of the covenants under our revolving credit facility or the indenture governing our outstanding notes and do not obtain appropriate waivers, then, subject to applicable cure periods, our outstanding indebtedness thereunder could be declared immediately due and payable or we may be restricted from further borrowing under our credit facility.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Our stock price may be volatile.</w:t>
      </w:r>
    </w:p>
    <w:p>
      <w:pPr>
        <w:spacing w:after="0" w:line="92" w:lineRule="exact"/>
        <w:rPr>
          <w:sz w:val="20"/>
          <w:szCs w:val="20"/>
          <w:color w:val="auto"/>
        </w:rPr>
      </w:pPr>
    </w:p>
    <w:p>
      <w:pPr>
        <w:ind w:right="420" w:firstLine="432"/>
        <w:spacing w:after="0" w:line="281" w:lineRule="auto"/>
        <w:rPr>
          <w:sz w:val="20"/>
          <w:szCs w:val="20"/>
          <w:color w:val="auto"/>
        </w:rPr>
      </w:pPr>
      <w:r>
        <w:rPr>
          <w:rFonts w:ascii="Times New Roman" w:cs="Times New Roman" w:eastAsia="Times New Roman" w:hAnsi="Times New Roman"/>
          <w:sz w:val="18"/>
          <w:szCs w:val="18"/>
          <w:color w:val="auto"/>
        </w:rPr>
        <w:t>The market price of our common stock has been volatile in the past and may be volatile in the future, as it may be significantly affected by factors including:</w:t>
      </w:r>
    </w:p>
    <w:p>
      <w:pPr>
        <w:spacing w:after="0" w:line="2" w:lineRule="exact"/>
        <w:rPr>
          <w:sz w:val="20"/>
          <w:szCs w:val="20"/>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crises in global credit, debt and financial markets;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operating results;</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 or our failure to perform in line with those estimates or our published guidance;</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other semiconductor companies;</w:t>
      </w:r>
    </w:p>
    <w:p>
      <w:pPr>
        <w:spacing w:after="0" w:line="103" w:lineRule="exact"/>
        <w:rPr>
          <w:rFonts w:ascii="Times New Roman" w:cs="Times New Roman" w:eastAsia="Times New Roman" w:hAnsi="Times New Roman"/>
          <w:sz w:val="18"/>
          <w:szCs w:val="18"/>
          <w:color w:val="auto"/>
        </w:rPr>
      </w:pPr>
    </w:p>
    <w:p>
      <w:pPr>
        <w:ind w:left="660" w:right="480" w:hanging="247"/>
        <w:spacing w:after="0" w:line="36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new products, technical innovations, material transactions, acquisitions or dispositions, litigation or capital commitments;</w:t>
      </w: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departures of key personnel;</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noncompliance with laws, regulations or ethics standards by us or any of our employees, officers or directors; and</w:t>
      </w:r>
    </w:p>
    <w:p>
      <w:pPr>
        <w:spacing w:after="0" w:line="103"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publicity targeting us or our suppliers, customers or competitors.</w:t>
      </w:r>
    </w:p>
    <w:p>
      <w:pPr>
        <w:spacing w:after="0" w:line="212"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08"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directors and executive officers periodically sell shares of our common stock in the market, including pursuant to Rule 10b5-1 trading plans. Regardless of the individual's reasons for such sales, securities analysts and investors could view such sales as a negative indicator and our stock price could be adversely affected as a result.</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661" w:right="27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8"/>
        </w:trPr>
        <w:tc>
          <w:tcPr>
            <w:tcW w:w="12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6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Unregistered Sales of Equity Securities and Use of Proceeds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26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center"/>
              <w:ind w:right="121"/>
              <w:spacing w:after="0" w:line="149"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95"/>
        </w:trPr>
        <w:tc>
          <w:tcPr>
            <w:tcW w:w="1240" w:type="dxa"/>
            <w:vAlign w:val="bottom"/>
            <w:tcBorders>
              <w:bottom w:val="single" w:sz="8" w:color="CCEEFF"/>
            </w:tcBorders>
          </w:tcPr>
          <w:p>
            <w:pPr>
              <w:spacing w:after="0"/>
              <w:rPr>
                <w:sz w:val="16"/>
                <w:szCs w:val="16"/>
                <w:color w:val="auto"/>
              </w:rPr>
            </w:pPr>
          </w:p>
        </w:tc>
        <w:tc>
          <w:tcPr>
            <w:tcW w:w="2660" w:type="dxa"/>
            <w:vAlign w:val="bottom"/>
            <w:tcBorders>
              <w:bottom w:val="single" w:sz="8" w:color="CCEEFF"/>
            </w:tcBorders>
            <w:vMerge w:val="continue"/>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Paid Per Share (b)</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 (c)</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 2014 through</w:t>
            </w:r>
          </w:p>
        </w:tc>
        <w:tc>
          <w:tcPr>
            <w:tcW w:w="18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295,963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shd w:val="clear" w:color="auto" w:fill="CCEEFF"/>
          </w:tcPr>
          <w:p>
            <w:pPr>
              <w:spacing w:after="0"/>
              <w:rPr>
                <w:sz w:val="18"/>
                <w:szCs w:val="18"/>
                <w:color w:val="auto"/>
              </w:rPr>
            </w:pPr>
          </w:p>
        </w:tc>
        <w:tc>
          <w:tcPr>
            <w:tcW w:w="18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291,800</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999,364,251</w:t>
            </w:r>
          </w:p>
        </w:tc>
        <w:tc>
          <w:tcPr>
            <w:tcW w:w="0" w:type="dxa"/>
            <w:vAlign w:val="bottom"/>
          </w:tcPr>
          <w:p>
            <w:pPr>
              <w:spacing w:after="0"/>
              <w:rPr>
                <w:sz w:val="1"/>
                <w:szCs w:val="1"/>
                <w:color w:val="auto"/>
              </w:rPr>
            </w:pPr>
          </w:p>
        </w:tc>
      </w:tr>
      <w:tr>
        <w:trPr>
          <w:trHeight w:val="126"/>
        </w:trPr>
        <w:tc>
          <w:tcPr>
            <w:tcW w:w="1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1, 2014</w:t>
            </w:r>
          </w:p>
        </w:tc>
        <w:tc>
          <w:tcPr>
            <w:tcW w:w="266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240" w:type="dxa"/>
            <w:vAlign w:val="bottom"/>
            <w:tcBorders>
              <w:bottom w:val="single" w:sz="8" w:color="CCEEFF"/>
            </w:tcBorders>
            <w:vMerge w:val="continue"/>
            <w:shd w:val="clear" w:color="auto" w:fill="CCEEFF"/>
          </w:tcPr>
          <w:p>
            <w:pPr>
              <w:spacing w:after="0"/>
              <w:rPr>
                <w:sz w:val="10"/>
                <w:szCs w:val="10"/>
                <w:color w:val="auto"/>
              </w:rPr>
            </w:pPr>
          </w:p>
        </w:tc>
        <w:tc>
          <w:tcPr>
            <w:tcW w:w="2660" w:type="dxa"/>
            <w:vAlign w:val="bottom"/>
            <w:tcBorders>
              <w:bottom w:val="single" w:sz="8" w:color="CCEEFF"/>
            </w:tcBorders>
            <w:shd w:val="clear" w:color="auto" w:fill="CCEEFF"/>
          </w:tcPr>
          <w:p>
            <w:pPr>
              <w:spacing w:after="0"/>
              <w:rPr>
                <w:sz w:val="10"/>
                <w:szCs w:val="10"/>
                <w:color w:val="auto"/>
              </w:rPr>
            </w:pPr>
          </w:p>
        </w:tc>
        <w:tc>
          <w:tcPr>
            <w:tcW w:w="18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0" w:type="dxa"/>
            <w:vAlign w:val="bottom"/>
            <w:tcBorders>
              <w:bottom w:val="single" w:sz="8" w:color="CCEEFF"/>
            </w:tcBorders>
            <w:shd w:val="clear" w:color="auto" w:fill="CCEEFF"/>
          </w:tcPr>
          <w:p>
            <w:pPr>
              <w:spacing w:after="0"/>
              <w:rPr>
                <w:sz w:val="10"/>
                <w:szCs w:val="10"/>
                <w:color w:val="auto"/>
              </w:rPr>
            </w:pPr>
          </w:p>
        </w:tc>
        <w:tc>
          <w:tcPr>
            <w:tcW w:w="15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180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1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5"/>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2, 2014 through</w:t>
            </w:r>
          </w:p>
        </w:tc>
        <w:tc>
          <w:tcPr>
            <w:tcW w:w="1840" w:type="dxa"/>
            <w:vAlign w:val="bottom"/>
            <w:vMerge w:val="restart"/>
          </w:tcPr>
          <w:p>
            <w:pPr>
              <w:jc w:val="right"/>
              <w:ind w:right="38"/>
              <w:spacing w:after="0"/>
              <w:rPr>
                <w:sz w:val="20"/>
                <w:szCs w:val="20"/>
                <w:color w:val="auto"/>
              </w:rPr>
            </w:pPr>
            <w:r>
              <w:rPr>
                <w:rFonts w:ascii="Times New Roman" w:cs="Times New Roman" w:eastAsia="Times New Roman" w:hAnsi="Times New Roman"/>
                <w:sz w:val="18"/>
                <w:szCs w:val="18"/>
                <w:color w:val="auto"/>
              </w:rPr>
              <w:t>706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tcPr>
          <w:p>
            <w:pPr>
              <w:jc w:val="right"/>
              <w:ind w:right="36"/>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19"/>
                <w:szCs w:val="19"/>
                <w:color w:val="auto"/>
              </w:rPr>
            </w:pPr>
          </w:p>
        </w:tc>
        <w:tc>
          <w:tcPr>
            <w:tcW w:w="1800" w:type="dxa"/>
            <w:vAlign w:val="bottom"/>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tcPr>
          <w:p>
            <w:pPr>
              <w:jc w:val="right"/>
              <w:ind w:right="21"/>
              <w:spacing w:after="0"/>
              <w:rPr>
                <w:sz w:val="20"/>
                <w:szCs w:val="20"/>
                <w:color w:val="auto"/>
              </w:rPr>
            </w:pPr>
            <w:r>
              <w:rPr>
                <w:rFonts w:ascii="Times New Roman" w:cs="Times New Roman" w:eastAsia="Times New Roman" w:hAnsi="Times New Roman"/>
                <w:sz w:val="18"/>
                <w:szCs w:val="18"/>
                <w:color w:val="auto"/>
              </w:rPr>
              <w:t>999,364,251</w:t>
            </w:r>
          </w:p>
        </w:tc>
        <w:tc>
          <w:tcPr>
            <w:tcW w:w="0" w:type="dxa"/>
            <w:vAlign w:val="bottom"/>
          </w:tcPr>
          <w:p>
            <w:pPr>
              <w:spacing w:after="0"/>
              <w:rPr>
                <w:sz w:val="1"/>
                <w:szCs w:val="1"/>
                <w:color w:val="auto"/>
              </w:rPr>
            </w:pPr>
          </w:p>
        </w:tc>
      </w:tr>
      <w:tr>
        <w:trPr>
          <w:trHeight w:val="126"/>
        </w:trPr>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March 29, 2014</w:t>
            </w:r>
          </w:p>
        </w:tc>
        <w:tc>
          <w:tcPr>
            <w:tcW w:w="2660" w:type="dxa"/>
            <w:vAlign w:val="bottom"/>
          </w:tcPr>
          <w:p>
            <w:pPr>
              <w:spacing w:after="0"/>
              <w:rPr>
                <w:sz w:val="10"/>
                <w:szCs w:val="10"/>
                <w:color w:val="auto"/>
              </w:rPr>
            </w:pPr>
          </w:p>
        </w:tc>
        <w:tc>
          <w:tcPr>
            <w:tcW w:w="18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0" w:type="dxa"/>
            <w:vAlign w:val="bottom"/>
            <w:vMerge w:val="continue"/>
          </w:tcPr>
          <w:p>
            <w:pPr>
              <w:spacing w:after="0"/>
              <w:rPr>
                <w:sz w:val="10"/>
                <w:szCs w:val="10"/>
                <w:color w:val="auto"/>
              </w:rPr>
            </w:pPr>
          </w:p>
        </w:tc>
        <w:tc>
          <w:tcPr>
            <w:tcW w:w="320" w:type="dxa"/>
            <w:vAlign w:val="bottom"/>
            <w:gridSpan w:val="2"/>
            <w:vMerge w:val="continue"/>
          </w:tcPr>
          <w:p>
            <w:pPr>
              <w:spacing w:after="0"/>
              <w:rPr>
                <w:sz w:val="10"/>
                <w:szCs w:val="10"/>
                <w:color w:val="auto"/>
              </w:rPr>
            </w:pPr>
          </w:p>
        </w:tc>
        <w:tc>
          <w:tcPr>
            <w:tcW w:w="1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26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900" w:type="dxa"/>
            <w:vAlign w:val="bottom"/>
            <w:gridSpan w:val="2"/>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March 30, 2014 through</w:t>
            </w:r>
          </w:p>
        </w:tc>
        <w:tc>
          <w:tcPr>
            <w:tcW w:w="1840" w:type="dxa"/>
            <w:vAlign w:val="bottom"/>
            <w:vMerge w:val="restart"/>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163,545</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51.18</w:t>
            </w:r>
          </w:p>
        </w:tc>
        <w:tc>
          <w:tcPr>
            <w:tcW w:w="100" w:type="dxa"/>
            <w:vAlign w:val="bottom"/>
            <w:shd w:val="clear" w:color="auto" w:fill="CCEEFF"/>
          </w:tcPr>
          <w:p>
            <w:pPr>
              <w:spacing w:after="0"/>
              <w:rPr>
                <w:sz w:val="19"/>
                <w:szCs w:val="19"/>
                <w:color w:val="auto"/>
              </w:rPr>
            </w:pPr>
          </w:p>
        </w:tc>
        <w:tc>
          <w:tcPr>
            <w:tcW w:w="1800" w:type="dxa"/>
            <w:vAlign w:val="bottom"/>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162,651</w:t>
            </w:r>
          </w:p>
        </w:tc>
        <w:tc>
          <w:tcPr>
            <w:tcW w:w="32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991,040,975</w:t>
            </w:r>
          </w:p>
        </w:tc>
        <w:tc>
          <w:tcPr>
            <w:tcW w:w="0" w:type="dxa"/>
            <w:vAlign w:val="bottom"/>
          </w:tcPr>
          <w:p>
            <w:pPr>
              <w:spacing w:after="0"/>
              <w:rPr>
                <w:sz w:val="1"/>
                <w:szCs w:val="1"/>
                <w:color w:val="auto"/>
              </w:rPr>
            </w:pPr>
          </w:p>
        </w:tc>
      </w:tr>
      <w:tr>
        <w:trPr>
          <w:trHeight w:val="126"/>
        </w:trPr>
        <w:tc>
          <w:tcPr>
            <w:tcW w:w="12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May 3, 2014</w:t>
            </w:r>
          </w:p>
        </w:tc>
        <w:tc>
          <w:tcPr>
            <w:tcW w:w="2660" w:type="dxa"/>
            <w:vAlign w:val="bottom"/>
            <w:shd w:val="clear" w:color="auto" w:fill="CCEEFF"/>
          </w:tcPr>
          <w:p>
            <w:pPr>
              <w:spacing w:after="0"/>
              <w:rPr>
                <w:sz w:val="10"/>
                <w:szCs w:val="10"/>
                <w:color w:val="auto"/>
              </w:rPr>
            </w:pPr>
          </w:p>
        </w:tc>
        <w:tc>
          <w:tcPr>
            <w:tcW w:w="18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vMerge w:val="continue"/>
            <w:shd w:val="clear" w:color="auto" w:fill="CCEEFF"/>
          </w:tcPr>
          <w:p>
            <w:pPr>
              <w:spacing w:after="0"/>
              <w:rPr>
                <w:sz w:val="10"/>
                <w:szCs w:val="10"/>
                <w:color w:val="auto"/>
              </w:rPr>
            </w:pPr>
          </w:p>
        </w:tc>
        <w:tc>
          <w:tcPr>
            <w:tcW w:w="15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0" w:type="dxa"/>
            <w:vAlign w:val="bottom"/>
            <w:vMerge w:val="continue"/>
            <w:shd w:val="clear" w:color="auto" w:fill="CCEEFF"/>
          </w:tcPr>
          <w:p>
            <w:pPr>
              <w:spacing w:after="0"/>
              <w:rPr>
                <w:sz w:val="10"/>
                <w:szCs w:val="10"/>
                <w:color w:val="auto"/>
              </w:rPr>
            </w:pPr>
          </w:p>
        </w:tc>
        <w:tc>
          <w:tcPr>
            <w:tcW w:w="320" w:type="dxa"/>
            <w:vAlign w:val="bottom"/>
            <w:gridSpan w:val="2"/>
            <w:vMerge w:val="continue"/>
            <w:shd w:val="clear" w:color="auto" w:fill="CCEEFF"/>
          </w:tcPr>
          <w:p>
            <w:pPr>
              <w:spacing w:after="0"/>
              <w:rPr>
                <w:sz w:val="10"/>
                <w:szCs w:val="10"/>
                <w:color w:val="auto"/>
              </w:rPr>
            </w:pPr>
          </w:p>
        </w:tc>
        <w:tc>
          <w:tcPr>
            <w:tcW w:w="1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40" w:type="dxa"/>
            <w:vAlign w:val="bottom"/>
            <w:tcBorders>
              <w:bottom w:val="single" w:sz="8" w:color="CCEEFF"/>
            </w:tcBorders>
            <w:vMerge w:val="continue"/>
            <w:shd w:val="clear" w:color="auto" w:fill="CCEEFF"/>
          </w:tcPr>
          <w:p>
            <w:pPr>
              <w:spacing w:after="0"/>
              <w:rPr>
                <w:sz w:val="11"/>
                <w:szCs w:val="11"/>
                <w:color w:val="auto"/>
              </w:rPr>
            </w:pPr>
          </w:p>
        </w:tc>
        <w:tc>
          <w:tcPr>
            <w:tcW w:w="2660" w:type="dxa"/>
            <w:vAlign w:val="bottom"/>
            <w:tcBorders>
              <w:bottom w:val="single" w:sz="8" w:color="CCEEFF"/>
            </w:tcBorders>
            <w:shd w:val="clear" w:color="auto" w:fill="CCEEFF"/>
          </w:tcPr>
          <w:p>
            <w:pPr>
              <w:spacing w:after="0"/>
              <w:rPr>
                <w:sz w:val="11"/>
                <w:szCs w:val="11"/>
                <w:color w:val="auto"/>
              </w:rPr>
            </w:pPr>
          </w:p>
        </w:tc>
        <w:tc>
          <w:tcPr>
            <w:tcW w:w="18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CCEEFF"/>
            </w:tcBorders>
            <w:shd w:val="clear" w:color="auto" w:fill="CCEEFF"/>
          </w:tcPr>
          <w:p>
            <w:pPr>
              <w:spacing w:after="0"/>
              <w:rPr>
                <w:sz w:val="11"/>
                <w:szCs w:val="11"/>
                <w:color w:val="auto"/>
              </w:rPr>
            </w:pPr>
          </w:p>
        </w:tc>
        <w:tc>
          <w:tcPr>
            <w:tcW w:w="15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8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240" w:type="dxa"/>
            <w:vAlign w:val="bottom"/>
          </w:tcPr>
          <w:p>
            <w:pPr>
              <w:spacing w:after="0"/>
              <w:rPr>
                <w:sz w:val="20"/>
                <w:szCs w:val="20"/>
                <w:color w:val="auto"/>
              </w:rPr>
            </w:pPr>
          </w:p>
        </w:tc>
        <w:tc>
          <w:tcPr>
            <w:tcW w:w="2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w:t>
            </w:r>
          </w:p>
        </w:tc>
        <w:tc>
          <w:tcPr>
            <w:tcW w:w="184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460,214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49.14</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454,451</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991,040,975</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580" w:hanging="328"/>
        <w:spacing w:after="0" w:line="261"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5,763 shares withheld by us from employees to satisfy employee tax obligations upon vesting of restricted stock units granted to our employees under our equity compensation plans.</w:t>
      </w:r>
    </w:p>
    <w:p>
      <w:pPr>
        <w:ind w:left="66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of stock repurchased under the stock repurchase program includes the commissions paid to the brokers. The average price paid for shares in connection with vesting of restricted stock are averages of the closing stock price at the vesting date which is used to calculate the number of shares to be withheld.</w:t>
      </w:r>
    </w:p>
    <w:p>
      <w:pPr>
        <w:spacing w:after="0" w:line="1" w:lineRule="exact"/>
        <w:rPr>
          <w:rFonts w:ascii="Times New Roman" w:cs="Times New Roman" w:eastAsia="Times New Roman" w:hAnsi="Times New Roman"/>
          <w:sz w:val="18"/>
          <w:szCs w:val="18"/>
          <w:color w:val="auto"/>
        </w:rPr>
      </w:pPr>
    </w:p>
    <w:p>
      <w:pPr>
        <w:ind w:left="660" w:right="20" w:hanging="328"/>
        <w:spacing w:after="0" w:line="271" w:lineRule="auto"/>
        <w:tabs>
          <w:tab w:leader="none" w:pos="66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repurchased pursuant to the stock repurchase program publicly announced on August 12, 2004. On February 17, 2014, our Board of Directors authorized the repurchase by us of an additional $570.0 million of our common stock, increasing the total amount of our common stock that we are authorized to repurchase under the program to $5.6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333" w:lineRule="exact"/>
        <w:rPr>
          <w:sz w:val="20"/>
          <w:szCs w:val="20"/>
          <w:color w:val="auto"/>
        </w:rPr>
      </w:pPr>
    </w:p>
    <w:p>
      <w:pPr>
        <w:ind w:left="4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exhibits listed in the Exhibit Index immediately preceding the exhibits are filed as part of this Quarterly Report on Form 10-Q and such Exhibit Index is incorporated herein by reference.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738" w:right="239" w:bottom="1440" w:gutter="0" w:footer="0" w:header="0"/>
        </w:sectPr>
      </w:pPr>
    </w:p>
    <w:bookmarkStart w:id="45" w:name="page46"/>
    <w:bookmarkEnd w:id="45"/>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794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59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2014</w:t>
            </w:r>
          </w:p>
        </w:tc>
        <w:tc>
          <w:tcPr>
            <w:tcW w:w="21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INCENT</w:t>
            </w:r>
            <w:r>
              <w:rPr>
                <w:rFonts w:ascii="Times New Roman" w:cs="Times New Roman" w:eastAsia="Times New Roman" w:hAnsi="Times New Roman"/>
                <w:sz w:val="18"/>
                <w:szCs w:val="18"/>
                <w:color w:val="auto"/>
              </w:rPr>
              <w:t xml:space="preserve"> T. R</w:t>
            </w:r>
            <w:r>
              <w:rPr>
                <w:rFonts w:ascii="Times New Roman" w:cs="Times New Roman" w:eastAsia="Times New Roman" w:hAnsi="Times New Roman"/>
                <w:sz w:val="14"/>
                <w:szCs w:val="14"/>
                <w:color w:val="auto"/>
              </w:rPr>
              <w:t>OCHE</w:t>
            </w:r>
          </w:p>
        </w:tc>
      </w:tr>
      <w:tr>
        <w:trPr>
          <w:trHeight w:val="27"/>
        </w:trPr>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Vincent T. Roche</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10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9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May 20, 2014</w:t>
            </w:r>
          </w:p>
        </w:tc>
        <w:tc>
          <w:tcPr>
            <w:tcW w:w="21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By:</w:t>
            </w: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AVID</w:t>
            </w:r>
            <w:r>
              <w:rPr>
                <w:rFonts w:ascii="Times New Roman" w:cs="Times New Roman" w:eastAsia="Times New Roman" w:hAnsi="Times New Roman"/>
                <w:sz w:val="18"/>
                <w:szCs w:val="18"/>
                <w:color w:val="auto"/>
              </w:rPr>
              <w:t xml:space="preserve"> A. Z</w:t>
            </w:r>
            <w:r>
              <w:rPr>
                <w:rFonts w:ascii="Times New Roman" w:cs="Times New Roman" w:eastAsia="Times New Roman" w:hAnsi="Times New Roman"/>
                <w:sz w:val="14"/>
                <w:szCs w:val="14"/>
                <w:color w:val="auto"/>
              </w:rPr>
              <w:t>INSNER</w:t>
            </w:r>
          </w:p>
        </w:tc>
      </w:tr>
      <w:tr>
        <w:trPr>
          <w:trHeight w:val="27"/>
        </w:trPr>
        <w:tc>
          <w:tcPr>
            <w:tcW w:w="3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576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David A. Zinsner</w:t>
            </w:r>
          </w:p>
        </w:tc>
      </w:tr>
    </w:tbl>
    <w:p>
      <w:pPr>
        <w:spacing w:after="0" w:line="3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80"/>
          </w:cols>
          <w:pgMar w:left="240" w:top="576" w:right="579" w:bottom="1440" w:gutter="0" w:footer="0" w:header="0"/>
        </w:sectPr>
      </w:pPr>
    </w:p>
    <w:bookmarkStart w:id="46" w:name="page47"/>
    <w:bookmarkEnd w:id="46"/>
    <w:tbl>
      <w:tblPr>
        <w:tblLayout w:type="fixed"/>
        <w:tblInd w:w="4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40" w:type="dxa"/>
            <w:vAlign w:val="bottom"/>
          </w:tcPr>
          <w:p>
            <w:pPr>
              <w:ind w:left="34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540" w:type="dxa"/>
            <w:vAlign w:val="bottom"/>
          </w:tcPr>
          <w:p>
            <w:pPr>
              <w:spacing w:after="0"/>
              <w:rPr>
                <w:sz w:val="24"/>
                <w:szCs w:val="24"/>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45"/>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31.1†</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Certification Pursuant to Rule 13a-14(a) and 15d-14(a) of the Securities Exchange Act, as Adopted Pursuant to</w:t>
            </w:r>
          </w:p>
        </w:tc>
      </w:t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 of the Sarbanes-Oxley Act of 2002 (Chief Executive Officer).</w:t>
            </w:r>
          </w:p>
        </w:tc>
      </w:tr>
      <w:tr>
        <w:trPr>
          <w:trHeight w:val="252"/>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31.2†</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Certification Pursuant to Rule 13a-14(a) and 15d-14(a) of the Securities Exchange Act, as Adopted Pursuant to</w:t>
            </w:r>
          </w:p>
        </w:tc>
      </w:tr>
      <w:tr>
        <w:trPr>
          <w:trHeight w:val="234"/>
        </w:trPr>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Section 302 of the Sarbanes-Oxley Act of 2002 (Chief Financial Officer).</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32.1†</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Pursuant to 18 U.S.C. Section 1350 (Chief Executive Officer).</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32.2†</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Certification Pursuant to 18 U.S.C. Section 1350 (Chief Financial Officer).</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101.INS</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101.SCH</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101.CAL</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101.LAB</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101.PRE</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270"/>
        </w:trPr>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101.DEF</w:t>
            </w:r>
          </w:p>
        </w:tc>
        <w:tc>
          <w:tcPr>
            <w:tcW w:w="8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36" w:lineRule="exact"/>
        <w:rPr>
          <w:sz w:val="20"/>
          <w:szCs w:val="20"/>
          <w:color w:val="auto"/>
        </w:rPr>
      </w:pPr>
    </w:p>
    <w:p>
      <w:pPr>
        <w:ind w:left="1620" w:hanging="1076"/>
        <w:spacing w:after="0"/>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or furnished herewith.</w:t>
      </w:r>
    </w:p>
    <w:p>
      <w:pPr>
        <w:spacing w:after="0" w:line="63" w:lineRule="exact"/>
        <w:rPr>
          <w:sz w:val="20"/>
          <w:szCs w:val="20"/>
          <w:color w:val="auto"/>
        </w:rPr>
      </w:pPr>
    </w:p>
    <w:p>
      <w:pPr>
        <w:ind w:left="1620" w:hanging="1121"/>
        <w:spacing w:after="0"/>
        <w:tabs>
          <w:tab w:leader="none" w:pos="1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198"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Attached as Exhibit 101 to this report are the following formatted in XBRL (Extensible Business Reporting Language): (i) Condensed Consolidated Statements of Income for the three and six months ended May 3, 2014 and May 4, 2013, (ii) Condensed Consolidated Statements of Comprehensive Income for the three and six months ended May 3, 2014 and May 4, 2013, (iii) Condensed Consolidated Balance Sheets at May 3, 2014 and November 2, 2013,</w:t>
      </w:r>
    </w:p>
    <w:p>
      <w:pPr>
        <w:spacing w:after="0" w:line="2" w:lineRule="exact"/>
        <w:rPr>
          <w:sz w:val="20"/>
          <w:szCs w:val="20"/>
          <w:color w:val="auto"/>
        </w:rPr>
      </w:pPr>
    </w:p>
    <w:p>
      <w:pPr>
        <w:ind w:right="160" w:firstLine="8"/>
        <w:spacing w:after="0" w:line="261" w:lineRule="auto"/>
        <w:tabs>
          <w:tab w:leader="none" w:pos="30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Condensed Consolidated Statements of Cash Flows for the six months ended May 3, 2014 and May 4, 2013 and (v) Notes to Condensed Consolidated Financial Statements for the three and six months ended May 3, 2014.</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80"/>
          </w:cols>
          <w:pgMar w:left="240" w:top="765" w:right="37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Vincent T. Roche, certify that:</w:t>
      </w:r>
    </w:p>
    <w:p>
      <w:pPr>
        <w:spacing w:after="0" w:line="63"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320"/>
        <w:spacing w:after="0" w:line="281"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20" w:hanging="320"/>
        <w:spacing w:after="0" w:line="281"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20, 2014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INCENT</w:t>
      </w:r>
      <w:r>
        <w:rPr>
          <w:rFonts w:ascii="Times New Roman" w:cs="Times New Roman" w:eastAsia="Times New Roman" w:hAnsi="Times New Roman"/>
          <w:sz w:val="18"/>
          <w:szCs w:val="18"/>
          <w:color w:val="auto"/>
        </w:rPr>
        <w:t xml:space="preserve"> T. R</w:t>
      </w:r>
      <w:r>
        <w:rPr>
          <w:rFonts w:ascii="Times New Roman" w:cs="Times New Roman" w:eastAsia="Times New Roman" w:hAnsi="Times New Roman"/>
          <w:sz w:val="14"/>
          <w:szCs w:val="14"/>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A. Zinsner, certify that:</w:t>
      </w:r>
    </w:p>
    <w:p>
      <w:pPr>
        <w:spacing w:after="0" w:line="6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Analog Devices, Inc.;</w:t>
      </w:r>
    </w:p>
    <w:p>
      <w:pPr>
        <w:spacing w:after="0" w:line="63"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8"/>
          <w:szCs w:val="18"/>
          <w:color w:val="auto"/>
        </w:rPr>
      </w:pPr>
    </w:p>
    <w:p>
      <w:pPr>
        <w:ind w:left="660" w:right="28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Times New Roman" w:cs="Times New Roman" w:eastAsia="Times New Roman" w:hAnsi="Times New Roman"/>
          <w:sz w:val="18"/>
          <w:szCs w:val="18"/>
          <w:color w:val="auto"/>
        </w:rPr>
      </w:pPr>
    </w:p>
    <w:p>
      <w:pPr>
        <w:jc w:val="both"/>
        <w:ind w:left="1300" w:right="380" w:hanging="320"/>
        <w:spacing w:after="0" w:line="281"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8"/>
          <w:szCs w:val="18"/>
          <w:color w:val="auto"/>
        </w:rPr>
      </w:pPr>
    </w:p>
    <w:p>
      <w:pPr>
        <w:ind w:left="1300" w:right="80" w:hanging="320"/>
        <w:spacing w:after="0" w:line="266"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Times New Roman" w:cs="Times New Roman" w:eastAsia="Times New Roman" w:hAnsi="Times New Roman"/>
          <w:sz w:val="18"/>
          <w:szCs w:val="18"/>
          <w:color w:val="auto"/>
        </w:rPr>
      </w:pPr>
    </w:p>
    <w:p>
      <w:pPr>
        <w:ind w:left="660" w:right="180" w:hanging="328"/>
        <w:spacing w:after="0" w:line="28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8"/>
          <w:szCs w:val="18"/>
          <w:color w:val="auto"/>
        </w:rPr>
      </w:pPr>
    </w:p>
    <w:p>
      <w:pPr>
        <w:ind w:left="1300" w:right="620" w:hanging="320"/>
        <w:spacing w:after="0" w:line="281"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8"/>
          <w:szCs w:val="18"/>
          <w:color w:val="auto"/>
        </w:rPr>
      </w:pPr>
    </w:p>
    <w:p>
      <w:pPr>
        <w:ind w:left="1300" w:right="320" w:hanging="320"/>
        <w:spacing w:after="0" w:line="282" w:lineRule="auto"/>
        <w:tabs>
          <w:tab w:leader="none" w:pos="13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20, 2014</w:t>
      </w:r>
      <w:r>
        <w:rPr>
          <w:sz w:val="20"/>
          <w:szCs w:val="20"/>
          <w:color w:val="auto"/>
        </w:rPr>
        <w:tab/>
      </w:r>
      <w:r>
        <w:rPr>
          <w:rFonts w:ascii="Times New Roman" w:cs="Times New Roman" w:eastAsia="Times New Roman" w:hAnsi="Times New Roman"/>
          <w:sz w:val="17"/>
          <w:szCs w:val="17"/>
          <w:color w:val="auto"/>
        </w:rPr>
        <w:t>/S/ 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Vice President, Finance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3, 2014 as filed with the Securities and Exchange Commission on the date hereof (the “Report”), the undersigned, Vincent T. Roche, Chief Executive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20, 2014</w:t>
      </w:r>
      <w:r>
        <w:rPr>
          <w:sz w:val="20"/>
          <w:szCs w:val="20"/>
          <w:color w:val="auto"/>
        </w:rPr>
        <w:tab/>
      </w:r>
      <w:r>
        <w:rPr>
          <w:rFonts w:ascii="Times New Roman" w:cs="Times New Roman" w:eastAsia="Times New Roman" w:hAnsi="Times New Roman"/>
          <w:sz w:val="18"/>
          <w:szCs w:val="18"/>
          <w:color w:val="auto"/>
        </w:rPr>
        <w:t>/S/ V</w:t>
      </w:r>
      <w:r>
        <w:rPr>
          <w:rFonts w:ascii="Times New Roman" w:cs="Times New Roman" w:eastAsia="Times New Roman" w:hAnsi="Times New Roman"/>
          <w:sz w:val="14"/>
          <w:szCs w:val="14"/>
          <w:color w:val="auto"/>
        </w:rPr>
        <w:t>INCENT</w:t>
      </w:r>
      <w:r>
        <w:rPr>
          <w:rFonts w:ascii="Times New Roman" w:cs="Times New Roman" w:eastAsia="Times New Roman" w:hAnsi="Times New Roman"/>
          <w:sz w:val="18"/>
          <w:szCs w:val="18"/>
          <w:color w:val="auto"/>
        </w:rPr>
        <w:t xml:space="preserve"> T. R</w:t>
      </w:r>
      <w:r>
        <w:rPr>
          <w:rFonts w:ascii="Times New Roman" w:cs="Times New Roman" w:eastAsia="Times New Roman" w:hAnsi="Times New Roman"/>
          <w:sz w:val="14"/>
          <w:szCs w:val="14"/>
          <w:color w:val="auto"/>
        </w:rPr>
        <w:t>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Vincent T. Roche</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Analog Devices, Inc. (the “Company”) for the period ended May 3, 2014 as filed with the Securities and Exchange Commission on the date hereof (the “Report”), the undersigned, David A. Zinsner, Chief Financial Officer of the Company, hereby certifies, pursuant to 18 U.S.C. Section 1350, that:</w:t>
      </w:r>
    </w:p>
    <w:p>
      <w:pPr>
        <w:spacing w:after="0" w:line="1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87" w:lineRule="exact"/>
        <w:rPr>
          <w:sz w:val="20"/>
          <w:szCs w:val="20"/>
          <w:color w:val="auto"/>
        </w:rPr>
      </w:pPr>
    </w:p>
    <w:p>
      <w:pPr>
        <w:ind w:left="40"/>
        <w:spacing w:after="0"/>
        <w:tabs>
          <w:tab w:leader="none" w:pos="6180" w:val="left"/>
        </w:tabs>
        <w:rPr>
          <w:sz w:val="20"/>
          <w:szCs w:val="20"/>
          <w:color w:val="auto"/>
        </w:rPr>
      </w:pPr>
      <w:r>
        <w:rPr>
          <w:rFonts w:ascii="Times New Roman" w:cs="Times New Roman" w:eastAsia="Times New Roman" w:hAnsi="Times New Roman"/>
          <w:sz w:val="18"/>
          <w:szCs w:val="18"/>
          <w:color w:val="auto"/>
        </w:rPr>
        <w:t>Dated: May 20, 2014</w:t>
      </w:r>
      <w:r>
        <w:rPr>
          <w:sz w:val="20"/>
          <w:szCs w:val="20"/>
          <w:color w:val="auto"/>
        </w:rPr>
        <w:tab/>
      </w:r>
      <w:r>
        <w:rPr>
          <w:rFonts w:ascii="Times New Roman" w:cs="Times New Roman" w:eastAsia="Times New Roman" w:hAnsi="Times New Roman"/>
          <w:sz w:val="17"/>
          <w:szCs w:val="17"/>
          <w:color w:val="auto"/>
        </w:rPr>
        <w:t>/S/ D</w:t>
      </w:r>
      <w:r>
        <w:rPr>
          <w:rFonts w:ascii="Times New Roman" w:cs="Times New Roman" w:eastAsia="Times New Roman" w:hAnsi="Times New Roman"/>
          <w:sz w:val="13"/>
          <w:szCs w:val="13"/>
          <w:color w:val="auto"/>
        </w:rPr>
        <w:t>AVID</w:t>
      </w:r>
      <w:r>
        <w:rPr>
          <w:rFonts w:ascii="Times New Roman" w:cs="Times New Roman" w:eastAsia="Times New Roman" w:hAnsi="Times New Roman"/>
          <w:sz w:val="17"/>
          <w:szCs w:val="17"/>
          <w:color w:val="auto"/>
        </w:rPr>
        <w:t xml:space="preserve"> A. Z</w:t>
      </w:r>
      <w:r>
        <w:rPr>
          <w:rFonts w:ascii="Times New Roman" w:cs="Times New Roman" w:eastAsia="Times New Roman" w:hAnsi="Times New Roman"/>
          <w:sz w:val="13"/>
          <w:szCs w:val="13"/>
          <w:color w:val="auto"/>
        </w:rPr>
        <w:t>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34290</wp:posOffset>
            </wp:positionV>
            <wp:extent cx="33274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5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David A. Zinsner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1)"/>
      <w:numFmt w:val="decimal"/>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decimal"/>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lowerLetter"/>
      <w:start w:val="1"/>
    </w:lvl>
  </w:abstractNum>
  <w:abstractNum w:abstractNumId="12">
    <w:nsid w:val="62BBD95A"/>
    <w:multiLevelType w:val="hybridMultilevel"/>
    <w:lvl w:ilvl="0">
      <w:lvlJc w:val="left"/>
      <w:lvlText w:val="(%1)"/>
      <w:numFmt w:val="lowerLetter"/>
      <w:start w:val="2"/>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1)"/>
      <w:numFmt w:val="lowerRoman"/>
      <w:start w:val="4"/>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2019-12-05T02:51:53Z</dcterms:created>
  <dcterms:modified xsi:type="dcterms:W3CDTF">2019-12-05T02:51:53Z</dcterms:modified>
</cp:coreProperties>
</file>