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768645.xml.htm"/>
      <w:bookmarkStart w:id="1" w:name="kswkform4_17757686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Sondel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ANALOG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ANALOG DEVICES INC</w:t>
              </w:r>
            </w:hyperlink>
            <w:r>
              <w:rPr/>
              <w:t xml:space="preserve"> [ </w:t>
            </w:r>
            <w:r>
              <w:rPr>
                <w:rFonts w:ascii="Times;serif" w:hAnsi="Times;serif"/>
                <w:color w:val="0000FF"/>
                <w:sz w:val="24"/>
                <w:shd w:fill="FFFFFF" w:val="clear"/>
              </w:rPr>
              <w:t>ADI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CAO (principal acct.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2"/>
        <w:gridCol w:w="903"/>
        <w:gridCol w:w="772"/>
        <w:gridCol w:w="600"/>
        <w:gridCol w:w="349"/>
        <w:gridCol w:w="891"/>
        <w:gridCol w:w="457"/>
        <w:gridCol w:w="619"/>
        <w:gridCol w:w="1367"/>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1,341</w:t>
            </w:r>
            <w:r>
              <w:rPr>
                <w:rFonts w:ascii="Times;serif" w:hAnsi="Times;serif"/>
                <w:color w:val="008000"/>
                <w:position w:val="7"/>
                <w:sz w:val="16"/>
                <w:sz w:val="20"/>
                <w:shd w:fill="FFFFFF" w:val="clear"/>
              </w:rPr>
              <w:t>(1)</w:t>
            </w:r>
            <w:r>
              <w:rPr/>
              <w:t xml:space="preserve"> </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15,854.578</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(RSUs) granted to the Reporting Person on April 7, 2026 vest in equal installments on the first, second, third and fourth anniversaries of March 15, 2026. Upon each vesting date, each vested RSU shall automatically convert into one (1) share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Shelly Shaw, General Counsel,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8266" TargetMode="External"/><Relationship Id="rId5" Type="http://schemas.openxmlformats.org/officeDocument/2006/relationships/hyperlink" Target="http://www.sec.gov/cgi-bin/browse-edgar?action=getcompany&amp;CIK=0000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3325</Characters>
  <CharactersWithSpaces>3881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