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414655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380365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776"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776"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776"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776"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776"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776"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776"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776" w:right="379" w:bottom="1440" w:gutter="0" w:footer="0" w:header="0"/>
          <w:type w:val="continuous"/>
        </w:sectPr>
      </w:pPr>
    </w:p>
    <w:p>
      <w:pPr>
        <w:spacing w:after="0" w:line="7" w:lineRule="exact"/>
        <w:rPr>
          <w:sz w:val="24"/>
          <w:szCs w:val="24"/>
          <w:color w:val="auto"/>
        </w:rPr>
      </w:pPr>
    </w:p>
    <w:p>
      <w:pPr>
        <w:ind w:right="20" w:firstLine="445"/>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445"/>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4" w:lineRule="exact"/>
        <w:rPr>
          <w:sz w:val="24"/>
          <w:szCs w:val="24"/>
          <w:color w:val="auto"/>
        </w:rPr>
      </w:pPr>
    </w:p>
    <w:p>
      <w:pPr>
        <w:ind w:right="2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right="124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April 30, 2022 there were 519,806,028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type w:val="continuous"/>
        </w:sectPr>
      </w:pPr>
    </w:p>
    <w:bookmarkStart w:id="1" w:name="page2"/>
    <w:bookmarkEnd w:id="1"/>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2,972,064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1,661,407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5,656,357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3,219,865</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1,027,544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2,309,840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1,037,857</w:t>
            </w:r>
          </w:p>
        </w:tc>
      </w:tr>
      <w:tr>
        <w:trPr>
          <w:trHeight w:val="223"/>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1,136,637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3,346,517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2,182,008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590,388</w:t>
            </w:r>
          </w:p>
        </w:tc>
      </w:tr>
      <w:tr>
        <w:trPr>
          <w:trHeight w:val="229"/>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391,887</w:t>
            </w:r>
          </w:p>
        </w:tc>
      </w:tr>
      <w:tr>
        <w:trPr>
          <w:trHeight w:val="230"/>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215,434</w:t>
            </w:r>
          </w:p>
        </w:tc>
      </w:tr>
      <w:tr>
        <w:trPr>
          <w:trHeight w:val="229"/>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106,402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616,947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1,198,458</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983,550</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85,545</w:t>
            </w:r>
          </w:p>
        </w:tc>
      </w:tr>
      <w:tr>
        <w:trPr>
          <w:trHeight w:val="229"/>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912,603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101,179</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783,273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422,905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1,063,350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811,424</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368,823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372,762</w:t>
            </w:r>
          </w:p>
        </w:tc>
      </w:tr>
      <w:tr>
        <w:trPr>
          <w:trHeight w:val="270"/>
        </w:trPr>
        <w:tc>
          <w:tcPr>
            <w:tcW w:w="4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008" w:right="1239" w:bottom="1440" w:gutter="0" w:footer="0" w:header="0"/>
        </w:sectPr>
      </w:pPr>
    </w:p>
    <w:bookmarkStart w:id="2" w:name="page3"/>
    <w:bookmarkEnd w:id="2"/>
    <w:p>
      <w:pPr>
        <w:spacing w:after="0" w:line="1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86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783,273</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422,905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1,063,350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811,424</w:t>
            </w: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r>
      <w:tr>
        <w:trPr>
          <w:trHeight w:val="176"/>
        </w:trPr>
        <w:tc>
          <w:tcPr>
            <w:tcW w:w="43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5"/>
        </w:trPr>
        <w:tc>
          <w:tcPr>
            <w:tcW w:w="43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as cash flow hedges (net of taxes of $258, $10,448, $248</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$17,109, respectively)</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59,893</w:t>
            </w:r>
          </w:p>
        </w:tc>
      </w:tr>
      <w:tr>
        <w:trPr>
          <w:trHeight w:val="176"/>
        </w:trPr>
        <w:tc>
          <w:tcPr>
            <w:tcW w:w="4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pension plans, net actuarial loss and foreign</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4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currency translation adjustments (net of taxes of $91,</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$86, $187 and $172, respectively)</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66,546</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764,276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458,491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1,042,300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877,970</w:t>
            </w:r>
          </w:p>
        </w:tc>
      </w:tr>
      <w:tr>
        <w:trPr>
          <w:trHeight w:val="21"/>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940"/>
          </w:cols>
          <w:pgMar w:left="32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1,977,964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1,608,254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1,459,056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1,200,610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740,687</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4,634,189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5,378,317</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1,979,051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26,923,756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26,918,470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14,258,728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15,267,170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2,267,269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511,794</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46,166,463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46,943,754</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50,800,652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52,322,071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451,443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2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1,477,530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2,326,212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2,770,312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6,253,215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6,253,212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3,873,084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3,938,830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555,838</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11,374,658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11,559,217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519,806,028 shares outstanding</w:t>
            </w:r>
          </w:p>
        </w:tc>
        <w:tc>
          <w:tcPr>
            <w:tcW w:w="2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86,636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(525,330,672 on October 30, 2021)</w:t>
            </w:r>
          </w:p>
        </w:tc>
        <w:tc>
          <w:tcPr>
            <w:tcW w:w="2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29,400,284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30,574,237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7,517,316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(186,565)</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37,099,782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37,992,542</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50,800,652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52,322,071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11220"/>
          </w:cols>
          <w:pgMar w:left="320" w:top="1008"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April 30, 2022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29,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30,093,961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7,434,748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(188,618)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$0.76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30, 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29,400,284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7,820,477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(207,615)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April 30, 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30,574,237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$1.45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30, 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29,400,284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7,820,477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May 1, 2021</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30,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4,849,185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7,395,578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$0.69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(188,610)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1, 2021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7,564,054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(182,915)</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May 1, 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4,949,586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$1.31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(345,487)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1, 2021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4,724,493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7,564,054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08"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1,063,350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811,424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108,775</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290,745</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76,996</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Cost of goods sold for inventory acquired</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(48,292)</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(71,263)</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1,014,870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352,879</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2,078,220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1,164,303</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(126,558)</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(9,210)</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(135,768)</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(483,608)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(345,871)</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(2,085,454)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(783,408)</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(240,231)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249,356</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1,977,964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1,055,860</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1,737,733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1,305,216</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APRIL 30, 2022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in thousands except per share amounts and percentages)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30, 2021 (fiscal 2021) and related notes. The results of operations for the interim periods shown in this report are not necessarily indicative of the results that may be expected for the fiscal year ending October 29, 2022 (fiscal 2022) or any future period.</w:t>
      </w:r>
    </w:p>
    <w:p>
      <w:pPr>
        <w:spacing w:after="0" w:line="12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Certain amounts reported in previous periods have been reclassified to conform to the fiscal 2022 presentation.</w:t>
      </w:r>
    </w:p>
    <w:p>
      <w:pPr>
        <w:spacing w:after="0" w:line="67" w:lineRule="exact"/>
        <w:rPr>
          <w:sz w:val="20"/>
          <w:szCs w:val="20"/>
          <w:color w:val="auto"/>
        </w:rPr>
      </w:pPr>
    </w:p>
    <w:p>
      <w:pPr>
        <w:ind w:right="5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August 26, 2021 (Acquisition Date), the Company completed the acquisition of Maxim Integrated Products, Inc. (Maxim), an independent manufacturer of innovative analog and mixed-signal products and technologies. The acquisition of Maxim is referred to as the Acquisition. The consolidated financial statements included in this Quarterly Report on Form 10-Q include the financial results of Maxim prospectively from the Acquisition Date. See Note 14,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these Notes to Condensed Consolidated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120" w:firstLine="243"/>
        <w:spacing w:after="0" w:line="256" w:lineRule="auto"/>
        <w:rPr>
          <w:sz w:val="20"/>
          <w:szCs w:val="20"/>
          <w:color w:val="auto"/>
        </w:rPr>
      </w:pPr>
      <w:r>
        <w:rPr>
          <w:rFonts w:ascii="Times New Roman" w:cs="Times New Roman" w:eastAsia="Times New Roman" w:hAnsi="Times New Roman"/>
          <w:sz w:val="18"/>
          <w:szCs w:val="18"/>
          <w:color w:val="auto"/>
        </w:rPr>
        <w:t>In fiscal 2021, the Company entered into accelerated share repurchase agreements (ASR) with third party financial institutions, paid $2.5 billion and received an initial delivery of 12.3 million shares of common stock, which represented approximately 80% of the notional amount of the ASR. As of October 30, 2021, the Company recorded the remaining 20%, or $500.0 million, within Prepaid expenses and other current assets on the Consolidated Balance Sheet, which was utilized during the first quarter of fiscal 2022. During the first quarter of fiscal 2022, the ASR was completed and an additional 2.1 million shares of common stock were received as final settlement of the ASR. In total, the Company repurchased 14.4 million shares under the ASR at an average price per share of $173.77.</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of April 30, 2022, the Company had repurchased a total of approximately 178.5 million shares of its common stock for approximately $10.0 billion under the Company's share repurchase program. As of April 30, 2022, an additional $6.6 billion remains available for repurchase of shares under the current authorized program. The Company also repurchases shares in settlement of employee tax withholding obligations due upon the vesting of restricted stock units/awards or the exercise of stock options. Future repurchases of common stock will be dependent upon the Company's financial position, results of operations, outlook, liquidity and other factors deemed relevant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six months of fiscal 2022.</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(186,565)</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(207,615)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Component</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09"/>
        </w:trPr>
        <w:tc>
          <w:tcPr>
            <w:tcW w:w="3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0" w:type="dxa"/>
            <w:vAlign w:val="bottom"/>
          </w:tcPr>
          <w:p>
            <w:pPr>
              <w:spacing w:after="0"/>
              <w:rPr>
                <w:sz w:val="18"/>
                <w:szCs w:val="18"/>
                <w:color w:val="auto"/>
              </w:rPr>
            </w:pPr>
          </w:p>
        </w:tc>
        <w:tc>
          <w:tcPr>
            <w:tcW w:w="3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derivatives</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losses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amounts reclassified out of AOCI,</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811,424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369,013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526,264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372,418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528,203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372,762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20" w:firstLine="445"/>
        <w:spacing w:after="0" w:line="270"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160" w:type="dxa"/>
            <w:vAlign w:val="bottom"/>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Closure of Manufacturing</w:t>
            </w: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payments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payments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Closure of Manufacturing Facilities</w:t>
      </w:r>
    </w:p>
    <w:p>
      <w:pPr>
        <w:spacing w:after="0" w:line="11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net special charges of $66.9 million on a cumulative basis through April 30, 2022 as a result of its decision to consolidate certain wafer and test facility operations acquired as part of the acquisition of Linear Technology Corporation.</w:t>
      </w:r>
    </w:p>
    <w:p>
      <w:pPr>
        <w:spacing w:after="0" w:line="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special charges include severance and fringe benefit costs, in accordance with the Company's ongoing benefit plan or statutory requirements at foreign locations, one-time termination benefits for the impacted manufacturing, engineering and selling, marketing, general and administrative (SMG&amp;A) employees and other exit costs. These one-time termination benefits are being recognized over the future service period required for employees to earn these benefits.</w:t>
      </w:r>
    </w:p>
    <w:p>
      <w:pPr>
        <w:spacing w:after="0" w:line="7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2021, the Company ceased production at its Hillview wafer fabrication facility located in Milpitas, California and determined that this facility met the held for sale criteria specified in Accounting Standards Codification (ASC) 360. See Note 6,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these Notes to Condensed Consolidated Financial Statements for amounts reclassified.</w:t>
      </w:r>
    </w:p>
    <w:p>
      <w:pPr>
        <w:spacing w:after="0" w:line="6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During fiscal 2021, the Company completed the sale of its facility and certain equipment in Singapore, which were previously classified as held for sale, for approximately $35.7 million, which resulted in a gain of $13.6 million. Concurrent with the sale, the Company entered into a short-term lease agreement to leaseback a portion of the facility while it completes its transition of related operations to its facilities in Penang, Malaysia and the Philippines, as well as to its outsourced assembly and test partners.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Global Repositioning Actions</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recorded net special charges of $316.4 million on a cumulative basis through April 30, 2022, as part of the integration of the Acquisition and continued organizational initiatives to better align its global workforce with the Company's long-term strategic plan. Special charges of $95.5 million recognized in the first six months of fiscal 2022 primarily consisted of $103.8 million of severance and benefit costs as well as charges recorded from the acceleration of equity awards in connection with the termination of certain employees in manufacturing, engineering and SMG&amp;A roles at sites assumed related to the Acquisition and various locations throughout the world. These charges were partially offset by a gain of $8.3 million recognized upon the sale of a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fiscal 2021, the Company ceased production at its Hillview wafer fabrication facility located in Milpitas, California and determined that this facility met the held for sale criteria specified in ASC 360. As of April 30, 2022, Prepaid expenses and other current assets includes the following assets held for sale recorded at the fair value of the asset group, less costs to sell: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40,070</w:t>
            </w:r>
          </w:p>
        </w:tc>
      </w:tr>
      <w:tr>
        <w:trPr>
          <w:trHeight w:val="229"/>
        </w:trPr>
        <w:tc>
          <w:tcPr>
            <w:tcW w:w="9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(13,634)</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property, plant and equipment reclassified to Prepaid expenses and other 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26,436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1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1,501,111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975,706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633,926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363,953</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148,108</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2,972,064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1,661,407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2,847,838</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1,833,198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1,184,927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505,748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560,904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738,142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320,015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5,656,357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3,219,865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-121920</wp:posOffset>
            </wp:positionV>
            <wp:extent cx="4380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customers for which revenue is recorded over time.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1,849,988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1,091,710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546,555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2,972,064</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1,661,407</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3,503,042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2,039,314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2,094,891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1,136,011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5,656,357</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3,219,865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-119380</wp:posOffset>
            </wp:positionV>
            <wp:extent cx="4269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27" w:lineRule="exact"/>
        <w:rPr>
          <w:sz w:val="20"/>
          <w:szCs w:val="20"/>
          <w:color w:val="auto"/>
        </w:rPr>
      </w:pPr>
    </w:p>
    <w:p>
      <w:pPr>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Level 1 inputs are quoted prices (unadjusted) in active markets for identical assets or liabilities that the reporting entity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104" w:lineRule="exact"/>
        <w:rPr>
          <w:sz w:val="20"/>
          <w:szCs w:val="20"/>
          <w:color w:val="auto"/>
        </w:rPr>
      </w:pPr>
    </w:p>
    <w:p>
      <w:pPr>
        <w:ind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Level 2 inputs are inputs other than quoted prices included within Level 1 that are observable for the asset or liability,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If the asset or liability has a specified (contractual) term, a Level 2 input must be observable for substantially the full term of the asset or liability.</w:t>
      </w:r>
    </w:p>
    <w:p>
      <w:pPr>
        <w:spacing w:after="0" w:line="81"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0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presents the Company’s financial assets and liabilities, excluding accrued interest components that were accounted for at fair value on a recurring basis as of April 30, 2022 and October 30, 2021. The tables exclude cash on hand and assets and liabilities that are measured at historical cost or any basis other than fair value. As of April 30, 2022 and October 30, 2021, the Company held $1,030.1 million and $1,315.0 million, respectively, of cash that was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excluded from the tables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1"/>
        </w:trPr>
        <w:tc>
          <w:tcPr>
            <w:tcW w:w="5980" w:type="dxa"/>
            <w:vAlign w:val="bottom"/>
          </w:tcPr>
          <w:p>
            <w:pPr>
              <w:spacing w:after="0"/>
              <w:rPr>
                <w:sz w:val="14"/>
                <w:szCs w:val="1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7"/>
                <w:szCs w:val="17"/>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577,683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577,683</w:t>
            </w:r>
          </w:p>
        </w:tc>
      </w:tr>
      <w:tr>
        <w:trPr>
          <w:trHeight w:val="230"/>
        </w:trPr>
        <w:tc>
          <w:tcPr>
            <w:tcW w:w="5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129,941</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66,390</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644,073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774,014</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w:t>
            </w: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April 30, 2022 was $130.0 million.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9"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662,997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71,301</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734,298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60" w:right="340" w:hanging="328"/>
        <w:spacing w:after="0" w:line="284"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67" w:lineRule="exact"/>
        <w:rPr>
          <w:sz w:val="20"/>
          <w:szCs w:val="20"/>
          <w:color w:val="auto"/>
        </w:rPr>
      </w:pPr>
    </w:p>
    <w:p>
      <w:pPr>
        <w:ind w:right="16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These investments are adjusted to fair value based on quoted market prices or are determined using a yield curve model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current market rates.</w:t>
      </w:r>
    </w:p>
    <w:p>
      <w:pPr>
        <w:spacing w:after="0" w:line="101" w:lineRule="exact"/>
        <w:rPr>
          <w:sz w:val="20"/>
          <w:szCs w:val="20"/>
          <w:color w:val="auto"/>
        </w:rPr>
      </w:pPr>
    </w:p>
    <w:p>
      <w:pPr>
        <w:ind w:right="26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w:t>
      </w:r>
      <w:r>
        <w:rPr>
          <w:rFonts w:ascii="Times New Roman" w:cs="Times New Roman" w:eastAsia="Times New Roman" w:hAnsi="Times New Roman"/>
          <w:sz w:val="18"/>
          <w:szCs w:val="18"/>
          <w:color w:val="auto"/>
        </w:rPr>
        <w:t>— The fair value of these mutual fund, money market fund and equity investments are based on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3" w:name="page14"/>
    <w:bookmarkEnd w:id="13"/>
    <w:p>
      <w:pPr>
        <w:ind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71"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Held for sale assets —</w:t>
      </w:r>
      <w:r>
        <w:rPr>
          <w:rFonts w:ascii="Times New Roman" w:cs="Times New Roman" w:eastAsia="Times New Roman" w:hAnsi="Times New Roman"/>
          <w:sz w:val="18"/>
          <w:szCs w:val="18"/>
          <w:color w:val="auto"/>
        </w:rPr>
        <w:t>The Company has classified the assets held for sale at fair value, which is determined based on the use of appraisals and input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from market participants, and as such is considered a Level 3 fair value measurement. See Note 6,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in these Notes to Condensed Consolidated Financial Statements for more information related to held for sale assets.</w:t>
      </w:r>
    </w:p>
    <w:p>
      <w:pPr>
        <w:spacing w:after="0" w:line="76" w:lineRule="exact"/>
        <w:rPr>
          <w:sz w:val="20"/>
          <w:szCs w:val="20"/>
          <w:color w:val="auto"/>
        </w:rPr>
      </w:pPr>
    </w:p>
    <w:p>
      <w:pPr>
        <w:jc w:val="both"/>
        <w:ind w:right="420" w:firstLine="40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table below presents the estimated fair value of certain financial instruments not recorded at fair value on a recurring basis.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4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 2023 Notes, due March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520,236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500,482</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423,265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986,243</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 2027 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542,942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996,702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758,246</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469,592</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6,276,865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5,658,252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6,776,865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7,147,607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enters into forward foreign currency exchange contracts to offset certain operational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Thai Baht, South Korean Won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3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total notional amounts of forward foreign currency derivative instruments designated as hedging instruments of cash flow hedges denominated in Euros, British Pounds, Philippine Pesos, Thai Baht, South Korean Won and Japanese Yen as of April 30, 2022 and October 30, 2021 were $289.3 million and $343.6 million, respectively. The fair values of forward foreign currency derivative instruments designated as hedging instruments in the Company’s Condensed Consolidated Balance Sheets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as of April 30, 2022 and October 30, 2021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As of April 30, 2022 and October 30, 2021, the total notional amounts of undesignated hedges related to forward foreign currency exchange contracts were $249.4 million and $120.0 million, respectively. The fair values of these hedging instruments in the Company’s Condensed Consolidated Balance Sheets were immaterial as of April 30, 2022 and October 30, 2021.</w:t>
      </w:r>
    </w:p>
    <w:p>
      <w:pPr>
        <w:spacing w:after="0" w:line="122"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Company estimates $14.0 million, net of tax, of settlements on forward foreign currency derivative instruments included in AOCI will be reclassified into earnings within the next twelve months.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April 30, 2022 and October 30, 2021, none of the netting arrangements involved collateral.</w:t>
      </w:r>
    </w:p>
    <w:p>
      <w:pPr>
        <w:spacing w:after="0" w:line="12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October 30, 2021</w:t>
            </w:r>
          </w:p>
        </w:tc>
      </w:tr>
      <w:tr>
        <w:trPr>
          <w:trHeight w:val="23"/>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amounts of recognized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amount of recognized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liabilities offset and presented in the Condensed Consolidated Balance Sheets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April 30, 2022 and October 30, 2021,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40"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April 30, 2022 and October 30, 2021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30, 2021</w:t>
            </w:r>
          </w:p>
        </w:tc>
      </w:tr>
      <w:tr>
        <w:trPr>
          <w:trHeight w:val="2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71,639</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858,627</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270,344</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1,200,610</w:t>
            </w:r>
          </w:p>
        </w:tc>
      </w:tr>
      <w:tr>
        <w:trPr>
          <w:trHeight w:val="21"/>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0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the Company acquired $500.0 million aggregate principal amount of Maxim’s 3.375% senior unsecured and unsubordinated notes due March 15, 2023 (the Maxim March 2023 Notes). On November 4, 2021, the Maxim March 2023 Notes were redeemed for cash at a redemption price equal to $1,038.23 for each $1,000 principal amount.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8"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 and six-month periods ended April 30, 2022 and May 1, 2021 were below the U.S. statutory tax rate of 21.0%, due to lower statutory tax rates applicable to the Company's operations in the foreign jurisdictions in which it earns income.</w:t>
      </w:r>
    </w:p>
    <w:p>
      <w:pPr>
        <w:spacing w:after="0" w:line="4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During the first six-months of fiscal 2022, the Company increased acquisition related tax reserves by $15.6 million consisting of $12.3 million in tax and $3.3 million in accrued interest primarily relating to tax audits. It is reasonably possible that the balance of gross unrecognized tax benefits, including accrued interest and penalties, could decrease by as much as $146.0 million within the next twelve months due to the completion of tax audits, including any administrative appeals.</w:t>
      </w:r>
    </w:p>
    <w:p>
      <w:pPr>
        <w:spacing w:after="0" w:line="4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November 3, 2018 and November 2, 2019; a pre-acquisition IRS income tax audit for Maxim's fiscal years ended June 27, 2015 through June 27, 2020; various U.S. state and local audits and various international audits. The Company's U.S. federal tax returns prior to the fiscal year ended November 3, 2018 are no longer subject to examination, except for the Maxim pre-Acquisition fiscal years 2015 to 2020 noted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0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 Facilitation of the Effects of Reference Rate Reform on Financial Reporting</w:t>
      </w:r>
      <w:r>
        <w:rPr>
          <w:rFonts w:ascii="Times New Roman" w:cs="Times New Roman" w:eastAsia="Times New Roman" w:hAnsi="Times New Roman"/>
          <w:sz w:val="18"/>
          <w:szCs w:val="18"/>
          <w:color w:val="auto"/>
        </w:rPr>
        <w:t>, which provides optional guidance for accounting for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relationships, and other transactions affected by reference rate reform, if certain criteria are met. The provisions of this standard are available for election through December 31, 2022. The Company adopted this standard in the first quarter of fiscal 2022 with no material impact on the Company's financial position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Acquired Contract Assets and Contract Liabilities</w:t>
      </w:r>
    </w:p>
    <w:p>
      <w:pPr>
        <w:spacing w:after="0" w:line="9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Acquired Contract Assets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Under the new guidance (ASC 805-20-30-28), the acquirer should determine what contract assets and/or contract liabilities it would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the fiscal year ended November 1,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Acquisitions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Maxim Integrated Products, Inc.</w:t>
      </w:r>
    </w:p>
    <w:p>
      <w:pPr>
        <w:spacing w:after="0" w:line="92"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On the Acquisition Date, the Company completed its acquisition of all of the voting interests of Maxim, an independent manufacturer of innovative analog and mixed-signal products and technologies. The total consideration paid to acquire Maxim, which consisted of cash, common stock of the Company and share-based compensation awards, was approximately $28.0 billion. The Company believes the combination creates an expanded suite of top-performing mixed-signal and power management technology offerings and complements the Company's legacy offerings. The results of operations of Maxim from the Acquisition Date are included in the Company’s Condensed Consolidated Statements of Income, Condensed Consolidated Statements of Comprehensive Income, Condensed Consolidated Balance Sheets, Condensed Consolidated Statements of Cash Flows and Condensed Consolidated Statement of Shareholders’ Equity for the three- and six-month periods ended April 30, 2022.</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half of fiscal 2022, the Company recorded acquisition accounting adjustments of $15.3 million to goodwill comprised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$19.0 million to income tax payable and $1.6 million to accrued liabilities offset by decreases of $3.5 million to deferred income taxes and $1.8 million to other non-current liabilities. The Acquisition accounting is not complete and additional information relating to conditions that existed at the Acquisition Date may become known to the</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16" w:name="page17"/>
    <w:bookmarkEnd w:id="16"/>
    <w:p>
      <w:pPr>
        <w:ind w:right="60"/>
        <w:spacing w:after="0" w:line="282" w:lineRule="auto"/>
        <w:rPr>
          <w:sz w:val="20"/>
          <w:szCs w:val="20"/>
          <w:color w:val="auto"/>
        </w:rPr>
      </w:pPr>
      <w:r>
        <w:rPr>
          <w:rFonts w:ascii="Times New Roman" w:cs="Times New Roman" w:eastAsia="Times New Roman" w:hAnsi="Times New Roman"/>
          <w:sz w:val="18"/>
          <w:szCs w:val="18"/>
          <w:color w:val="auto"/>
        </w:rPr>
        <w:t>Company during the remainder of the measurement period. As of the filing date of this Quarterly Report on Form 10-Q, the Company is still in the process of valuing Maxim's assets, including fixed assets, intangible assets, and liabilities, including related income tax accounting.</w:t>
      </w:r>
    </w:p>
    <w:p>
      <w:pPr>
        <w:spacing w:after="0" w:line="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for the three- and six-month periods ended May 1, 2021 combines the results of the Company for the three- and six-month periods ended May 1, 2021 and the unaudited results of Maxim for the corresponding period. The unaudited pro forma consolidated financial information assumes that the Acquisition, which closed on August 26, 2021, was completed on November 3, 2019 (the first day of fiscal 2020). The pro forma consolidated financial information has been calculated after applying the Company’s accounting policies and includes adjustments for amortization expense of acquired intangible assets, fair value adjustments for acquired inventory, property, plant and equipment and long-term debt and compensation expense for ongoing share-based compensation arrangements that were replaced in conjunction with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3, 2019.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80" w:type="dxa"/>
            <w:vAlign w:val="bottom"/>
          </w:tcPr>
          <w:p>
            <w:pPr>
              <w:spacing w:after="0"/>
              <w:rPr>
                <w:sz w:val="17"/>
                <w:szCs w:val="17"/>
                <w:color w:val="auto"/>
              </w:rPr>
            </w:pPr>
          </w:p>
        </w:tc>
        <w:tc>
          <w:tcPr>
            <w:tcW w:w="2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03"/>
        </w:trPr>
        <w:tc>
          <w:tcPr>
            <w:tcW w:w="5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2"/>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80" w:type="dxa"/>
            <w:vAlign w:val="bottom"/>
          </w:tcPr>
          <w:p>
            <w:pPr>
              <w:spacing w:after="0"/>
              <w:rPr>
                <w:sz w:val="17"/>
                <w:szCs w:val="17"/>
                <w:color w:val="auto"/>
              </w:rPr>
            </w:pPr>
          </w:p>
        </w:tc>
        <w:tc>
          <w:tcPr>
            <w:tcW w:w="234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80" w:type="dxa"/>
            <w:vAlign w:val="bottom"/>
          </w:tcPr>
          <w:p>
            <w:pPr>
              <w:spacing w:after="0"/>
              <w:rPr>
                <w:sz w:val="20"/>
                <w:szCs w:val="20"/>
                <w:color w:val="auto"/>
              </w:rPr>
            </w:pPr>
          </w:p>
        </w:tc>
        <w:tc>
          <w:tcPr>
            <w:tcW w:w="23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2,320,711</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4,498,698</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352,949</w:t>
            </w:r>
          </w:p>
        </w:tc>
        <w:tc>
          <w:tcPr>
            <w:tcW w:w="16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625,506</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filed a putative class action in the Court of Chancery of the State of Delaware (C.A. No. 2022—0255) against the Company and the former directors of Maxim. The complaint alleges breach of fiduciary duties by the individual defendants in connection with Maxim’s agreement, as part of the merger negotiations with the Company, to suspend Maxim dividends for up to four quarters prior to the closing of the Acquisition. The complaint further alleges that the Company aided and abetted that alleged breach of fiduciary duties. The plaintiffs seek damages in an amount to be determined at trial, plaintiffs’ costs and disbursements, including reasonable attorneys’ and experts’ fees, costs and other expenses. The Company believes that it and the other defendants have meritorious defenses to these allegations; however, the Company is currently unable to determine the ultimate outcome of this matter or determine an estimate, or a range of estimates, of potential losses, if 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75" w:lineRule="exact"/>
        <w:rPr>
          <w:sz w:val="20"/>
          <w:szCs w:val="20"/>
          <w:color w:val="auto"/>
        </w:rPr>
      </w:pPr>
    </w:p>
    <w:p>
      <w:pPr>
        <w:jc w:val="both"/>
        <w:ind w:right="220" w:firstLine="405"/>
        <w:spacing w:after="0" w:line="282" w:lineRule="auto"/>
        <w:rPr>
          <w:sz w:val="20"/>
          <w:szCs w:val="20"/>
          <w:color w:val="auto"/>
        </w:rPr>
      </w:pPr>
      <w:r>
        <w:rPr>
          <w:rFonts w:ascii="Times New Roman" w:cs="Times New Roman" w:eastAsia="Times New Roman" w:hAnsi="Times New Roman"/>
          <w:sz w:val="18"/>
          <w:szCs w:val="18"/>
          <w:color w:val="auto"/>
        </w:rPr>
        <w:t>On May 17, 2022, the Board of Directors of the Company declared a cash dividend of $0.76 per outstanding share of common stock. The dividend will be paid on June 9, 2022 to all shareholders of record at the close of business on May 31, 2022 and is expected to total approximately $395.1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30, 2021 (fiscal 2021).</w:t>
      </w:r>
    </w:p>
    <w:p>
      <w:pPr>
        <w:spacing w:after="0" w:line="12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research and development investments; the impact of the COVID-19 pandemic on our business, financial condition and results of operations; our future market position and expected competitive changes in the marketplace for our products; our plans and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or realize the benefits or synergies expected of acquired businesses and technologies, including the acquired business, operations and employees of Maxim Integrated Products, Inc.;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35"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The pandemic caused by the novel strain of the coronavirus (COVID-19) and the numerous measures implemented by government authorities in response, have impacted and likely will continue to impact our workforce and operations, the operations of our customers and those of our respective vendors and suppliers. We have significant operations worldwide, including in the United States, the Philippines, Ireland, Malaysia, Thailand, China and India. Each of these countries has been affected by the pandemic and taken measures to try to contain it, resulting in disruptions at some of our manufacturing operations and facilities.</w:t>
      </w:r>
    </w:p>
    <w:p>
      <w:pPr>
        <w:spacing w:after="0" w:line="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9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While we are confident that our strategy and long-term contingency planning have positioned us well to weather the current uncertainty, we cannot at this time fully quantify or forecast the impact of COVID-19 on our business. The full extent of the impact of the COVID-19 pandemic on our business, financial condition and results of operations will depend on future developments, which are highly uncertain such as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Acquisition of Maxim Integrated Products, Inc.</w:t>
      </w:r>
    </w:p>
    <w:p>
      <w:pPr>
        <w:spacing w:after="0" w:line="14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On August 26, 2021 (Acquisition Date), we completed the acquisition of Maxim Integrated Products, Inc. (Maxim), an independent manufacturer of innovative analog and mixed-signal products and technologies. The acquisition of Maxim is referred to as the Acquisition. The consolidated financial statements included in this Quarterly Report on Form 10-Q include the financial results of Maxim prospectively from the Acquisition Date. See Note 14,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the Notes to the Condensed Consolidated Financial Statements contained in Part I, Item 1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4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2,972,064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1,661,407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1,310,657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783,273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422,905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449"/>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4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5,656,357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3,219,865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2,436,492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1,063,350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811,424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typically do not materially change the sizing of, or the underlying trends of results within, each end market.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1,501,111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975,706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363,953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60" w:type="dxa"/>
            <w:vAlign w:val="bottom"/>
            <w:gridSpan w:val="3"/>
            <w:vMerge w:val="continue"/>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2,847,838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885,450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738,142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5,656,357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3,219,865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-121920</wp:posOffset>
            </wp:positionV>
            <wp:extent cx="44234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Revenue increased 79% and 76% in the three- and six-month periods ended April 30, 2022, respectively, as compared to the same periods of the prior fiscal year, with the Acquisition contributing approximately 70% of those increases. From an end market perspective, revenue increased in the three- and six-month periods ended April 30, 2022, as compared to the same periods of the prior fiscal year, primarily as a result of the Acquisition and higher demand for our products across all end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1,849,988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1,092,928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1,091,710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546,555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2,972,064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1,661,407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4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tcPr>
          <w:p>
            <w:pPr>
              <w:spacing w:after="0"/>
              <w:rPr>
                <w:sz w:val="23"/>
                <w:szCs w:val="23"/>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3,503,042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2,039,314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2,094,891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1,136,011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5,656,357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1300" w:type="dxa"/>
            <w:vAlign w:val="bottom"/>
          </w:tcPr>
          <w:p>
            <w:pPr>
              <w:spacing w:after="0"/>
              <w:rPr>
                <w:sz w:val="16"/>
                <w:szCs w:val="16"/>
                <w:color w:val="auto"/>
              </w:rPr>
            </w:pP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3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2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1,944,520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1,136,637</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807,883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3,346,517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2,182,008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1,164,509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71"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Gross margin percentage decreased by 300 and 860 basis points in the three- and six-month periods ended April 30, 2022, respectively, as compared to the same periods of the prior fiscal year. In the three-month period ended April 30, 2022, this decrease was primarily as a result of additional cost of goods sold related to the Acquisition, including $214.2 million related to amortization expense of intangible assets. In the six-month period ended April 30, 2022, this decrease was primarily as a result of additional cost of goods sold related to the Acquisition, including $428.5 million related to amortization expense of intangible assets and $271.4 million related to the nonrecurring fair value adjustment recorded to inventory. The unfavorable impact of these increases in cost of sales on gross margin percent was partially offset by favorable product mix, synergies related to the Acquisition and higher utilization of our factories due to increased customer demand.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420,901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302,238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118,663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847,681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590,388</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257,293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 a %</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864"/>
        </w:trPr>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1" w:name="page22"/>
    <w:bookmarkEnd w:id="21"/>
    <w:p>
      <w:pPr>
        <w:ind w:firstLine="445"/>
        <w:spacing w:after="0" w:line="282" w:lineRule="auto"/>
        <w:rPr>
          <w:sz w:val="20"/>
          <w:szCs w:val="20"/>
          <w:color w:val="auto"/>
        </w:rPr>
      </w:pPr>
      <w:r>
        <w:rPr>
          <w:rFonts w:ascii="Times New Roman" w:cs="Times New Roman" w:eastAsia="Times New Roman" w:hAnsi="Times New Roman"/>
          <w:sz w:val="18"/>
          <w:szCs w:val="18"/>
          <w:color w:val="auto"/>
        </w:rPr>
        <w:t>R&amp;D expenses increased in the three- and six-month periods ended April 30, 2022, as compared to the same periods of the prior fiscal year, primarily as a result of the Acquisition.</w:t>
      </w:r>
    </w:p>
    <w:p>
      <w:pPr>
        <w:spacing w:after="0" w:line="10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305,308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206,612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98,696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602,673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391,887</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210,786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176"/>
        </w:trPr>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 expenses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8"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SMG&amp;A expenses increased in the three- and six-month periods ended April 30, 2022, as compared to the same periods of the prior fiscal year, primarily as a result of the Acquisition as well as higher variable compensation expenses and salary and benefit expenses, partially offset by lower acquisition-related transaction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253,476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107,786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145,690</w:t>
            </w: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135 %  $</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506,843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215,434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291,409</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expenses as a %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5"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increased in the three-and six-month periods ended April 30, 2022, as compared to the same periods of the prior fiscal year, primarily as a result of amortization expense of intangible assets recorded as a result of the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13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Special charges,</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46,363</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14,908 %  $</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106,402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105,653</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14,106 %</w:t>
            </w:r>
          </w:p>
        </w:tc>
        <w:tc>
          <w:tcPr>
            <w:tcW w:w="0" w:type="dxa"/>
            <w:vAlign w:val="bottom"/>
          </w:tcPr>
          <w:p>
            <w:pPr>
              <w:spacing w:after="0"/>
              <w:rPr>
                <w:sz w:val="1"/>
                <w:szCs w:val="1"/>
                <w:color w:val="auto"/>
              </w:rPr>
            </w:pPr>
          </w:p>
        </w:tc>
      </w:tr>
      <w:tr>
        <w:trPr>
          <w:trHeight w:val="184"/>
        </w:trPr>
        <w:tc>
          <w:tcPr>
            <w:tcW w:w="1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Special charges,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as a %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left="439"/>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Special charges, net increased in the three- and six-month periods ended April 30, 2022, as compared to the same periods of the prior fiscal year, primarily as a result of charges recorded as part of the integration of the Acquisition and continued organizational initiatives to better align our global workforce with our long-term strategic plan. The charges were primarily for severance and benefit costs as well as charges recorded from the acceleration of equity awards in connection with the termination of certain employees in manufacturing, engineering and SMG&amp;A roles at sites assumed related to the Acquisition and various locations throughout the world. In the six-month period ended April 30, 2022, these charges were partially offset by a gain of $8.3 million recognized upon the sale of a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6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918,161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519,690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398,471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1,282,918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983,550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$ 299,368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175"/>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income as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year-over-year increase in operating income in the three-month period ended April 30, 2022 was primarily the result of an increase in revenue of $1,310.7 million, which contributed to an increase in gross margin of $807.9 million, offset by increases of $145.7 million in amortization expenses, $118.7 million in R&amp;D expenses, $98.7 million in SMG&amp;A expenses and $46.4 million in special charges, net, as described above under the headings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Trends by End Market, Gross Margin, Amortization of Intangibles, Research and Development (R&amp;D), Selling, Marketing, General and Administrative (SMG&amp;A)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Special Charges, Net.</w:t>
      </w:r>
    </w:p>
    <w:p>
      <w:pPr>
        <w:spacing w:after="0" w:line="129"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year-over-year increase in operating income in the six-month period ended April 30, 2022 was primarily the result of an increase in revenue of $2,436.5 million, which contributed to an increase in gross margin of $1,164.5 million, offset by increases of $291.4 million in amortization expenses, $257.3 million in R&amp;D expenses, $210.8 million in SMG&amp;A expenses and $105.7 million in special charges, net, as described above under the headings </w:t>
      </w:r>
      <w:r>
        <w:rPr>
          <w:rFonts w:ascii="Times New Roman" w:cs="Times New Roman" w:eastAsia="Times New Roman" w:hAnsi="Times New Roman"/>
          <w:sz w:val="18"/>
          <w:szCs w:val="18"/>
          <w:i w:val="1"/>
          <w:iCs w:val="1"/>
          <w:color w:val="auto"/>
        </w:rPr>
        <w:t xml:space="preserve">Revenue Trends by End Market, Gross Margin, Amortization of Intangibles, Research and Development (R&amp;D), Selling, Marketing, General and Administrative (SMG&amp;A)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Special Charges, 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r>
    </w:tbl>
    <w:p>
      <w:pPr>
        <w:spacing w:after="0" w:line="23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year-over-year decrease in nonoperating expense (income) in the three-month period ended April 30, 2022 was primarily the result of gains recorded in other investments and a favorable impact of foreign currencies in the second quarter of fiscal 2022, partially offset by higher interest expense and amortization related to our debt obligations.</w:t>
      </w:r>
    </w:p>
    <w:p>
      <w:pPr>
        <w:spacing w:after="0" w:line="122"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The year-over-year increase in nonoperating expense (income) in the six-month period ended April 30, 2022 was the result of higher interest expense and amortization related to our debt obligations, partially offset by a favorable impact of foreign currencies and higher gains from other investments.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3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95,972</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53,080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139,450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101,179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38,271</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7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and six-month periods ended April 30, 2022 and May 1, 2021 were below the U.S. statutory tax rate of 21% due to lower statutory tax rates applicable to our operations in the foreign jurisdictions in which we earn income. Our pretax income for the three- and six-month periods ended April 30, 2022 and May 1, 2021 was primarily generated in Ireland at a tax rate of 12.5%.</w:t>
      </w:r>
    </w:p>
    <w:p>
      <w:pPr>
        <w:spacing w:after="0" w:line="66"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783,273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422,905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360,368</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1,063,350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811,424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251,926</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175"/>
        </w:trPr>
        <w:tc>
          <w:tcPr>
            <w:tcW w:w="1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as a % of</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three-month period ended April 30, 2022, as compared to the same period of the prior fiscal year, as a result of a $398.5 million increase in operating income and a $4.8 million decrease in nonoperating expense (income), partially offset by a $42.9 million increase in provision for income taxes.</w:t>
      </w:r>
    </w:p>
    <w:p>
      <w:pPr>
        <w:spacing w:after="0" w:line="122"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six-month period ended April 30, 2022, as compared to the same period of the prior fiscal year, as a result of a $299.4 million increase in operating income, partially offset by a $38.3 million increase in provision for income taxes and a $9.2 million increase in nonoperating expense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At April 30, 2022, our principal source of liquidity was $1,737.7 million of cash and cash equivalents, of which approximately $440.0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81"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4"/>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40" w:type="dxa"/>
            <w:vAlign w:val="bottom"/>
          </w:tcPr>
          <w:p>
            <w:pPr>
              <w:spacing w:after="0"/>
              <w:rPr>
                <w:sz w:val="16"/>
                <w:szCs w:val="16"/>
                <w:color w:val="auto"/>
              </w:rPr>
            </w:pPr>
          </w:p>
        </w:tc>
        <w:tc>
          <w:tcPr>
            <w:tcW w:w="15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2,078,220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1,164,303</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(216,902)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(135,768)</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(2,085,454)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(783,408)</w:t>
            </w:r>
          </w:p>
        </w:tc>
      </w:tr>
    </w:tbl>
    <w:p>
      <w:pPr>
        <w:spacing w:after="0" w:line="16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six-month period ended April 30, 2022 as compared to the same period in fiscal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increase in cash provided by operating activities during the six-month period ended April 30, 2022, as compared to the same period of the prior fiscal year, was primarily the result of an increase in net income adjusted for noncash amortization of intangibles and cost of goods sold for inventory acquired, offset by changes in working capital.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increase in cash used for investing activities during the six-month period ended April 30, 2022, as compared to the same period of the prior fiscal year, was primarily the result of an increase in cash used for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six-month period ended April 30, 2022, as compared to the same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4" w:name="page25"/>
    <w:bookmarkEnd w:id="24"/>
    <w:p>
      <w:pPr>
        <w:ind w:right="400"/>
        <w:spacing w:after="0" w:line="282" w:lineRule="auto"/>
        <w:rPr>
          <w:sz w:val="20"/>
          <w:szCs w:val="20"/>
          <w:color w:val="auto"/>
        </w:rPr>
      </w:pPr>
      <w:r>
        <w:rPr>
          <w:rFonts w:ascii="Times New Roman" w:cs="Times New Roman" w:eastAsia="Times New Roman" w:hAnsi="Times New Roman"/>
          <w:sz w:val="18"/>
          <w:szCs w:val="18"/>
          <w:color w:val="auto"/>
        </w:rPr>
        <w:t>period of the prior fiscal year, was primarily the result of early termination of debt in the first quarter of fiscal 2022, more cash used for common stock repurchases and higher dividend payments to shareholders.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100" w:hanging="332"/>
        <w:spacing w:after="0" w:line="262"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 Cost of sales amounts used in the calculation of days cost of sales in inventory include Acquisition accounting adjustments related to the sale of acquired inventory written up to fair value, amortization of developed technology intangible assets acquired and depreciation related to the write-up of fixed assets to fair value.</w:t>
      </w:r>
    </w:p>
    <w:p>
      <w:pPr>
        <w:spacing w:after="0" w:line="66"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in dollars was primarily the result of variations in the timing of collections and billings and increased revenue levels.</w:t>
      </w:r>
    </w:p>
    <w:p>
      <w:pPr>
        <w:spacing w:after="0" w:line="54"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Inventory decreased primarily as a result of our October 30, 2021 balance, including additional costs related to the Acquisition as a result of accounting for acquired inventory at fair-value. Inventory levels also fluctuate due to our efforts to balance manufacturing production, demand and inventory levels. Our inventory levels are impacted by our need to support forecasted sales demand and variations between those forecasts and actual demand.</w:t>
      </w:r>
    </w:p>
    <w:p>
      <w:pPr>
        <w:spacing w:after="0" w:line="72"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approximately $2,326.2 million at April 30, 2022 from approximately $2,770.3 million at the end of fiscal 2021 primarily due to early termination of debt.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April 30, 2022,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Maxim 2027 Notes, due June 2027</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6,276,865</w:t>
            </w:r>
          </w:p>
        </w:tc>
      </w:tr>
      <w:tr>
        <w:trPr>
          <w:trHeight w:val="20"/>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April 30, 2022,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provides for a five year unsecured revolving credit facility in an aggregate principal amount not to exceed $2.5 billion (subject to certain terms and conditions).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April 30, 2022, we were in compliance with these covenants.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33"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In fiscal 2021, we entered into accelerated share repurchase agreements (ASR) with third party financial institutions, paid $2.5 billion and received an initial delivery of 12.3 million shares of common stock, which represented approximately 80% of the notional amount of the ASR. As of October 30, 2021, we recorded the remaining 20%, or $500.0 million, within Prepaid expenses and other current assets on the Consolidated Balance Sheet, which was utilized during the first quarter of fiscal 2022. During the first quarter of fiscal 2022, the ASR was completed and an additional 2.1 million shares of common stock were received as final settlement of the ASR. In total, we repurchased 14.4 million shares of our common stock under the ASR at an average price per share of $173.77.</w:t>
      </w:r>
    </w:p>
    <w:p>
      <w:pPr>
        <w:spacing w:after="0" w:line="7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April 30, 2022, an additional $6.6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Net additions to property, plant and equipment were $229.9 million in the first six months of fiscal 2022 and were funded with a combination of cash on hand and cash generated from operations. We expect capital expenditures for fiscal 2022 to be between 6% and 8%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On May 17, 2022, our Board of Directors declared a cash dividend of $0.76 per outstanding share of common stock. The dividend will be paid on June 9, 2022 to all shareholders of record at the close of business on May 31, 2022 and is expected to total approximately $395.1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the first quarter of fiscal 2022, we repaid approximately $500.0 million of principal on notes that were contractually due in March 2023. For additional information,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6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There have not been any other material changes during the six-month period ended April 30, 2022 to the amounts presented in the table summarizing our contractual obligations included in our Annual Report on Form 10-K for the fiscal year ended October 30,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three-month period ended April 30, 2022 to the information provided under the heading “Critical Accounting Policies and Estimates” in the section entitled "Management's Discussion and Analysis of Financial Condition and Results of Operations" of our Annual Report on Form 10-K for the fiscal year ended October 30, 2021.</w:t>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16" w:right="499" w:bottom="1440" w:gutter="0" w:footer="0" w:header="0"/>
        </w:sectPr>
      </w:pPr>
    </w:p>
    <w:bookmarkStart w:id="27" w:name="page28"/>
    <w:bookmarkEnd w:id="27"/>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680" w:firstLine="445"/>
        <w:spacing w:after="0" w:line="271" w:lineRule="auto"/>
        <w:rPr>
          <w:sz w:val="20"/>
          <w:szCs w:val="20"/>
          <w:color w:val="auto"/>
        </w:rPr>
      </w:pPr>
      <w:r>
        <w:rPr>
          <w:rFonts w:ascii="Times New Roman" w:cs="Times New Roman" w:eastAsia="Times New Roman" w:hAnsi="Times New Roman"/>
          <w:sz w:val="18"/>
          <w:szCs w:val="18"/>
          <w:color w:val="auto"/>
        </w:rPr>
        <w:t>There were no material changes in the six-month period ended April 30, 2022 to the information provided under Item 7A. “Quantitative and Qualitative Disclosures about Market Risk,” set forth in our Annual Report on Form 10-K for the fiscal year ended October 30, 2021</w:t>
      </w:r>
      <w:r>
        <w:rPr>
          <w:rFonts w:ascii="Times New Roman" w:cs="Times New Roman" w:eastAsia="Times New Roman" w:hAnsi="Times New Roman"/>
          <w:sz w:val="18"/>
          <w:szCs w:val="18"/>
          <w:color w:val="EE2724"/>
        </w:rPr>
        <w:t>.</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7" w:lineRule="exact"/>
        <w:rPr>
          <w:sz w:val="20"/>
          <w:szCs w:val="20"/>
          <w:color w:val="auto"/>
        </w:rPr>
      </w:pPr>
    </w:p>
    <w:p>
      <w:pPr>
        <w:ind w:firstLine="8"/>
        <w:spacing w:after="0" w:line="253"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April 30, 2022.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30, 2022, our Chief Executive Officer and Chief Financial Officer concluded that, as of such date, our disclosure controls and procedures were effective at the reasonable assurance level.</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April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firstLine="445"/>
        <w:spacing w:after="0" w:line="243"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alleges breach of fiduciary duties by the individual defendants in connection with Maxim’s agreement, as part of the merger negotiations with the Company, to suspend Maxim dividends for up to four quarters prior to the closing of the acquisition of Maxim by the Company. The complaint further alleges that the Company aided and abetted that alleged breach of fiduciary duties. The plaintiffs seek damages in an amount to be determined at trial, plaintiffs’ costs and disbursements, including reasonable attorneys’ and experts’ fees, costs and other expenses. The Company believes that it and the other defendants have meritorious defenses to these allegations; however, the Company is currently unable to determine the ultimate outcome of this matter or determine an estimate, or a range of estimates, of potential losses, if any.</w:t>
      </w:r>
    </w:p>
    <w:p>
      <w:pPr>
        <w:spacing w:after="0" w:line="2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risk factors set forth below restate and supersede the risk factors set forth in Part I, Item 1A, "Risk Factors" of our Annual Report on Form 10-K for the fiscal year ended October 30, 2021.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Acquisition of Maxim Integrated Products, Inc. (Maxim)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will continue to incur substantial expenses related to the ongoing integration of Maxim.</w:t>
      </w:r>
    </w:p>
    <w:p>
      <w:pPr>
        <w:spacing w:after="0" w:line="14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August 2021, we completed our acquisition of Maxim, which we refer to as the acquisition or the merger. We have incurred and expect to continue to incur a number of non-recurring costs associated with combining the operations of the two companies. These costs and expenses include fees paid to financial, legal and accounting advisors, facilities and systems consolidation costs, severance and other potential employment-related costs, including severance payments that may be made to certain Maxim employees, and other related charges.</w:t>
      </w:r>
    </w:p>
    <w:p>
      <w:pPr>
        <w:spacing w:after="0" w:line="8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combined company has and will continue to incur restructuring and ongoing integration costs in connection with the merger. The costs related to restructuring are being expensed as a cost of the ongoing results of operations. There are a large number of processes, policies, procedures, operations, technologies and systems that must be integrated in connection with the merger and the ongoing integration of Maxim’s business. Although we expect that the elimination of duplicative costs, strategic benefits, and additional income, as well as the realization of other efficiencies related to the ongoing integration of the businesses, may offset incremental transaction, merger-related and restructuring costs over time, any net benefit may not be achieved in the near term or at all.</w:t>
      </w:r>
    </w:p>
    <w:p>
      <w:pPr>
        <w:spacing w:after="0" w:line="91"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94"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merger involves the combination of two companies which operated, until the completion of the merger, as independent public companies. There can be no assurances that the two businesses can be integrated successfully. It is possible that the ongoing integration process could result in the loss of key employees from both companies, the loss of customers, the disruption of ongoing businesses, inconsistencies in standards, controls, procedures and policies, unexpected integration issues, higher than expected integration costs and an overall integration process that takes longer than originally anticipated. Management must devote attention and resources to continue integrating the combined company's business practices and operations. Potential difficulties the combined company may encounter as the integration process continues include the following: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9" w:name="page30"/>
    <w:bookmarkEnd w:id="29"/>
    <w:p>
      <w:pPr>
        <w:ind w:left="660" w:right="58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and operations from the two companies while maintaining focus on providing consistent, high-quality products and services, especially in the COVID-19 environment which has required employees to work remotely in some locations;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or increased costs and expenses;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integrating the companies’ operations.</w:t>
      </w:r>
    </w:p>
    <w:p>
      <w:pPr>
        <w:spacing w:after="0" w:line="13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Any of these factors could result in the combined company failing to realize the anticipated benefits of the acquisition, on the expected timeline or at all. An inability to realize the full extent of the anticipated benefits of the merger, as well as any delays encountered in the continuing integration process, could have an adverse effect upon the revenues, level of expenses and operating results of the combined company, which may adversely affect the value of the common stock of the combined company.</w:t>
      </w:r>
    </w:p>
    <w:p>
      <w:pPr>
        <w:spacing w:after="0" w:line="9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addition, the continuing integration may result in additional and unforeseen expenses, and the anticipated benefits of the integration plan may not be realized. Actual growth and cost savings, if achieved, may be lower than what we expect and may take longer to achieve than anticipated. If we are not able to adequately address integration challenges, we may be unable to successfully integrate the two companies or realize the anticipated benefits of the ongoing integration.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Global Operations</w:t>
      </w:r>
    </w:p>
    <w:p>
      <w:pPr>
        <w:spacing w:after="0" w:line="13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The extent to which the novel strain of the coronavirus (COVID-19) pandemic will adversely affect our business, financial condition and results of operations is uncertain.</w:t>
      </w:r>
    </w:p>
    <w:p>
      <w:pPr>
        <w:spacing w:after="0" w:line="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and the numerous measures implemented by government authorities in response,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Thailand,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full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9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continuing spread of COVID-19 has caused us and continues to cause us to modify our business practices by, among other things, restricting employee travel, modifying employee work locations, and canceling physical participation in meetings, events and conferences. As a result of our changed workplace practices, some of our employees continue to work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alterations to our business practices are intended to minimize the spread of COVID-19, we cannot provide assurance that such measures will be sufficient to mitigate the risks posed by COVID-19, and if a significant number of our employees or members of our board of directors become ill, our ability to perform critical functions could be harmed.</w:t>
      </w:r>
    </w:p>
    <w:p>
      <w:pPr>
        <w:spacing w:after="0" w:line="9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has significantly increased economic and demand uncertainty.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10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cannot at this time fully quantify or forecast the impact of the COVID-19 pandemic on our business. The full extent of the impact of the pandemic on our business, financial condition and results of operations will depend on future developments, which are highly uncertain, including the continued duration and severity of the pandemic, the severity and containment of certain variants of the virus, the availability, administration rates and effectiveness of vaccines, the actions to contain the virus or treat its impact, and how quickly and to what extent normal economic and operating conditions can resume.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30" w:name="page31"/>
    <w:bookmarkEnd w:id="30"/>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Continuing political and global macroeconomic uncertainty, including related to the COVID-19 pandemic, trade and political disputes between the United States and China, China-Taiwan relations, the United Kingdom's withdrawal from the European Union, the ongoing conflict between Russia and Ukraine, tensions between Russia, the United States and European countries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9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6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have significant operations and manufacturing facilities outside the United States, including in Ireland, the Philippines, Thailand,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markets in which we do business, such as potential macroeconomic</w:t>
      </w:r>
    </w:p>
    <w:p>
      <w:pPr>
        <w:spacing w:after="0" w:line="49" w:lineRule="exact"/>
        <w:rPr>
          <w:rFonts w:ascii="Times New Roman" w:cs="Times New Roman" w:eastAsia="Times New Roman" w:hAnsi="Times New Roman"/>
          <w:sz w:val="18"/>
          <w:szCs w:val="18"/>
          <w:color w:val="auto"/>
        </w:rPr>
      </w:pPr>
    </w:p>
    <w:p>
      <w:pPr>
        <w:ind w:left="660" w:right="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related to trade and political disputes between the United States and China, changes in China-Taiwan relations that may adversely affect our operations in Taiwan, our customers, and the technology industry supply chain, the United Kingdom's withdrawal from the European Union, the implementation of the United States-Mexico-Canada Agreement and the ongoing conflict between Russia and Ukraine;</w:t>
      </w:r>
    </w:p>
    <w:p>
      <w:pPr>
        <w:spacing w:after="0" w:line="6"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export regulations, including the Export Administration Regulations and the International Traffic and Arms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and interest rate fluctuations, including the potential impact of the transition from LIBOR;</w:t>
      </w:r>
    </w:p>
    <w:p>
      <w:pPr>
        <w:spacing w:after="0" w:line="63" w:lineRule="exact"/>
        <w:rPr>
          <w:rFonts w:ascii="Times New Roman" w:cs="Times New Roman" w:eastAsia="Times New Roman" w:hAnsi="Times New Roman"/>
          <w:sz w:val="18"/>
          <w:szCs w:val="18"/>
          <w:color w:val="auto"/>
        </w:rPr>
      </w:pPr>
    </w:p>
    <w:p>
      <w:pPr>
        <w:ind w:left="660" w:right="50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policy, commercial, travel, export or taxation disputes or restrictions, import or export tariffs, changes to export classifications or other restrictions imposed by the U.S. government or by the governments of the countries in which we do business, particularly in China;</w:t>
      </w:r>
    </w:p>
    <w:p>
      <w:pPr>
        <w:spacing w:after="0" w:line="1" w:lineRule="exact"/>
        <w:rPr>
          <w:rFonts w:ascii="Times New Roman" w:cs="Times New Roman" w:eastAsia="Times New Roman" w:hAnsi="Times New Roman"/>
          <w:sz w:val="18"/>
          <w:szCs w:val="18"/>
          <w:color w:val="auto"/>
        </w:rPr>
      </w:pPr>
    </w:p>
    <w:p>
      <w:pPr>
        <w:ind w:left="660" w:right="40" w:hanging="328"/>
        <w:spacing w:after="0" w:line="265"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sanctions imposed by governments in countries in which we do business, including those imposed on Russia by, among others, the European Union, the U.S. and the United Kingdom in response to the ongoing conflict between Russia and Ukraine, which sanctions restrict a wide range of trade and financial dealings with Russian and Russian persons, as well as certain regions in Ukraine;</w:t>
      </w:r>
    </w:p>
    <w:p>
      <w:pPr>
        <w:spacing w:after="0" w:line="15"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cyber security, sustainability and climate-related regulations, intellectual property, anti-corruption and environmental compliance, including the Foreign Corrupt Practices Act;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from terrorism and threats of terrorism and the response to them by the U.S. and its allies;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managerial complexities, including different employment practices and labor issues;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regulations and procedures and enforcement practices of various government agencies;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such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public health emergencies, such as the current COVID-19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 and delays and increases in labor and transportation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foreign taxes, tariffs and freight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raw material costs and energy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collections and longer collection periods;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1" w:name="page32"/>
    <w:bookmarkEnd w:id="31"/>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foreign defined benefit pension plans.</w:t>
      </w:r>
    </w:p>
    <w:p>
      <w:pPr>
        <w:spacing w:after="0" w:line="131"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Any of these risks, or any other risks related to international business operations, could materially adversely affect our business, financial condition and results of operations.</w:t>
      </w:r>
    </w:p>
    <w:p>
      <w:pPr>
        <w:spacing w:after="0" w:line="8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In addition, expanded export restrictions may limit our ability to sell to certain Chinese companies and to third parties that do business with those companies. These restrictions have created and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9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addition, our success in the Chinese markets may be adversely affected by China's continuously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7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If we are not able to meet our U.S. cash requirements, it may be necessary for us to consider repatriation of foreign earnings, which could have a material adverse effect on our results of operations and financial condition.</w:t>
      </w:r>
    </w:p>
    <w:p>
      <w:pPr>
        <w:spacing w:after="0" w:line="7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carry outside basis differences in certain of our subsidiaries, primarily arising from acquisition accounting adjustments and certain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not able to meet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Industry and Partners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revenue, gross margins, operating results, net income and earnings per share are difficult to predict and may materially fluctuate.</w:t>
      </w:r>
    </w:p>
    <w:p>
      <w:pPr>
        <w:spacing w:after="0" w:line="14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future revenue, gross margins, operating results, net income and earnings per share are difficult to predict and may be materially affected by a number of factors, including:</w:t>
      </w:r>
    </w:p>
    <w:p>
      <w:pPr>
        <w:spacing w:after="0" w:line="1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and the duration of the COVID-19 pandemic;</w:t>
      </w:r>
    </w:p>
    <w:p>
      <w:pPr>
        <w:spacing w:after="0" w:line="7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economic conditions in the markets in which we sell our products, including inflationary pressures, which has or may result in increased interest rates, fuel prices, wages, and other costs;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or order patterns for our products and/or for end products that incorporate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delay, reduction or cancellation of significant customer orders and our ability to manage inventory;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distributor demand for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future distributor pricing credits and/or stock rotation rights;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 structure in both the short term and over a longer duration;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product or customer mix;</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new or revised tax legislation in the United States, Ireland or worldwide;</w:t>
      </w:r>
    </w:p>
    <w:p>
      <w:pPr>
        <w:spacing w:after="0" w:line="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32" w:name="page33"/>
    <w:bookmarkEnd w:id="32"/>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or introductions by us, our customers or our competitors and the market acceptance of such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decisions and competitive pricing pressures;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 adequate availability of wafers and other raw materials, and manufacturing, assembly and test capacity;</w:t>
      </w:r>
    </w:p>
    <w:p>
      <w:pPr>
        <w:spacing w:after="0" w:line="76"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subcontractors and manufacturers to supply us with sufficient quantities of raw materials, products and/or components;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infrastructure spending by foreign governments, including China;</w:t>
      </w:r>
    </w:p>
    <w:p>
      <w:pPr>
        <w:spacing w:after="0" w:line="7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government defense budget, changes in spending or budgetary priorities, a prolonged U.S. government shutdown or delays in contract awards;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decline in our backlog;</w:t>
      </w:r>
    </w:p>
    <w:p>
      <w:pPr>
        <w:spacing w:after="0" w:line="90"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retain and motivate adequate numbers of engineers and other qualified employees to meet the demands of our customers;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new design opportunities and win competitive bid selection processes;</w:t>
      </w:r>
    </w:p>
    <w:p>
      <w:pPr>
        <w:spacing w:after="0" w:line="7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of providing employee benefits worldwide, including health insurance, retirement plan and pension plan contributions and retirement benefits;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manufacturing facilities at efficient levels;</w:t>
      </w:r>
    </w:p>
    <w:p>
      <w:pPr>
        <w:spacing w:after="0" w:line="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litigation-related costs or product liability, warranty and/or indemnity claims, including those not covered by our suppliers or insurers;</w:t>
      </w:r>
    </w:p>
    <w:p>
      <w:pPr>
        <w:spacing w:after="0" w:line="1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inherent in forecasting future operating expense levels, including with respect to costs associated with labor, utilities, transportation and raw materials;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compliance with increasing worldwide government, environmental and social responsibility standards;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 practices; and</w:t>
      </w:r>
    </w:p>
    <w:p>
      <w:pPr>
        <w:spacing w:after="0" w:line="76"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81"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our effective tax rate and exposure to additional tax liabilities may adversely impact our results of operations.</w:t>
      </w:r>
    </w:p>
    <w:p>
      <w:pPr>
        <w:spacing w:after="0" w:line="14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 Our effective tax rate for the first three and six months of the fiscal year ending October 29, 2022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of the tax holiday, we may lose the benefit of the tax holiday and/or be subject to additional taxes and/or penalties. Any significant increase in our future effective tax rate could adversely impact our net income during future periods.</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Compliance with tax legislation may require the collection of information not regularly produced by us,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8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8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9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6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1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markets within the semiconductor industry in the future.</w:t>
      </w:r>
    </w:p>
    <w:p>
      <w:pPr>
        <w:spacing w:after="0" w:line="14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9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6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With respect to TSMC in particular, geopolitical changes in China-Taiwan relations could disrupt TSMC’s operations, which would adversely affect our ability to manufacture certain products. Recently, we have experienced increased demand leading to a constrained supply environment, which we believe will continue in the near term. In addition, our manufacturing processes require availability of certain raw materials and supplies. Limited or delayed access to these items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10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 prolonged disruption of our internal manufacturing operations could have a material adverse effect on our business, financial condition and results of operations.</w:t>
      </w:r>
    </w:p>
    <w:p>
      <w:pPr>
        <w:spacing w:after="0" w:line="6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leveraging an outsourcing model for manufacturing operations, we also rely on our internal manufacturing operations located in the United States, Ireland, the Philippines, Thailand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7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periods when demand for our products has increased or decreased rapidly. The demand for our products is subject to the strength of our four major end markets of Industrial, Automotive, Communications, and Consumer. If we expand our operations and workforce too rapidly or procure excessive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5" w:name="page36"/>
    <w:bookmarkEnd w:id="35"/>
    <w:p>
      <w:pPr>
        <w:ind w:right="60"/>
        <w:spacing w:after="0" w:line="254" w:lineRule="auto"/>
        <w:rPr>
          <w:sz w:val="20"/>
          <w:szCs w:val="20"/>
          <w:color w:val="auto"/>
        </w:rPr>
      </w:pPr>
      <w:r>
        <w:rPr>
          <w:rFonts w:ascii="Times New Roman" w:cs="Times New Roman" w:eastAsia="Times New Roman" w:hAnsi="Times New Roman"/>
          <w:sz w:val="18"/>
          <w:szCs w:val="18"/>
          <w:color w:val="auto"/>
        </w:rPr>
        <w:t>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109"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Semiconductor products are highly complex and may contain defects that affect their quality or performance. Failures in our products and services or</w:t>
      </w:r>
    </w:p>
    <w:p>
      <w:pPr>
        <w:spacing w:after="0" w:line="6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107" w:lineRule="exact"/>
        <w:rPr>
          <w:sz w:val="20"/>
          <w:szCs w:val="20"/>
          <w:color w:val="auto"/>
        </w:rPr>
      </w:pPr>
    </w:p>
    <w:p>
      <w:pPr>
        <w:jc w:val="both"/>
        <w:ind w:right="100" w:firstLine="486"/>
        <w:spacing w:after="0" w:line="290" w:lineRule="auto"/>
        <w:rPr>
          <w:sz w:val="20"/>
          <w:szCs w:val="20"/>
          <w:color w:val="auto"/>
        </w:rPr>
      </w:pPr>
      <w:r>
        <w:rPr>
          <w:rFonts w:ascii="Times New Roman" w:cs="Times New Roman" w:eastAsia="Times New Roman" w:hAnsi="Times New Roman"/>
          <w:sz w:val="17"/>
          <w:szCs w:val="17"/>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w:t>
      </w:r>
    </w:p>
    <w:p>
      <w:pPr>
        <w:spacing w:after="0" w:line="254" w:lineRule="auto"/>
        <w:rPr>
          <w:sz w:val="20"/>
          <w:szCs w:val="20"/>
          <w:color w:val="auto"/>
        </w:rPr>
      </w:pPr>
      <w:r>
        <w:rPr>
          <w:rFonts w:ascii="Times New Roman" w:cs="Times New Roman" w:eastAsia="Times New Roman" w:hAnsi="Times New Roman"/>
          <w:sz w:val="18"/>
          <w:szCs w:val="18"/>
          <w:color w:val="auto"/>
        </w:rPr>
        <w:t>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9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recruit or retain our key personnel, our ability to execute our business strategy will be adversely affected.</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and the labor market is tight. Further, we have recently experienced an increase in undesired attrition. The loss of key personnel or the inability to attract, timely hire and retain key employees with critical technical skills to achieve our strategy, including as a result of changes to immigration policies, could cause business disruptions, increased expenses to address any disruptions, and could have a material adverse effect on our business. We do not maintain any key person life insurance policy on any of our officers or other employees.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6" w:name="page37"/>
    <w:bookmarkEnd w:id="36"/>
    <w:p>
      <w:pPr>
        <w:spacing w:after="0" w:line="284" w:lineRule="auto"/>
        <w:rPr>
          <w:sz w:val="20"/>
          <w:szCs w:val="20"/>
          <w:color w:val="auto"/>
        </w:rPr>
      </w:pPr>
      <w:r>
        <w:rPr>
          <w:rFonts w:ascii="Times New Roman" w:cs="Times New Roman" w:eastAsia="Times New Roman" w:hAnsi="Times New Roman"/>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7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attention in connection with both negotiating the transaction and integrating the acquired assets and businesses;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or delay integrating acquired technologies, operations, systems and infrastructure, and personnel with our existing businesses;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strain on managerial and operational resources as management tries to oversee larger or more complex operations;</w:t>
      </w:r>
    </w:p>
    <w:p>
      <w:pPr>
        <w:spacing w:after="0" w:line="75" w:lineRule="exact"/>
        <w:rPr>
          <w:rFonts w:ascii="Arial" w:cs="Arial" w:eastAsia="Arial" w:hAnsi="Arial"/>
          <w:sz w:val="18"/>
          <w:szCs w:val="18"/>
          <w:color w:val="auto"/>
        </w:rPr>
      </w:pPr>
    </w:p>
    <w:p>
      <w:pPr>
        <w:ind w:left="660" w:right="360" w:hanging="328"/>
        <w:spacing w:after="0" w:line="281"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future funding requirements for acquired companies, including research and development costs, employee compensation and benefits, and operating expenses, which may be significant;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servicing significant debt that may be incurred in connection with acquisitions;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loss of key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exposure to unforeseen liabilities or regulatory compliance issues of acquired companies;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higher than expected or unexpected costs relating to or associated with an acquisition and integration of assets and businesses;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realizing expected cost savings, operating synergies and growth prospects of an acquisition in a timely manner or at all;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risk of costly and time-consuming legal proceedings.</w:t>
      </w:r>
    </w:p>
    <w:p>
      <w:pPr>
        <w:spacing w:after="0" w:line="14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results of operations could be affected by natural disasters in the locations in which we operate.</w:t>
      </w:r>
    </w:p>
    <w:p>
      <w:pPr>
        <w:spacing w:after="0" w:line="13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like many companies in the semiconductor industry, rely on supplies, services, internal manufacturing capacity, wafer fabrication foundries and other subcontractors in locations around the world that are susceptible to natural disasters and other significant disruptions. Earthquakes, fires,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w:t>
      </w:r>
    </w:p>
    <w:p>
      <w:pPr>
        <w:spacing w:after="0" w:line="1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condition. In addition, global climate change can result in certain natural disasters occurring more frequently or with greater intensity, such as drought, wildfires, storms, sea-level rise, and flooding, and could disrupt the availability of water necessary for the operation of our fabrication facilities located in semi-arid regions. During 2021, the west coast of the U.S. experienced historic wildfires where we have operations and manufacturing facilities. The long-term effects of climate change on the global economy and the semiconductor industry in particular are unclear, but could be severe.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Our operating results are dependent on the performance of independent distributors.</w:t>
      </w:r>
    </w:p>
    <w:p>
      <w:pPr>
        <w:spacing w:after="0" w:line="14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9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may be volatile.</w:t>
      </w:r>
    </w:p>
    <w:p>
      <w:pPr>
        <w:spacing w:after="0" w:line="14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as it may be significantly affected by factors including:</w:t>
      </w:r>
    </w:p>
    <w:p>
      <w:pPr>
        <w:spacing w:after="0" w:line="6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and the duration of the COVID-19 pandemic;</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global economic conditions generally;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crises in global credit, debt and financial markets;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anticipated fluctuations in our revenue and operating results;</w:t>
      </w:r>
    </w:p>
    <w:p>
      <w:pPr>
        <w:spacing w:after="0" w:line="75"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financial results and prospects of our customers;</w:t>
      </w:r>
    </w:p>
    <w:p>
      <w:pPr>
        <w:spacing w:after="0" w:line="75" w:lineRule="exact"/>
        <w:rPr>
          <w:rFonts w:ascii="Arial" w:cs="Arial" w:eastAsia="Arial" w:hAnsi="Arial"/>
          <w:sz w:val="18"/>
          <w:szCs w:val="18"/>
          <w:color w:val="auto"/>
        </w:rPr>
      </w:pPr>
    </w:p>
    <w:p>
      <w:pPr>
        <w:ind w:left="660" w:right="80" w:hanging="328"/>
        <w:spacing w:after="0" w:line="305" w:lineRule="auto"/>
        <w:tabs>
          <w:tab w:leader="none" w:pos="655"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U.S. and foreign government actions, including with respect to trade, travel, export and taxation, such as the adoption of comprehensive sanctions by, among others, the European Union, the U.S., and the United Kingdom in response to the ongoing conflict between Russia and Ukraine;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market valuations of other semiconductor companies;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rumors and speculation in the press, investment community or on social media about us, our customers or other companies in our industry;</w:t>
      </w:r>
    </w:p>
    <w:p>
      <w:pPr>
        <w:spacing w:after="0" w:line="75" w:lineRule="exact"/>
        <w:rPr>
          <w:rFonts w:ascii="Arial" w:cs="Arial" w:eastAsia="Arial" w:hAnsi="Arial"/>
          <w:sz w:val="18"/>
          <w:szCs w:val="18"/>
          <w:color w:val="auto"/>
        </w:rPr>
      </w:pPr>
    </w:p>
    <w:p>
      <w:pPr>
        <w:ind w:left="660" w:right="200" w:hanging="328"/>
        <w:spacing w:after="0" w:line="281"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departures of key personnel;</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alleged noncompliance with laws, regulations or ethics standards by us or any of our employees, officers or directors;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negative media publicity targeting us or our suppliers, customers or competitors.</w:t>
      </w:r>
    </w:p>
    <w:p>
      <w:pPr>
        <w:spacing w:after="0" w:line="130"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8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have substantial existing indebtedness and the ability to incur significant additional indebtedness, which could limit our operations and our use of our cash flow and negatively impact our credit ratings.</w:t>
      </w:r>
    </w:p>
    <w:p>
      <w:pPr>
        <w:spacing w:after="0" w:line="3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As of April 30, 2022, we had approximately $6.3 billion in outstanding indebtedness. In addition, we had $2.5 billion of availability under our $2.5 billion of unsecured revolving credit facility. Our leverage could have negative consequences, including increasing our vulnerability to adverse economic and industry conditions, limiting our ability to obtain additional</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8" w:name="page39"/>
    <w:bookmarkEnd w:id="38"/>
    <w:p>
      <w:pPr>
        <w:ind w:right="80"/>
        <w:spacing w:after="0" w:line="266" w:lineRule="auto"/>
        <w:rPr>
          <w:sz w:val="20"/>
          <w:szCs w:val="20"/>
          <w:color w:val="auto"/>
        </w:rPr>
      </w:pPr>
      <w:r>
        <w:rPr>
          <w:rFonts w:ascii="Times New Roman" w:cs="Times New Roman" w:eastAsia="Times New Roman" w:hAnsi="Times New Roman"/>
          <w:sz w:val="18"/>
          <w:szCs w:val="18"/>
          <w:color w:val="auto"/>
        </w:rPr>
        <w:t>financing and limiting our ability to acquire new products and technologies through strategic acquisitions. We may also incur additional debt in the future, which would increase these risks.</w:t>
      </w:r>
    </w:p>
    <w:p>
      <w:pPr>
        <w:spacing w:after="0" w:line="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depends upon our future operating performance, as well as general economic conditions, industry cycles and other factors beyond our control. If we are unable to service or refinance our debt, we may be required to divert funds that would otherwise be invested in growing our business operations, repatriate earnings as dividends from foreign locations with potential negative tax consequences, or sell selected assets.</w:t>
      </w:r>
    </w:p>
    <w:p>
      <w:pPr>
        <w:spacing w:after="0" w:line="8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In addition, if our credit ratings are downgraded or put on watch for a potential downgrade, the applicable interest rate on borrowings under our current revolving credit facility may rise and our ability to obtain additional financing or refinance our existing debt may be negatively affected.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in our revolving credit facility and outstanding debt instruments may limit our activities.</w:t>
      </w:r>
    </w:p>
    <w:p>
      <w:pPr>
        <w:spacing w:after="0" w:line="13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revolving credit facility and outstanding debt instruments impose, and future debt instruments to which we may become subject may impose, restrictions that limit our ability to engage in activities that could otherwise benefit us,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requires us to maintain compliance with specified financial ratios. If we breach any of the covenants under our revolving credit facility, the indentures governing our outstanding senior unsecured notes,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intellectual property rights, which may limit our ability to compete effectively.</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10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9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systems throughout our company to keep financial records and customer data, process orders, manage inventory, coordinate shipments to customers, maintain confidential and proprietary information, assist</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9" w:name="page40"/>
    <w:bookmarkEnd w:id="39"/>
    <w:p>
      <w:pPr>
        <w:ind w:right="80"/>
        <w:spacing w:after="0" w:line="252" w:lineRule="auto"/>
        <w:rPr>
          <w:sz w:val="20"/>
          <w:szCs w:val="20"/>
          <w:color w:val="auto"/>
        </w:rPr>
      </w:pPr>
      <w:r>
        <w:rPr>
          <w:rFonts w:ascii="Times New Roman" w:cs="Times New Roman" w:eastAsia="Times New Roman" w:hAnsi="Times New Roman"/>
          <w:sz w:val="18"/>
          <w:szCs w:val="18"/>
          <w:color w:val="auto"/>
        </w:rPr>
        <w:t>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some of our employees continue to work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other cyber attacks, or acts of vandalism by third parties or our employees or contractors. Further, geopolitical tensions or conflicts, such as the ongoing conflict between Russia and Ukraine, may create a heightened risk of cyber attacks, which could result in significant losses and damage, could damage our reputation with customers and suppliers and may expose us to litigation if the confidential information of our customers, suppliers, or employees is compromised. Our security measures or those of our third-party service providers may not detect or prevent security breaches, cyber attacks,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11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6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Other</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companies or individuals have obtained patents covering a variety of semiconductor designs and processes, and we might be required to obtain licenses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customer indemnity, warranty or product liability claims, or other matters that could lead to significant costs and expenses as we defend those claims or pay damage awards. For example, in March 2022, a putative class action was filed in the Court of Chancery of the State of Delaware against us and the former directors of Maxim as described in Part II, Item 1,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environmental, health and safety (EHS) regulations, which could increase our expenses and affect our operating results.</w:t>
      </w:r>
    </w:p>
    <w:p>
      <w:pPr>
        <w:spacing w:after="0" w:line="13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particular, climate change concerns and the potential resulting environmental impact may result in new or more stringent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damages and remediation;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penalties and civil and criminal fines;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the development, manufacture, sale or use of certain of our products;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0" w:name="page41"/>
    <w:bookmarkEnd w:id="40"/>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processes or a need to substitute materials that may cost more or be less available;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and/or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compliance.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government contracting regulations, we could suffer a loss of revenue or incur price adjustments or other penalties.</w:t>
      </w:r>
    </w:p>
    <w:p>
      <w:pPr>
        <w:spacing w:after="0" w:line="146"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9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2022 through February 26, 2022</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7,266,080,337</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27, 2022 through March 26,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7,072,385,552</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2022 through April 30,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2,815,528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6,624,986,779</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4,913,183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6,624,986,779</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900" w:hanging="328"/>
        <w:spacing w:after="0" w:line="26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407,052 shares withheld by us from employees to satisfy minimum employee tax obligations upon vesting of restricted stock units/awards granted to our employees under our equity compensation plans.</w:t>
      </w:r>
    </w:p>
    <w:p>
      <w:pPr>
        <w:ind w:left="660" w:right="120" w:hanging="328"/>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380" w:hanging="328"/>
        <w:spacing w:after="0" w:line="253"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00" w:type="dxa"/>
            <w:vAlign w:val="bottom"/>
            <w:gridSpan w:val="1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Form of EVP Global Restricted Stock Unit Agreement </w:t>
            </w:r>
            <w:r>
              <w:rPr>
                <w:rFonts w:ascii="Times New Roman" w:cs="Times New Roman" w:eastAsia="Times New Roman" w:hAnsi="Times New Roman"/>
                <w:sz w:val="18"/>
                <w:szCs w:val="18"/>
                <w:color w:val="000000"/>
              </w:rPr>
              <w:t>for Employees for usage under the Company’s 2020 Equity Incentive Plan</w:t>
            </w:r>
          </w:p>
        </w:tc>
      </w:tr>
      <w:tr>
        <w:trPr>
          <w:trHeight w:val="205"/>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auto"/>
              </w:rPr>
              <w:t>adopted March 7, 2022.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16"/>
                <w:szCs w:val="16"/>
                <w:color w:val="auto"/>
              </w:rPr>
            </w:pPr>
          </w:p>
        </w:tc>
        <w:tc>
          <w:tcPr>
            <w:tcW w:w="952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Form of EVP Performance Restricted Stock Unit Agreement </w:t>
            </w:r>
            <w:r>
              <w:rPr>
                <w:rFonts w:ascii="Times New Roman" w:cs="Times New Roman" w:eastAsia="Times New Roman" w:hAnsi="Times New Roman"/>
                <w:sz w:val="18"/>
                <w:szCs w:val="18"/>
                <w:color w:val="000000"/>
              </w:rPr>
              <w:t>for Employees for usage under the Company's 2020 Equity Incentive</w:t>
            </w:r>
          </w:p>
        </w:tc>
      </w:tr>
      <w:tr>
        <w:trPr>
          <w:trHeight w:val="205"/>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8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auto"/>
              </w:rPr>
              <w:t>Plan adopted March 7, 2022.</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16"/>
                <w:szCs w:val="16"/>
                <w:color w:val="auto"/>
              </w:rPr>
            </w:pPr>
          </w:p>
        </w:tc>
        <w:tc>
          <w:tcPr>
            <w:tcW w:w="952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Form of Relative Total Shareholder Return Performance Restricted Stock Unit Agreement </w:t>
            </w:r>
            <w:r>
              <w:rPr>
                <w:rFonts w:ascii="Times New Roman" w:cs="Times New Roman" w:eastAsia="Times New Roman" w:hAnsi="Times New Roman"/>
                <w:sz w:val="18"/>
                <w:szCs w:val="18"/>
                <w:color w:val="000000"/>
              </w:rPr>
              <w:t>for Employees for usage under the</w:t>
            </w:r>
          </w:p>
        </w:tc>
      </w:tr>
      <w:tr>
        <w:trPr>
          <w:trHeight w:val="205"/>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Borders>
              <w:top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auto"/>
              </w:rPr>
              <w:t>Company's 2020 Equity Incentive Plan adopted April 4, 2022.</w:t>
            </w: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6"/>
                <w:szCs w:val="16"/>
                <w:color w:val="auto"/>
              </w:rPr>
            </w:pPr>
          </w:p>
        </w:tc>
        <w:tc>
          <w:tcPr>
            <w:tcW w:w="952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Offer Letter for Gregory Bryant </w:t>
            </w:r>
            <w:r>
              <w:rPr>
                <w:rFonts w:ascii="Times New Roman" w:cs="Times New Roman" w:eastAsia="Times New Roman" w:hAnsi="Times New Roman"/>
                <w:sz w:val="18"/>
                <w:szCs w:val="18"/>
                <w:color w:val="000000"/>
              </w:rPr>
              <w:t>dated December 14, 2021.</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80" w:type="dxa"/>
            <w:vAlign w:val="bottom"/>
          </w:tcPr>
          <w:p>
            <w:pPr>
              <w:spacing w:after="0"/>
              <w:rPr>
                <w:sz w:val="18"/>
                <w:szCs w:val="18"/>
                <w:color w:val="auto"/>
              </w:rPr>
            </w:pPr>
          </w:p>
        </w:tc>
        <w:tc>
          <w:tcPr>
            <w:tcW w:w="9520" w:type="dxa"/>
            <w:vAlign w:val="bottom"/>
            <w:gridSpan w:val="12"/>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Analog Devices, Inc. 2022 Employee Stock Purchase Plan</w:t>
              </w:r>
            </w:hyperlink>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included as Appendix B to the Company’s definitive proxy statement on</w:t>
            </w:r>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auto"/>
              </w:rPr>
              <w:t>Schedule 14A as filed with the Securities and Exchange</w:t>
            </w:r>
          </w:p>
        </w:tc>
        <w:tc>
          <w:tcPr>
            <w:tcW w:w="53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auto"/>
              </w:rPr>
              <w:t>Commission on January 21, 2022 (File No. 001-07819) and incorporated</w:t>
            </w:r>
          </w:p>
        </w:tc>
      </w:tr>
      <w:tr>
        <w:trPr>
          <w:trHeight w:val="225"/>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16"/>
                <w:szCs w:val="16"/>
                <w:color w:val="auto"/>
              </w:rPr>
            </w:pPr>
          </w:p>
        </w:tc>
        <w:tc>
          <w:tcPr>
            <w:tcW w:w="952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ADI Executive Performance Incentive Plan</w:t>
            </w:r>
            <w:r>
              <w:rPr>
                <w:rFonts w:ascii="Times New Roman" w:cs="Times New Roman" w:eastAsia="Times New Roman" w:hAnsi="Times New Roman"/>
                <w:sz w:val="18"/>
                <w:szCs w:val="18"/>
                <w:color w:val="000000"/>
              </w:rPr>
              <w:t>.</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8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6"/>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8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16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060" w:type="dxa"/>
            <w:vAlign w:val="bottom"/>
            <w:gridSpan w:val="3"/>
          </w:tcPr>
          <w:p>
            <w:pPr>
              <w:spacing w:after="0"/>
              <w:rPr>
                <w:sz w:val="18"/>
                <w:szCs w:val="18"/>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18"/>
                <w:szCs w:val="18"/>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8"/>
            <w:shd w:val="clear" w:color="auto" w:fill="0000FF"/>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r>
      <w:tr>
        <w:trPr>
          <w:trHeight w:val="205"/>
        </w:trPr>
        <w:tc>
          <w:tcPr>
            <w:tcW w:w="106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480" w:type="dxa"/>
            <w:vAlign w:val="bottom"/>
          </w:tcPr>
          <w:p>
            <w:pPr>
              <w:spacing w:after="0"/>
              <w:rPr>
                <w:sz w:val="17"/>
                <w:szCs w:val="17"/>
                <w:color w:val="auto"/>
              </w:rPr>
            </w:pPr>
          </w:p>
        </w:tc>
        <w:tc>
          <w:tcPr>
            <w:tcW w:w="952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30"/>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0" w:type="dxa"/>
            <w:vAlign w:val="bottom"/>
          </w:tcPr>
          <w:p>
            <w:pPr>
              <w:spacing w:after="0"/>
              <w:rPr>
                <w:sz w:val="19"/>
                <w:szCs w:val="19"/>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spacing w:after="0"/>
              <w:rPr>
                <w:sz w:val="20"/>
                <w:szCs w:val="20"/>
                <w:color w:val="auto"/>
              </w:rPr>
            </w:pPr>
          </w:p>
        </w:tc>
        <w:tc>
          <w:tcPr>
            <w:tcW w:w="9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560" w:right="180" w:hanging="1140"/>
        <w:spacing w:after="0" w:line="242" w:lineRule="auto"/>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3" w:lineRule="exact"/>
        <w:rPr>
          <w:sz w:val="20"/>
          <w:szCs w:val="20"/>
          <w:color w:val="auto"/>
        </w:rPr>
      </w:pPr>
    </w:p>
    <w:p>
      <w:pPr>
        <w:ind w:left="1560" w:hanging="1050"/>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23" w:lineRule="exact"/>
        <w:rPr>
          <w:sz w:val="20"/>
          <w:szCs w:val="20"/>
          <w:color w:val="auto"/>
        </w:rPr>
      </w:pPr>
    </w:p>
    <w:p>
      <w:pPr>
        <w:ind w:left="1560" w:right="100" w:hanging="1050"/>
        <w:spacing w:after="0" w:line="222" w:lineRule="auto"/>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560" w:hanging="1095"/>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Condensed Consolidated Statements of Income for the three- and six-months ended April 30, 2022 and May 1, 2021, (ii) Condensed Consolidated Statements of Comprehensive Income for the three- and six-months ended April 30, 2022 and May 1, 2021, (iii) Condensed Consolidated Balance Sheets at April 30, 2022 and October 30, 2021, (iv) Condensed Consolidated Statements of Shareholders' Equity for the three- and six-months ended April 30, 2022 and May 1, 2021,</w:t>
      </w:r>
    </w:p>
    <w:p>
      <w:pPr>
        <w:spacing w:after="0" w:line="3" w:lineRule="exact"/>
        <w:rPr>
          <w:sz w:val="20"/>
          <w:szCs w:val="20"/>
          <w:color w:val="auto"/>
        </w:rPr>
      </w:pPr>
    </w:p>
    <w:p>
      <w:pPr>
        <w:ind w:right="920" w:firstLine="8"/>
        <w:spacing w:after="0" w:line="260"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April 30, 2022 and May 1, 2021 and (vi) Notes to Condensed Consolidated Financial Statements for the three- and six-months ended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43" w:name="page44"/>
    <w:bookmarkEnd w:id="4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8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50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2022</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30"/>
        </w:trPr>
        <w:tc>
          <w:tcPr>
            <w:tcW w:w="3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2022</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Prashanth Mahendra-Rajah</w:t>
            </w:r>
          </w:p>
        </w:tc>
      </w:tr>
      <w:tr>
        <w:trPr>
          <w:trHeight w:val="218"/>
        </w:trPr>
        <w:tc>
          <w:tcPr>
            <w:tcW w:w="3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Prashanth Mahendra-Rajah</w:t>
            </w:r>
          </w:p>
        </w:tc>
      </w:tr>
      <w:tr>
        <w:trPr>
          <w:trHeight w:val="229"/>
        </w:trPr>
        <w:tc>
          <w:tcPr>
            <w:tcW w:w="30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r>
      <w:tr>
        <w:trPr>
          <w:trHeight w:val="234"/>
        </w:trPr>
        <w:tc>
          <w:tcPr>
            <w:tcW w:w="3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320" w:top="1008" w:right="659" w:bottom="1440" w:gutter="0" w:footer="0" w:header="0"/>
        </w:sectPr>
      </w:pPr>
    </w:p>
    <w:bookmarkStart w:id="44" w:name="page45"/>
    <w:bookmarkEnd w:id="44"/>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RESTRICTED STOCK UNIT AGREEMENT</w:t>
      </w:r>
    </w:p>
    <w:p>
      <w:pPr>
        <w:spacing w:after="0" w:line="20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8" w:right="320"/>
        <w:spacing w:after="0" w:line="227"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Equity Incentive Plan (the “Plan”) and this Restricted Stock Unit Agreement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14" w:lineRule="exact"/>
        <w:rPr>
          <w:sz w:val="20"/>
          <w:szCs w:val="20"/>
          <w:color w:val="auto"/>
        </w:rPr>
      </w:pPr>
    </w:p>
    <w:p>
      <w:pPr>
        <w:ind w:left="328" w:hanging="328"/>
        <w:spacing w:after="0"/>
        <w:tabs>
          <w:tab w:leader="none" w:pos="3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4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176" w:lineRule="exact"/>
        <w:rPr>
          <w:rFonts w:ascii="Times New Roman" w:cs="Times New Roman" w:eastAsia="Times New Roman" w:hAnsi="Times New Roman"/>
          <w:sz w:val="16"/>
          <w:szCs w:val="16"/>
          <w:color w:val="auto"/>
        </w:rPr>
      </w:pPr>
    </w:p>
    <w:p>
      <w:pPr>
        <w:jc w:val="both"/>
        <w:ind w:left="328" w:right="34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Times New Roman" w:cs="Times New Roman" w:eastAsia="Times New Roman" w:hAnsi="Times New Roman"/>
          <w:sz w:val="16"/>
          <w:szCs w:val="16"/>
          <w:color w:val="auto"/>
        </w:rPr>
      </w:pPr>
    </w:p>
    <w:p>
      <w:pPr>
        <w:jc w:val="both"/>
        <w:ind w:left="328" w:right="34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upon such vesting as provided below. The RSUs are subject to the vesting provisions set forth in Section 2, the restrictions on transfer set forth in Section 3 and the right of the Company to retain Shares (as defined below) pursuant to Section 6.</w:t>
      </w:r>
    </w:p>
    <w:p>
      <w:pPr>
        <w:spacing w:after="0" w:line="114"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7" w:lineRule="auto"/>
        <w:tabs>
          <w:tab w:leader="none" w:pos="63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in any event within sixty (60) days of the Vesting Date or event, as applicable),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2(d).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Times New Roman" w:cs="Times New Roman" w:eastAsia="Times New Roman" w:hAnsi="Times New Roman"/>
          <w:sz w:val="16"/>
          <w:szCs w:val="16"/>
          <w:color w:val="auto"/>
        </w:rPr>
      </w:pPr>
    </w:p>
    <w:p>
      <w:pPr>
        <w:jc w:val="both"/>
        <w:ind w:left="648" w:right="340" w:hanging="324"/>
        <w:spacing w:after="0" w:line="227" w:lineRule="auto"/>
        <w:tabs>
          <w:tab w:leader="none" w:pos="64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2(f)) is terminated either by the Participant, the Company, or the Employer for any reason or no reason (other than due to death or Disability or as otherwise provided in the Plan or in Section 2(c) below), then in each such case, all of the Unvested RSUs as of the date of termination shall terminate and be cancelled immediately and automatically and the Participant shall have no further rights with respect to such Unvested RSUs.</w:t>
      </w:r>
    </w:p>
    <w:p>
      <w:pPr>
        <w:spacing w:after="0" w:line="113" w:lineRule="exact"/>
        <w:rPr>
          <w:rFonts w:ascii="Times New Roman" w:cs="Times New Roman" w:eastAsia="Times New Roman" w:hAnsi="Times New Roman"/>
          <w:sz w:val="16"/>
          <w:szCs w:val="16"/>
          <w:color w:val="auto"/>
        </w:rPr>
      </w:pPr>
    </w:p>
    <w:p>
      <w:pPr>
        <w:jc w:val="both"/>
        <w:ind w:left="648" w:right="340" w:hanging="324"/>
        <w:spacing w:after="0" w:line="223" w:lineRule="auto"/>
        <w:tabs>
          <w:tab w:leader="none" w:pos="63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w:t>
      </w:r>
      <w:r>
        <w:rPr>
          <w:rFonts w:ascii="Times New Roman" w:cs="Times New Roman" w:eastAsia="Times New Roman" w:hAnsi="Times New Roman"/>
          <w:sz w:val="16"/>
          <w:szCs w:val="16"/>
          <w:u w:val="single" w:color="auto"/>
          <w:color w:val="auto"/>
        </w:rPr>
        <w:t>involuntarily terminated by the Company or the Employer without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the Unvested RSUs shall continue to vest and be settled on the Vesting Date(s) shown above notwithstanding such termination of employment, subject to the Participant’s execution of a separation agreement including a release of claims in a form satisfactory to the Company. For purposes of this Section 2(c), “Cause” shall have the meaning set forth in any severance or change of control agreement then in place between the Participant and the Company, or if no such agreement exists, “Cause” shall be as defined in the Plan.</w:t>
      </w:r>
    </w:p>
    <w:p>
      <w:pPr>
        <w:spacing w:after="0" w:line="117" w:lineRule="exact"/>
        <w:rPr>
          <w:rFonts w:ascii="Times New Roman" w:cs="Times New Roman" w:eastAsia="Times New Roman" w:hAnsi="Times New Roman"/>
          <w:sz w:val="16"/>
          <w:szCs w:val="16"/>
          <w:color w:val="auto"/>
        </w:rPr>
      </w:pPr>
    </w:p>
    <w:p>
      <w:pPr>
        <w:ind w:left="648" w:right="340" w:hanging="324"/>
        <w:spacing w:after="0" w:line="245" w:lineRule="auto"/>
        <w:tabs>
          <w:tab w:leader="none" w:pos="64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treatment of RSUs set forth in Section 2(c) above, 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10" w:lineRule="exact"/>
        <w:rPr>
          <w:rFonts w:ascii="Times New Roman" w:cs="Times New Roman" w:eastAsia="Times New Roman" w:hAnsi="Times New Roman"/>
          <w:sz w:val="16"/>
          <w:szCs w:val="16"/>
          <w:color w:val="auto"/>
        </w:rPr>
      </w:pPr>
    </w:p>
    <w:p>
      <w:pPr>
        <w:jc w:val="both"/>
        <w:ind w:left="648" w:right="320" w:hanging="324"/>
        <w:spacing w:after="0" w:line="232" w:lineRule="auto"/>
        <w:tabs>
          <w:tab w:leader="none" w:pos="63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(and “Disability”) with respect to the Participant shall have the meaning set forth in Section 409A(a)(2)(C) of the Code.</w:t>
      </w:r>
    </w:p>
    <w:p>
      <w:pPr>
        <w:spacing w:after="0" w:line="114" w:lineRule="exact"/>
        <w:rPr>
          <w:rFonts w:ascii="Times New Roman" w:cs="Times New Roman" w:eastAsia="Times New Roman" w:hAnsi="Times New Roman"/>
          <w:sz w:val="16"/>
          <w:szCs w:val="16"/>
          <w:color w:val="auto"/>
        </w:rPr>
      </w:pPr>
    </w:p>
    <w:p>
      <w:pPr>
        <w:jc w:val="both"/>
        <w:ind w:left="648" w:right="320" w:hanging="324"/>
        <w:spacing w:after="0" w:line="227" w:lineRule="auto"/>
        <w:tabs>
          <w:tab w:leader="none" w:pos="64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w:t>
      </w:r>
    </w:p>
    <w:p>
      <w:pPr>
        <w:sectPr>
          <w:pgSz w:w="11900" w:h="16838" w:orient="portrait"/>
          <w:cols w:equalWidth="0" w:num="1">
            <w:col w:w="10908"/>
          </w:cols>
          <w:pgMar w:left="652" w:top="1440" w:right="339" w:bottom="1440" w:gutter="0" w:footer="0" w:header="0"/>
        </w:sectPr>
      </w:pPr>
    </w:p>
    <w:bookmarkStart w:id="45" w:name="page46"/>
    <w:bookmarkEnd w:id="4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8" w:right="20"/>
        <w:spacing w:after="0" w:line="245" w:lineRule="auto"/>
        <w:rPr>
          <w:sz w:val="20"/>
          <w:szCs w:val="20"/>
          <w:color w:val="auto"/>
        </w:rPr>
      </w:pPr>
      <w:r>
        <w:rPr>
          <w:rFonts w:ascii="Times New Roman" w:cs="Times New Roman" w:eastAsia="Times New Roman" w:hAnsi="Times New Roman"/>
          <w:sz w:val="16"/>
          <w:szCs w:val="16"/>
          <w:color w:val="auto"/>
        </w:rPr>
        <w:t>for vesting purposes until he or she ceases to provide services to the Company or any direct or indirect parent or subsidiary of the Company, or any successor to the Company or any such parent or subsidiary of the Company.</w:t>
      </w:r>
    </w:p>
    <w:p>
      <w:pPr>
        <w:spacing w:after="0" w:line="110" w:lineRule="exact"/>
        <w:rPr>
          <w:sz w:val="20"/>
          <w:szCs w:val="20"/>
          <w:color w:val="auto"/>
        </w:rPr>
      </w:pPr>
    </w:p>
    <w:p>
      <w:pPr>
        <w:ind w:left="328" w:hanging="328"/>
        <w:spacing w:after="0"/>
        <w:tabs>
          <w:tab w:leader="none" w:pos="3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648" w:right="20" w:hanging="324"/>
        <w:spacing w:after="0" w:line="232" w:lineRule="auto"/>
        <w:tabs>
          <w:tab w:leader="none" w:pos="648"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sz w:val="20"/>
          <w:szCs w:val="20"/>
          <w:color w:val="auto"/>
        </w:rPr>
      </w:pPr>
    </w:p>
    <w:p>
      <w:pPr>
        <w:jc w:val="both"/>
        <w:ind w:left="648"/>
        <w:spacing w:after="0" w:line="219" w:lineRule="auto"/>
        <w:rPr>
          <w:sz w:val="20"/>
          <w:szCs w:val="20"/>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ectPr>
          <w:pgSz w:w="11900" w:h="16838" w:orient="portrait"/>
          <w:cols w:equalWidth="0" w:num="1">
            <w:col w:w="10588"/>
          </w:cols>
          <w:pgMar w:left="652" w:top="1440" w:right="659" w:bottom="1440" w:gutter="0" w:footer="0" w:header="0"/>
        </w:sectPr>
      </w:pPr>
    </w:p>
    <w:bookmarkStart w:id="46" w:name="page47"/>
    <w:bookmarkEnd w:id="4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spacing w:after="0" w:line="220"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5" w:lineRule="exact"/>
        <w:rPr>
          <w:sz w:val="20"/>
          <w:szCs w:val="20"/>
          <w:color w:val="auto"/>
        </w:rPr>
      </w:pPr>
    </w:p>
    <w:p>
      <w:pPr>
        <w:jc w:val="both"/>
        <w:ind w:left="328" w:right="20" w:hanging="328"/>
        <w:spacing w:after="0" w:line="223" w:lineRule="auto"/>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right="20" w:hanging="328"/>
        <w:spacing w:after="0" w:line="227" w:lineRule="auto"/>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Requirements</w:t>
      </w:r>
      <w:r>
        <w:rPr>
          <w:rFonts w:ascii="Times New Roman" w:cs="Times New Roman" w:eastAsia="Times New Roman" w:hAnsi="Times New Roman"/>
          <w:sz w:val="16"/>
          <w:szCs w:val="16"/>
          <w:color w:val="auto"/>
        </w:rPr>
        <w:t>. The Participant agrees as a condition of the grant of the RSUs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the Participant’s involuntary termination without Cause, Disability, or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18" w:lineRule="auto"/>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648" w:hanging="324"/>
        <w:spacing w:after="0" w:line="245" w:lineRule="auto"/>
        <w:tabs>
          <w:tab w:leader="none" w:pos="63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648" w:hanging="324"/>
        <w:spacing w:after="0" w:line="245" w:lineRule="auto"/>
        <w:tabs>
          <w:tab w:leader="none" w:pos="63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648" w:right="20" w:hanging="324"/>
        <w:spacing w:after="0" w:line="223" w:lineRule="auto"/>
        <w:tabs>
          <w:tab w:leader="none" w:pos="63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w:t>
      </w:r>
    </w:p>
    <w:p>
      <w:pPr>
        <w:sectPr>
          <w:pgSz w:w="11900" w:h="16838" w:orient="portrait"/>
          <w:cols w:equalWidth="0" w:num="1">
            <w:col w:w="10588"/>
          </w:cols>
          <w:pgMar w:left="652" w:top="1440" w:right="659" w:bottom="1440" w:gutter="0" w:footer="0" w:header="0"/>
        </w:sectPr>
      </w:pPr>
    </w:p>
    <w:bookmarkStart w:id="47" w:name="page48"/>
    <w:bookmarkEnd w:id="4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19" w:lineRule="auto"/>
        <w:rPr>
          <w:sz w:val="20"/>
          <w:szCs w:val="20"/>
          <w:color w:val="auto"/>
        </w:rPr>
      </w:pPr>
      <w:r>
        <w:rPr>
          <w:rFonts w:ascii="Times New Roman" w:cs="Times New Roman" w:eastAsia="Times New Roman" w:hAnsi="Times New Roman"/>
          <w:sz w:val="16"/>
          <w:szCs w:val="16"/>
          <w:color w:val="auto"/>
        </w:rPr>
        <w:t>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5" w:lineRule="exact"/>
        <w:rPr>
          <w:sz w:val="20"/>
          <w:szCs w:val="20"/>
          <w:color w:val="auto"/>
        </w:rPr>
      </w:pPr>
    </w:p>
    <w:p>
      <w:pPr>
        <w:ind w:left="324" w:right="20" w:hanging="324"/>
        <w:spacing w:after="0" w:line="245" w:lineRule="auto"/>
        <w:tabs>
          <w:tab w:leader="none" w:pos="32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right="20" w:hanging="324"/>
        <w:spacing w:after="0" w:line="232" w:lineRule="auto"/>
        <w:tabs>
          <w:tab w:leader="none" w:pos="31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1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18" w:lineRule="auto"/>
        <w:tabs>
          <w:tab w:leader="none" w:pos="32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5"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19" w:lineRule="auto"/>
        <w:tabs>
          <w:tab w:leader="none" w:pos="31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compliant with the deferral, payout, and other limitations and restrictions imposed under Section 409A and this Agreement shall be interpreted, operated and administered under the Plan (which is incorporated herein by reference) in a manner consistent with such intent. If any provision of the Plan or this Agreement would otherwise conflict with or frustrate this intent, that provision will be interpreted and deemed amended or limited so as to avoid the conflict. Without limiting the foregoing, in the event that the vesting of the RSUs is conditioned on the Participant’s execution of a release of claims and the period in which to execute the release commences in one calendar year and ends in the next calendar year, any portion of the RSUs that vests and becomes payable on execution of such release will be settled in the second calendar year. The Company makes no representation that the Award complies with or is exempt from Section 409A and makes no undertaking to preclude Section 409A from applying to the Award.</w:t>
      </w:r>
    </w:p>
    <w:p>
      <w:pPr>
        <w:sectPr>
          <w:pgSz w:w="11900" w:h="16838" w:orient="portrait"/>
          <w:cols w:equalWidth="0" w:num="1">
            <w:col w:w="10264"/>
          </w:cols>
          <w:pgMar w:left="976" w:top="1440" w:right="659" w:bottom="1440" w:gutter="0" w:footer="0" w:header="0"/>
        </w:sectPr>
      </w:pPr>
    </w:p>
    <w:bookmarkStart w:id="48" w:name="page49"/>
    <w:bookmarkEnd w:id="48"/>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Ray Stata</w:t>
            </w:r>
          </w:p>
        </w:tc>
        <w:tc>
          <w:tcPr>
            <w:tcW w:w="17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Vincent Roche</w:t>
            </w:r>
          </w:p>
        </w:tc>
      </w:tr>
      <w:tr>
        <w:trPr>
          <w:trHeight w:val="207"/>
        </w:trPr>
        <w:tc>
          <w:tcPr>
            <w:tcW w:w="48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Ray Stata</w:t>
            </w:r>
          </w:p>
        </w:tc>
        <w:tc>
          <w:tcPr>
            <w:tcW w:w="1740" w:type="dxa"/>
            <w:vAlign w:val="bottom"/>
          </w:tcPr>
          <w:p>
            <w:pPr>
              <w:spacing w:after="0"/>
              <w:rPr>
                <w:sz w:val="17"/>
                <w:szCs w:val="17"/>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Vincent Roche</w:t>
            </w:r>
          </w:p>
        </w:tc>
      </w:tr>
      <w:tr>
        <w:trPr>
          <w:trHeight w:val="229"/>
        </w:trPr>
        <w:tc>
          <w:tcPr>
            <w:tcW w:w="4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Board</w:t>
            </w:r>
          </w:p>
        </w:tc>
        <w:tc>
          <w:tcPr>
            <w:tcW w:w="174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&amp; Chief Executive Officer</w:t>
            </w:r>
          </w:p>
        </w:tc>
      </w:tr>
    </w:tbl>
    <w:p>
      <w:pPr>
        <w:sectPr>
          <w:pgSz w:w="11900" w:h="16838" w:orient="portrait"/>
          <w:cols w:equalWidth="0" w:num="1">
            <w:col w:w="10119"/>
          </w:cols>
          <w:pgMar w:left="340" w:top="1440"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8" w:right="320"/>
        <w:spacing w:after="0" w:line="22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This Performance Restricted Stock Unit Agreement, together with Appendix A,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17" w:lineRule="exact"/>
        <w:rPr>
          <w:sz w:val="20"/>
          <w:szCs w:val="20"/>
          <w:color w:val="auto"/>
        </w:rPr>
      </w:pPr>
    </w:p>
    <w:p>
      <w:pPr>
        <w:ind w:left="328" w:hanging="328"/>
        <w:spacing w:after="0"/>
        <w:tabs>
          <w:tab w:leader="none" w:pos="32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Attainment Date(s) (as defined in Appendix A)</w:t>
      </w:r>
    </w:p>
    <w:p>
      <w:pPr>
        <w:spacing w:after="0" w:line="176" w:lineRule="exact"/>
        <w:rPr>
          <w:rFonts w:ascii="Times New Roman" w:cs="Times New Roman" w:eastAsia="Times New Roman" w:hAnsi="Times New Roman"/>
          <w:sz w:val="16"/>
          <w:szCs w:val="16"/>
          <w:color w:val="auto"/>
        </w:rPr>
      </w:pPr>
    </w:p>
    <w:p>
      <w:pPr>
        <w:jc w:val="both"/>
        <w:ind w:left="328" w:right="34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upon vesting as provided below. The Performance RSUs are subject to the vesting provisions set forth in Section 2 (including the performance-based vesting conditions set forth in Appendix A), the restrictions on transfer set forth in Section 3, and the right of the Company to retain Shares (as defined below) pursuant to Section 6.</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36" w:lineRule="auto"/>
        <w:tabs>
          <w:tab w:leader="none" w:pos="63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any Performance RSUs that have not vested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Attainment Date or other vesting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2(d).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Times New Roman" w:cs="Times New Roman" w:eastAsia="Times New Roman" w:hAnsi="Times New Roman"/>
          <w:sz w:val="16"/>
          <w:szCs w:val="16"/>
          <w:color w:val="auto"/>
        </w:rPr>
      </w:pPr>
    </w:p>
    <w:p>
      <w:pPr>
        <w:jc w:val="both"/>
        <w:ind w:left="648" w:right="340" w:hanging="324"/>
        <w:spacing w:after="0" w:line="232" w:lineRule="auto"/>
        <w:tabs>
          <w:tab w:leader="none" w:pos="648"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2(f)) is terminated either by the Participant, the Company, or the Employer for any reason or no reason (other than due to death or Disability or as otherwise provided in the Plan or in Section 2(c) below), then in each such case, all of the Unvested RSUs as of the date of termination shall terminate and be cancelled immediately and automatically and the Participant shall have no further rights with respect to such Unvested RSUs.</w:t>
      </w:r>
      <w:r>
        <w:rPr>
          <w:rFonts w:ascii="Times New Roman" w:cs="Times New Roman" w:eastAsia="Times New Roman" w:hAnsi="Times New Roman"/>
          <w:sz w:val="21"/>
          <w:szCs w:val="21"/>
          <w:color w:val="auto"/>
          <w:vertAlign w:val="superscript"/>
        </w:rPr>
        <w:t>1</w:t>
      </w:r>
    </w:p>
    <w:p>
      <w:pPr>
        <w:spacing w:after="0" w:line="43" w:lineRule="exact"/>
        <w:rPr>
          <w:rFonts w:ascii="Times New Roman" w:cs="Times New Roman" w:eastAsia="Times New Roman" w:hAnsi="Times New Roman"/>
          <w:sz w:val="16"/>
          <w:szCs w:val="16"/>
          <w:color w:val="auto"/>
        </w:rPr>
      </w:pPr>
    </w:p>
    <w:p>
      <w:pPr>
        <w:jc w:val="both"/>
        <w:ind w:left="648" w:right="320" w:hanging="324"/>
        <w:spacing w:after="0" w:line="223" w:lineRule="auto"/>
        <w:tabs>
          <w:tab w:leader="none" w:pos="63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w:t>
      </w:r>
      <w:r>
        <w:rPr>
          <w:rFonts w:ascii="Times New Roman" w:cs="Times New Roman" w:eastAsia="Times New Roman" w:hAnsi="Times New Roman"/>
          <w:sz w:val="16"/>
          <w:szCs w:val="16"/>
          <w:u w:val="single" w:color="auto"/>
          <w:color w:val="auto"/>
        </w:rPr>
        <w:t>involuntarily terminated by the Company or the Employer without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the Unvested Performance RSUs shall continue to vest in accordance with the performance-based vesting conditions set forth in Appendix A notwithstanding such termination of employment, subject to the Participant’s execution of a separation agreement including a release of claims in a form satisfactory to the Company. For purposes of this Section 2(c), “Cause” shall have the meaning set forth in any severance or change of control agreement then in place between the Participant and the Company, or if no such agreement exists, “Cause” shall be as defined in the Plan.</w:t>
      </w:r>
    </w:p>
    <w:p>
      <w:pPr>
        <w:spacing w:after="0" w:line="117" w:lineRule="exact"/>
        <w:rPr>
          <w:rFonts w:ascii="Times New Roman" w:cs="Times New Roman" w:eastAsia="Times New Roman" w:hAnsi="Times New Roman"/>
          <w:sz w:val="16"/>
          <w:szCs w:val="16"/>
          <w:color w:val="auto"/>
        </w:rPr>
      </w:pPr>
    </w:p>
    <w:p>
      <w:pPr>
        <w:ind w:left="648" w:right="340" w:hanging="324"/>
        <w:spacing w:after="0" w:line="245" w:lineRule="auto"/>
        <w:tabs>
          <w:tab w:leader="none" w:pos="648"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treatment of Performance RSUs set forth in Section 2(c) above, 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prior to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104775</wp:posOffset>
            </wp:positionV>
            <wp:extent cx="1714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8"/>
        <w:spacing w:after="0" w:line="245" w:lineRule="auto"/>
        <w:rPr>
          <w:sz w:val="20"/>
          <w:szCs w:val="20"/>
          <w:color w:val="auto"/>
        </w:rPr>
      </w:pPr>
      <w:r>
        <w:rPr>
          <w:rFonts w:ascii="Times New Roman" w:cs="Times New Roman" w:eastAsia="Times New Roman" w:hAnsi="Times New Roman"/>
          <w:sz w:val="16"/>
          <w:szCs w:val="16"/>
          <w:color w:val="auto"/>
        </w:rPr>
        <w:t>the Unvested Performance RSUs shall vest immediately upon death with respect to the Initial Grant Number of Shares underlying the Performance RSUs, regardless of whether any Attainment Date occurs during the remainder of the Performance Period..</w:t>
      </w:r>
    </w:p>
    <w:p>
      <w:pPr>
        <w:spacing w:after="0" w:line="110" w:lineRule="exact"/>
        <w:rPr>
          <w:sz w:val="20"/>
          <w:szCs w:val="20"/>
          <w:color w:val="auto"/>
        </w:rPr>
      </w:pPr>
    </w:p>
    <w:p>
      <w:pPr>
        <w:jc w:val="both"/>
        <w:ind w:left="648" w:hanging="324"/>
        <w:spacing w:after="0" w:line="227" w:lineRule="auto"/>
        <w:tabs>
          <w:tab w:leader="none" w:pos="63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and regardless of whether any Attainment Date occurs during the remainder of the Performance Period. “Disabled” (and “Disability”) with respect to the Participant shall have the meaning set forth in Section 409(a)(2)(C) of the Code.</w:t>
      </w:r>
    </w:p>
    <w:p>
      <w:pPr>
        <w:spacing w:after="0" w:line="113"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4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563C1"/>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563C1"/>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4" w:lineRule="exact"/>
        <w:rPr>
          <w:rFonts w:ascii="Times New Roman" w:cs="Times New Roman" w:eastAsia="Times New Roman" w:hAnsi="Times New Roman"/>
          <w:sz w:val="16"/>
          <w:szCs w:val="16"/>
          <w:color w:val="auto"/>
        </w:rPr>
      </w:pPr>
    </w:p>
    <w:p>
      <w:pPr>
        <w:jc w:val="both"/>
        <w:ind w:left="648" w:right="20" w:hanging="324"/>
        <w:spacing w:after="0" w:line="232" w:lineRule="auto"/>
        <w:tabs>
          <w:tab w:leader="none" w:pos="64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968"/>
        <w:spacing w:after="0" w:line="227" w:lineRule="auto"/>
        <w:rPr>
          <w:sz w:val="20"/>
          <w:szCs w:val="20"/>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4" w:lineRule="exact"/>
        <w:rPr>
          <w:sz w:val="20"/>
          <w:szCs w:val="20"/>
          <w:color w:val="auto"/>
        </w:rPr>
      </w:pPr>
    </w:p>
    <w:p>
      <w:pPr>
        <w:ind w:left="968" w:hanging="320"/>
        <w:spacing w:after="0"/>
        <w:tabs>
          <w:tab w:leader="none" w:pos="968" w:val="left"/>
        </w:tabs>
        <w:numPr>
          <w:ilvl w:val="2"/>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right="20" w:hanging="328"/>
        <w:spacing w:after="0" w:line="227"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Requirements</w:t>
      </w:r>
      <w:r>
        <w:rPr>
          <w:rFonts w:ascii="Times New Roman" w:cs="Times New Roman" w:eastAsia="Times New Roman" w:hAnsi="Times New Roman"/>
          <w:sz w:val="16"/>
          <w:szCs w:val="16"/>
          <w:color w:val="auto"/>
        </w:rPr>
        <w:t>. The Participant agrees as a condition of the grant of the Performance RSUs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1" w:lineRule="auto"/>
        <w:tabs>
          <w:tab w:leader="none" w:pos="639"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the Participant’s involuntary termination without Cause,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Attainment Date (not through the act of being hired or engaged or being granted the Performance RSUs hereunder).</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18" w:lineRule="auto"/>
        <w:tabs>
          <w:tab w:leader="none" w:pos="64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4" w:hanging="324"/>
        <w:spacing w:after="0" w:line="245" w:lineRule="auto"/>
        <w:tabs>
          <w:tab w:leader="none" w:pos="31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16" w:lineRule="auto"/>
        <w:tabs>
          <w:tab w:leader="none" w:pos="31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8"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right="20" w:hanging="324"/>
        <w:spacing w:after="0" w:line="232" w:lineRule="auto"/>
        <w:tabs>
          <w:tab w:leader="none" w:pos="31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1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right="20" w:hanging="324"/>
        <w:spacing w:after="0" w:line="227"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 of the Board.</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960"/>
        <w:spacing w:after="0" w:line="223" w:lineRule="auto"/>
        <w:rPr>
          <w:sz w:val="20"/>
          <w:szCs w:val="20"/>
          <w:color w:val="auto"/>
        </w:rPr>
      </w:pPr>
      <w:r>
        <w:rPr>
          <w:rFonts w:ascii="Times New Roman" w:cs="Times New Roman" w:eastAsia="Times New Roman" w:hAnsi="Times New Roman"/>
          <w:sz w:val="16"/>
          <w:szCs w:val="16"/>
          <w:color w:val="auto"/>
        </w:rPr>
        <w:t>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7" w:lineRule="exact"/>
        <w:rPr>
          <w:sz w:val="20"/>
          <w:szCs w:val="20"/>
          <w:color w:val="auto"/>
        </w:rPr>
      </w:pPr>
    </w:p>
    <w:p>
      <w:pPr>
        <w:ind w:left="960" w:right="20" w:hanging="324"/>
        <w:spacing w:after="0" w:line="245" w:lineRule="auto"/>
        <w:tabs>
          <w:tab w:leader="none" w:pos="9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960" w:hanging="324"/>
        <w:spacing w:after="0" w:line="238" w:lineRule="auto"/>
        <w:tabs>
          <w:tab w:leader="none" w:pos="95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under the Plan (which is incorporated herein by reference) in a manner consistent with such intent. If any provision of the Plan or this Agreement would otherwise conflict with or frustrate this intent, that provision will be interpreted and deemed amended or limited so as to avoid the conflict. Without limiting the foregoing, in the event that the vesting of the Performance RSUs is conditioned on the Participant’s execution of a release of claims and the period in which to execute the release commences in one calendar year and ends in the next calendar year, any Performance RSUs that vest and becomes payable on execution of such release will be settled in the second calendar year. The Company makes no representation that the Award complies with or is exempt from Section 409A and makes no undertaking to preclude Section 409A from applying to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Ray Stata</w:t>
            </w:r>
          </w:p>
        </w:tc>
        <w:tc>
          <w:tcPr>
            <w:tcW w:w="180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Vincent Roche</w:t>
            </w:r>
          </w:p>
        </w:tc>
      </w:tr>
      <w:tr>
        <w:trPr>
          <w:trHeight w:val="207"/>
        </w:trPr>
        <w:tc>
          <w:tcPr>
            <w:tcW w:w="4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Ray Stata</w:t>
            </w:r>
          </w:p>
        </w:tc>
        <w:tc>
          <w:tcPr>
            <w:tcW w:w="180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Vincent Roche</w:t>
            </w:r>
          </w:p>
        </w:tc>
      </w:tr>
      <w:tr>
        <w:trPr>
          <w:trHeight w:val="216"/>
        </w:trPr>
        <w:tc>
          <w:tcPr>
            <w:tcW w:w="4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Board</w:t>
            </w:r>
          </w:p>
        </w:tc>
        <w:tc>
          <w:tcPr>
            <w:tcW w:w="18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00"/>
          </w:cols>
          <w:pgMar w:left="340" w:top="1440" w:right="659" w:bottom="1440" w:gutter="0" w:footer="0" w:header="0"/>
        </w:sectPr>
      </w:pPr>
    </w:p>
    <w:bookmarkStart w:id="54" w:name="page55"/>
    <w:bookmarkEnd w:id="54"/>
    <w:p>
      <w:pPr>
        <w:ind w:left="501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414"/>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4" w:hanging="494"/>
        <w:spacing w:after="0"/>
        <w:tabs>
          <w:tab w:leader="none" w:pos="49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four-year period following the Date of Grant (the “Performance Period”).</w:t>
      </w:r>
    </w:p>
    <w:p>
      <w:pPr>
        <w:spacing w:after="0" w:line="221" w:lineRule="exact"/>
        <w:rPr>
          <w:rFonts w:ascii="Times New Roman" w:cs="Times New Roman" w:eastAsia="Times New Roman" w:hAnsi="Times New Roman"/>
          <w:sz w:val="16"/>
          <w:szCs w:val="16"/>
          <w:color w:val="auto"/>
        </w:rPr>
      </w:pPr>
    </w:p>
    <w:p>
      <w:pPr>
        <w:ind w:left="514" w:right="20" w:hanging="514"/>
        <w:spacing w:after="0" w:line="245" w:lineRule="auto"/>
        <w:tabs>
          <w:tab w:leader="none" w:pos="50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Schedule</w:t>
      </w:r>
      <w:r>
        <w:rPr>
          <w:rFonts w:ascii="Times New Roman" w:cs="Times New Roman" w:eastAsia="Times New Roman" w:hAnsi="Times New Roman"/>
          <w:sz w:val="16"/>
          <w:szCs w:val="16"/>
          <w:color w:val="auto"/>
        </w:rPr>
        <w:t>. If, at any time during the Performance Period, an Attainment Date occurs, a portion of the Performance RSUs equal to the applicable Payout Percentage (as set forth in Section 3) will vest on the Attainment Date and be settled in accordance with Section 2(a) of the Agreement.</w:t>
      </w:r>
    </w:p>
    <w:p>
      <w:pPr>
        <w:spacing w:after="0" w:line="191" w:lineRule="exact"/>
        <w:rPr>
          <w:rFonts w:ascii="Times New Roman" w:cs="Times New Roman" w:eastAsia="Times New Roman" w:hAnsi="Times New Roman"/>
          <w:sz w:val="16"/>
          <w:szCs w:val="16"/>
          <w:color w:val="auto"/>
        </w:rPr>
      </w:pPr>
    </w:p>
    <w:p>
      <w:pPr>
        <w:jc w:val="both"/>
        <w:ind w:left="514" w:hanging="514"/>
        <w:spacing w:after="0" w:line="232" w:lineRule="auto"/>
        <w:tabs>
          <w:tab w:leader="none" w:pos="50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Conditions</w:t>
      </w:r>
      <w:r>
        <w:rPr>
          <w:rFonts w:ascii="Times New Roman" w:cs="Times New Roman" w:eastAsia="Times New Roman" w:hAnsi="Times New Roman"/>
          <w:sz w:val="16"/>
          <w:szCs w:val="16"/>
          <w:color w:val="auto"/>
        </w:rPr>
        <w:t>. The vesting of the Performance RSUs is contingent upon the attainment of the Target Price Thresholds set forth in the table below. A Target Price Threshold is attained when the price of a share of Common Stock is equal to or exceeds the applicable Target Price Threshold set forth in the table below for the duration of the Attainment Date Period. For purposes of the foregoing:</w:t>
      </w:r>
    </w:p>
    <w:p>
      <w:pPr>
        <w:spacing w:after="0" w:line="195" w:lineRule="exact"/>
        <w:rPr>
          <w:rFonts w:ascii="Times New Roman" w:cs="Times New Roman" w:eastAsia="Times New Roman" w:hAnsi="Times New Roman"/>
          <w:sz w:val="16"/>
          <w:szCs w:val="16"/>
          <w:color w:val="auto"/>
        </w:rPr>
      </w:pPr>
    </w:p>
    <w:p>
      <w:pPr>
        <w:jc w:val="both"/>
        <w:ind w:left="514"/>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w:t>
      </w:r>
      <w:r>
        <w:rPr>
          <w:rFonts w:ascii="Times New Roman" w:cs="Times New Roman" w:eastAsia="Times New Roman" w:hAnsi="Times New Roman"/>
          <w:sz w:val="16"/>
          <w:szCs w:val="16"/>
          <w:u w:val="single" w:color="auto"/>
          <w:color w:val="auto"/>
        </w:rPr>
        <w:t>Attainment Date</w:t>
      </w:r>
      <w:r>
        <w:rPr>
          <w:rFonts w:ascii="Times New Roman" w:cs="Times New Roman" w:eastAsia="Times New Roman" w:hAnsi="Times New Roman"/>
          <w:sz w:val="16"/>
          <w:szCs w:val="16"/>
          <w:color w:val="auto"/>
        </w:rPr>
        <w:t>” shall occur on the first date during the Performance Period when the average closing trading price of a share of Common Stock on the Nasdaq Stock Market over 70 consecutive trading days up to and including such date (the “</w:t>
      </w:r>
      <w:r>
        <w:rPr>
          <w:rFonts w:ascii="Times New Roman" w:cs="Times New Roman" w:eastAsia="Times New Roman" w:hAnsi="Times New Roman"/>
          <w:sz w:val="16"/>
          <w:szCs w:val="16"/>
          <w:u w:val="single" w:color="auto"/>
          <w:color w:val="auto"/>
        </w:rPr>
        <w:t>Attainment Date Period</w:t>
      </w:r>
      <w:r>
        <w:rPr>
          <w:rFonts w:ascii="Times New Roman" w:cs="Times New Roman" w:eastAsia="Times New Roman" w:hAnsi="Times New Roman"/>
          <w:sz w:val="16"/>
          <w:szCs w:val="16"/>
          <w:color w:val="auto"/>
        </w:rPr>
        <w:t>”) equals or exceeds the applicable Target Price Threshold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261620</wp:posOffset>
            </wp:positionV>
            <wp:extent cx="8890" cy="857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890" cy="857250"/>
                    </a:xfrm>
                    <a:prstGeom prst="rect">
                      <a:avLst/>
                    </a:prstGeom>
                    <a:noFill/>
                  </pic:spPr>
                </pic:pic>
              </a:graphicData>
            </a:graphic>
          </wp:anchor>
        </w:drawing>
      </w:r>
    </w:p>
    <w:p>
      <w:pPr>
        <w:spacing w:after="0" w:line="372" w:lineRule="exact"/>
        <w:rPr>
          <w:sz w:val="20"/>
          <w:szCs w:val="20"/>
          <w:color w:val="auto"/>
        </w:rPr>
      </w:pPr>
    </w:p>
    <w:tbl>
      <w:tblPr>
        <w:tblLayout w:type="fixed"/>
        <w:tblInd w:w="1294"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3540" w:type="dxa"/>
            <w:vAlign w:val="bottom"/>
            <w:tcBorders>
              <w:top w:val="single" w:sz="8" w:color="auto"/>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Payout Percentage</w:t>
            </w:r>
          </w:p>
        </w:tc>
        <w:tc>
          <w:tcPr>
            <w:tcW w:w="540" w:type="dxa"/>
            <w:vAlign w:val="bottom"/>
            <w:tcBorders>
              <w:top w:val="single" w:sz="8" w:color="auto"/>
            </w:tcBorders>
          </w:tcPr>
          <w:p>
            <w:pPr>
              <w:spacing w:after="0"/>
              <w:rPr>
                <w:sz w:val="16"/>
                <w:szCs w:val="16"/>
                <w:color w:val="auto"/>
              </w:rPr>
            </w:pPr>
          </w:p>
        </w:tc>
        <w:tc>
          <w:tcPr>
            <w:tcW w:w="2700" w:type="dxa"/>
            <w:vAlign w:val="bottom"/>
            <w:tcBorders>
              <w:top w:val="single" w:sz="8" w:color="auto"/>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w w:val="99"/>
              </w:rPr>
              <w:t>Target Price Threshold</w:t>
            </w:r>
          </w:p>
        </w:tc>
      </w:tr>
      <w:tr>
        <w:trPr>
          <w:trHeight w:val="183"/>
        </w:trPr>
        <w:tc>
          <w:tcPr>
            <w:tcW w:w="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r>
      <w:tr>
        <w:trPr>
          <w:trHeight w:val="204"/>
        </w:trPr>
        <w:tc>
          <w:tcPr>
            <w:tcW w:w="60" w:type="dxa"/>
            <w:vAlign w:val="bottom"/>
          </w:tcPr>
          <w:p>
            <w:pPr>
              <w:spacing w:after="0"/>
              <w:rPr>
                <w:sz w:val="17"/>
                <w:szCs w:val="17"/>
                <w:color w:val="auto"/>
              </w:rPr>
            </w:pPr>
          </w:p>
        </w:tc>
        <w:tc>
          <w:tcPr>
            <w:tcW w:w="3540" w:type="dxa"/>
            <w:vAlign w:val="bottom"/>
            <w:tcBorders>
              <w:right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0.75 x the Initial Grant Number</w:t>
            </w:r>
          </w:p>
        </w:tc>
        <w:tc>
          <w:tcPr>
            <w:tcW w:w="540" w:type="dxa"/>
            <w:vAlign w:val="bottom"/>
          </w:tcPr>
          <w:p>
            <w:pPr>
              <w:spacing w:after="0"/>
              <w:rPr>
                <w:sz w:val="17"/>
                <w:szCs w:val="17"/>
                <w:color w:val="auto"/>
              </w:rPr>
            </w:pPr>
          </w:p>
        </w:tc>
        <w:tc>
          <w:tcPr>
            <w:tcW w:w="2700" w:type="dxa"/>
            <w:vAlign w:val="bottom"/>
            <w:tcBorders>
              <w:right w:val="single" w:sz="8" w:color="auto"/>
            </w:tcBorders>
            <w:gridSpan w:val="2"/>
          </w:tcPr>
          <w:p>
            <w:pPr>
              <w:jc w:val="center"/>
              <w:ind w:right="1100"/>
              <w:spacing w:after="0"/>
              <w:rPr>
                <w:sz w:val="20"/>
                <w:szCs w:val="20"/>
                <w:color w:val="auto"/>
              </w:rPr>
            </w:pPr>
            <w:r>
              <w:rPr>
                <w:rFonts w:ascii="Times New Roman" w:cs="Times New Roman" w:eastAsia="Times New Roman" w:hAnsi="Times New Roman"/>
                <w:sz w:val="16"/>
                <w:szCs w:val="16"/>
                <w:color w:val="auto"/>
              </w:rPr>
              <w:t>US $200 per share</w:t>
            </w:r>
          </w:p>
        </w:tc>
      </w:tr>
      <w:tr>
        <w:trPr>
          <w:trHeight w:val="168"/>
        </w:trPr>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r>
      <w:tr>
        <w:trPr>
          <w:trHeight w:val="156"/>
        </w:trPr>
        <w:tc>
          <w:tcPr>
            <w:tcW w:w="3600" w:type="dxa"/>
            <w:vAlign w:val="bottom"/>
            <w:tcBorders>
              <w:right w:val="single" w:sz="8" w:color="auto"/>
            </w:tcBorders>
            <w:gridSpan w:val="4"/>
          </w:tcPr>
          <w:p>
            <w:pPr>
              <w:jc w:val="center"/>
              <w:ind w:right="460"/>
              <w:spacing w:after="0" w:line="155" w:lineRule="exact"/>
              <w:rPr>
                <w:sz w:val="20"/>
                <w:szCs w:val="20"/>
                <w:color w:val="auto"/>
              </w:rPr>
            </w:pPr>
            <w:r>
              <w:rPr>
                <w:rFonts w:ascii="Times New Roman" w:cs="Times New Roman" w:eastAsia="Times New Roman" w:hAnsi="Times New Roman"/>
                <w:sz w:val="16"/>
                <w:szCs w:val="16"/>
                <w:color w:val="auto"/>
              </w:rPr>
              <w:t>1.5 x the Initial Grant Number (inclusive of 0.75</w:t>
            </w:r>
          </w:p>
        </w:tc>
        <w:tc>
          <w:tcPr>
            <w:tcW w:w="540" w:type="dxa"/>
            <w:vAlign w:val="bottom"/>
          </w:tcPr>
          <w:p>
            <w:pPr>
              <w:spacing w:after="0"/>
              <w:rPr>
                <w:sz w:val="13"/>
                <w:szCs w:val="13"/>
                <w:color w:val="auto"/>
              </w:rPr>
            </w:pPr>
          </w:p>
        </w:tc>
        <w:tc>
          <w:tcPr>
            <w:tcW w:w="2700" w:type="dxa"/>
            <w:vAlign w:val="bottom"/>
            <w:tcBorders>
              <w:right w:val="single" w:sz="8" w:color="auto"/>
            </w:tcBorders>
            <w:gridSpan w:val="2"/>
          </w:tcPr>
          <w:p>
            <w:pPr>
              <w:jc w:val="center"/>
              <w:ind w:right="1100"/>
              <w:spacing w:after="0" w:line="155" w:lineRule="exact"/>
              <w:rPr>
                <w:sz w:val="20"/>
                <w:szCs w:val="20"/>
                <w:color w:val="auto"/>
              </w:rPr>
            </w:pPr>
            <w:r>
              <w:rPr>
                <w:rFonts w:ascii="Times New Roman" w:cs="Times New Roman" w:eastAsia="Times New Roman" w:hAnsi="Times New Roman"/>
                <w:sz w:val="16"/>
                <w:szCs w:val="16"/>
                <w:color w:val="auto"/>
              </w:rPr>
              <w:t>US $220 per share</w:t>
            </w:r>
          </w:p>
        </w:tc>
      </w:tr>
      <w:tr>
        <w:trPr>
          <w:trHeight w:val="210"/>
        </w:trPr>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8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color w:val="auto"/>
              </w:rPr>
              <w:t>x per line above)</w:t>
            </w: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168"/>
        </w:trPr>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r>
    </w:tbl>
    <w:p>
      <w:pPr>
        <w:spacing w:after="0" w:line="310" w:lineRule="exact"/>
        <w:rPr>
          <w:sz w:val="20"/>
          <w:szCs w:val="20"/>
          <w:color w:val="auto"/>
        </w:rPr>
      </w:pPr>
    </w:p>
    <w:p>
      <w:pPr>
        <w:jc w:val="both"/>
        <w:ind w:left="514" w:right="20" w:hanging="246"/>
        <w:spacing w:after="0" w:line="232" w:lineRule="auto"/>
        <w:rPr>
          <w:sz w:val="20"/>
          <w:szCs w:val="20"/>
          <w:color w:val="auto"/>
        </w:rPr>
      </w:pPr>
      <w:r>
        <w:rPr>
          <w:rFonts w:ascii="Times New Roman" w:cs="Times New Roman" w:eastAsia="Times New Roman" w:hAnsi="Times New Roman"/>
          <w:sz w:val="16"/>
          <w:szCs w:val="16"/>
          <w:color w:val="auto"/>
        </w:rPr>
        <w:t>Each Target Price Threshold set forth in the table above is a binary threshold. The Payout Percentage corresponding to a Target Price Threshold for which an Attainment Date is reached shall not be calculated based on linear interpolation. Each Target Price Threshold and corresponding Payout Percentage may be achieved only once. For the avoidance of doubt, the maximum payout of this award will not exceed 1.5 x the Initial Grant Number.</w:t>
      </w:r>
    </w:p>
    <w:p>
      <w:pPr>
        <w:spacing w:after="0" w:line="114" w:lineRule="exact"/>
        <w:rPr>
          <w:sz w:val="20"/>
          <w:szCs w:val="20"/>
          <w:color w:val="auto"/>
        </w:rPr>
      </w:pPr>
    </w:p>
    <w:p>
      <w:pPr>
        <w:ind w:left="514" w:hanging="514"/>
        <w:spacing w:after="0" w:line="223" w:lineRule="auto"/>
        <w:tabs>
          <w:tab w:leader="none" w:pos="29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Forfeiture of the Performance RSUs</w:t>
      </w:r>
      <w:r>
        <w:rPr>
          <w:rFonts w:ascii="Times New Roman" w:cs="Times New Roman" w:eastAsia="Times New Roman" w:hAnsi="Times New Roman"/>
          <w:sz w:val="16"/>
          <w:szCs w:val="16"/>
          <w:color w:val="auto"/>
        </w:rPr>
        <w:t>. To the extent that a Target Price Threshold with respect to a Payout Percentage of the Performance RSUs does not occur during the Performance Period, the portion of the Performance RSUs for which such Target Price Threshold was not attained shall be cancelled by the Company and forfeited by the Participant on the calendar day following the end of the Performance Period. For avoidance of doubt, if the minimum Target Price Threshold is not attained during the Performance Period, the Performance RSUs will be cancelled in their entirety by the Company and forfeited by the Participant on the calendar day following the end of the Performance Period.</w:t>
      </w:r>
    </w:p>
    <w:p>
      <w:pPr>
        <w:spacing w:after="0" w:line="117" w:lineRule="exact"/>
        <w:rPr>
          <w:rFonts w:ascii="Times New Roman" w:cs="Times New Roman" w:eastAsia="Times New Roman" w:hAnsi="Times New Roman"/>
          <w:sz w:val="16"/>
          <w:szCs w:val="16"/>
          <w:color w:val="auto"/>
        </w:rPr>
      </w:pPr>
    </w:p>
    <w:p>
      <w:pPr>
        <w:ind w:left="514" w:hanging="514"/>
        <w:spacing w:after="0" w:line="232" w:lineRule="auto"/>
        <w:tabs>
          <w:tab w:leader="none" w:pos="33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Rounding</w:t>
      </w:r>
      <w:r>
        <w:rPr>
          <w:rFonts w:ascii="Times New Roman" w:cs="Times New Roman" w:eastAsia="Times New Roman" w:hAnsi="Times New Roman"/>
          <w:sz w:val="16"/>
          <w:szCs w:val="16"/>
          <w:color w:val="auto"/>
        </w:rPr>
        <w:t>. To the extent that the attainment of a Target Price Threshold results in a fractional portion of the Performance RSUs becoming vested, such fractional portion of the Performance RSUs will be rounded down to the next whole number, and the Participant will have no right to such fractional portion of the Performance RSUs or any payment in lieu of such fractional portion of the Performance RSUs</w:t>
      </w:r>
    </w:p>
    <w:p>
      <w:pPr>
        <w:sectPr>
          <w:pgSz w:w="11900" w:h="16838" w:orient="portrait"/>
          <w:cols w:equalWidth="0" w:num="1">
            <w:col w:w="11054"/>
          </w:cols>
          <w:pgMar w:left="306" w:top="1015" w:right="5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 In addition, if the Participant resides in Israel, written consent may be required by Grant Custom 3, the Participant should refer to Appendix B for details.</w:t>
      </w:r>
    </w:p>
    <w:p>
      <w:pPr>
        <w:spacing w:after="0" w:line="171"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6" w:lineRule="auto"/>
        <w:tabs>
          <w:tab w:leader="none" w:pos="639"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Times New Roman" w:cs="Times New Roman" w:eastAsia="Times New Roman" w:hAnsi="Times New Roman"/>
          <w:sz w:val="16"/>
          <w:szCs w:val="16"/>
          <w:color w:val="auto"/>
        </w:rPr>
      </w:pPr>
    </w:p>
    <w:p>
      <w:pPr>
        <w:jc w:val="both"/>
        <w:ind w:left="648" w:right="320" w:hanging="324"/>
        <w:spacing w:after="0" w:line="227" w:lineRule="auto"/>
        <w:tabs>
          <w:tab w:leader="none" w:pos="648"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ind w:left="648" w:right="320" w:hanging="324"/>
        <w:spacing w:after="0" w:line="245" w:lineRule="auto"/>
        <w:tabs>
          <w:tab w:leader="none" w:pos="639"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spacing w:after="0" w:line="232" w:lineRule="auto"/>
        <w:rPr>
          <w:sz w:val="20"/>
          <w:szCs w:val="20"/>
          <w:color w:val="auto"/>
        </w:rPr>
      </w:pPr>
      <w:r>
        <w:rPr>
          <w:rFonts w:ascii="Times New Roman" w:cs="Times New Roman" w:eastAsia="Times New Roman" w:hAnsi="Times New Roman"/>
          <w:sz w:val="16"/>
          <w:szCs w:val="16"/>
          <w:color w:val="auto"/>
        </w:rPr>
        <w:t>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14" w:lineRule="exact"/>
        <w:rPr>
          <w:sz w:val="20"/>
          <w:szCs w:val="20"/>
          <w:color w:val="auto"/>
        </w:rPr>
      </w:pPr>
    </w:p>
    <w:p>
      <w:pPr>
        <w:jc w:val="both"/>
        <w:ind w:left="648" w:hanging="324"/>
        <w:spacing w:after="0" w:line="221" w:lineRule="auto"/>
        <w:tabs>
          <w:tab w:leader="none" w:pos="64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563C1"/>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563C1"/>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4" w:lineRule="exact"/>
        <w:rPr>
          <w:rFonts w:ascii="Times New Roman" w:cs="Times New Roman" w:eastAsia="Times New Roman" w:hAnsi="Times New Roman"/>
          <w:sz w:val="16"/>
          <w:szCs w:val="16"/>
          <w:color w:val="auto"/>
        </w:rPr>
      </w:pPr>
    </w:p>
    <w:p>
      <w:pPr>
        <w:jc w:val="both"/>
        <w:ind w:left="648" w:right="20" w:hanging="324"/>
        <w:spacing w:after="0" w:line="232" w:lineRule="auto"/>
        <w:tabs>
          <w:tab w:leader="none" w:pos="648"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968" w:hanging="320"/>
        <w:spacing w:after="0" w:line="227" w:lineRule="auto"/>
        <w:tabs>
          <w:tab w:leader="none" w:pos="959"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auto"/>
        </w:rPr>
      </w:pPr>
    </w:p>
    <w:p>
      <w:pPr>
        <w:jc w:val="both"/>
        <w:ind w:left="328" w:right="20" w:hanging="328"/>
        <w:spacing w:after="0" w:line="221" w:lineRule="auto"/>
        <w:tabs>
          <w:tab w:leader="none" w:pos="32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19" w:lineRule="auto"/>
        <w:rPr>
          <w:sz w:val="20"/>
          <w:szCs w:val="20"/>
          <w:color w:val="auto"/>
        </w:rPr>
      </w:pPr>
      <w:r>
        <w:rPr>
          <w:rFonts w:ascii="Times New Roman" w:cs="Times New Roman" w:eastAsia="Times New Roman" w:hAnsi="Times New Roman"/>
          <w:sz w:val="16"/>
          <w:szCs w:val="16"/>
          <w:color w:val="auto"/>
        </w:rPr>
        <w:t>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sz w:val="20"/>
          <w:szCs w:val="20"/>
          <w:color w:val="auto"/>
        </w:rPr>
      </w:pPr>
    </w:p>
    <w:p>
      <w:pPr>
        <w:jc w:val="both"/>
        <w:ind w:left="324" w:hanging="324"/>
        <w:spacing w:after="0" w:line="223" w:lineRule="auto"/>
        <w:tabs>
          <w:tab w:leader="none" w:pos="31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0" w:lineRule="auto"/>
        <w:tabs>
          <w:tab w:leader="none" w:pos="3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18" w:lineRule="auto"/>
        <w:tabs>
          <w:tab w:leader="none" w:pos="31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27" w:lineRule="auto"/>
        <w:rPr>
          <w:sz w:val="20"/>
          <w:szCs w:val="20"/>
          <w:color w:val="auto"/>
        </w:rPr>
      </w:pPr>
      <w:r>
        <w:rPr>
          <w:rFonts w:ascii="Times New Roman" w:cs="Times New Roman" w:eastAsia="Times New Roman" w:hAnsi="Times New Roman"/>
          <w:sz w:val="16"/>
          <w:szCs w:val="16"/>
          <w:color w:val="auto"/>
        </w:rPr>
        <w:t>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4" w:lineRule="exact"/>
        <w:rPr>
          <w:sz w:val="20"/>
          <w:szCs w:val="20"/>
          <w:color w:val="auto"/>
        </w:rPr>
      </w:pPr>
    </w:p>
    <w:p>
      <w:pPr>
        <w:ind w:left="324" w:right="20" w:hanging="324"/>
        <w:spacing w:after="0" w:line="245"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17" w:lineRule="auto"/>
        <w:tabs>
          <w:tab w:leader="none" w:pos="31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840"/>
        <w:spacing w:after="0" w:line="223" w:lineRule="auto"/>
        <w:rPr>
          <w:sz w:val="20"/>
          <w:szCs w:val="20"/>
          <w:color w:val="auto"/>
        </w:rPr>
      </w:pPr>
      <w:r>
        <w:rPr>
          <w:rFonts w:ascii="Times New Roman" w:cs="Times New Roman" w:eastAsia="Times New Roman" w:hAnsi="Times New Roman"/>
          <w:sz w:val="16"/>
          <w:szCs w:val="16"/>
          <w:color w:val="auto"/>
        </w:rPr>
        <w:t>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7" w:lineRule="exact"/>
        <w:rPr>
          <w:sz w:val="20"/>
          <w:szCs w:val="20"/>
          <w:color w:val="auto"/>
        </w:rPr>
      </w:pPr>
    </w:p>
    <w:p>
      <w:pPr>
        <w:ind w:left="840" w:right="20" w:hanging="324"/>
        <w:spacing w:after="0" w:line="245" w:lineRule="auto"/>
        <w:tabs>
          <w:tab w:leader="none" w:pos="8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840" w:hanging="324"/>
        <w:spacing w:after="0" w:line="223" w:lineRule="auto"/>
        <w:tabs>
          <w:tab w:leader="none" w:pos="83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20320</wp:posOffset>
            </wp:positionV>
            <wp:extent cx="23399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780"/>
          </w:cols>
          <w:pgMar w:left="460" w:top="1440" w:right="659" w:bottom="1440" w:gutter="0" w:footer="0" w:header="0"/>
        </w:sectPr>
      </w:pPr>
    </w:p>
    <w:bookmarkStart w:id="61" w:name="page62"/>
    <w:bookmarkEnd w:id="61"/>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8" w:hanging="328"/>
        <w:spacing w:after="0"/>
        <w:tabs>
          <w:tab w:leader="none" w:pos="32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March 15, 2022 and ending on Grant Custom 1 (the “Performance Period”).</w:t>
      </w:r>
    </w:p>
    <w:p>
      <w:pPr>
        <w:spacing w:after="0" w:line="14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328" w:right="20" w:hanging="328"/>
        <w:spacing w:after="0" w:line="245" w:lineRule="auto"/>
        <w:tabs>
          <w:tab w:leader="none" w:pos="32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0"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3" w:lineRule="exact"/>
        <w:rPr>
          <w:rFonts w:ascii="Times New Roman" w:cs="Times New Roman" w:eastAsia="Times New Roman" w:hAnsi="Times New Roman"/>
          <w:sz w:val="16"/>
          <w:szCs w:val="16"/>
          <w:color w:val="auto"/>
        </w:rPr>
      </w:pPr>
    </w:p>
    <w:p>
      <w:pPr>
        <w:jc w:val="both"/>
        <w:ind w:left="32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89535</wp:posOffset>
            </wp:positionV>
            <wp:extent cx="2785745" cy="1165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7857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“Beginning Stock Price” shall mean the average of the closing prices of the applicable stock for the 90 calendar days starting and including the first day of the Performance Period.</w:t>
      </w:r>
    </w:p>
    <w:p>
      <w:pPr>
        <w:spacing w:after="0" w:line="1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“Cumulative Cash Dividend Payments” shall mean the sum of all cash dividends declared during the Performance Period, based on their ex-dividend date.</w:t>
      </w:r>
    </w:p>
    <w:p>
      <w:pPr>
        <w:spacing w:after="0" w:line="208"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“Ending Stock Price” shall mean the average of the closing price of the applicable stock for the 90 calendar days up to and including the last day of the Performance Period.</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1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Total Shareholder Return (“TSR”) shall be computed according to the following formula:</w:t>
      </w:r>
    </w:p>
    <w:p>
      <w:pPr>
        <w:spacing w:after="0" w:line="1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 xml:space="preserve">TSR = </w:t>
      </w:r>
      <w:r>
        <w:rPr>
          <w:rFonts w:ascii="Times New Roman" w:cs="Times New Roman" w:eastAsia="Times New Roman" w:hAnsi="Times New Roman"/>
          <w:sz w:val="16"/>
          <w:szCs w:val="16"/>
          <w:u w:val="single" w:color="auto"/>
          <w:color w:val="auto"/>
        </w:rPr>
        <w:t>(Ending Stock Price – Beginning Stock Price + Cumulative Cash Dividend Payments)</w:t>
      </w:r>
    </w:p>
    <w:p>
      <w:pPr>
        <w:jc w:val="center"/>
        <w:ind w:right="-7"/>
        <w:spacing w:after="0"/>
        <w:rPr>
          <w:sz w:val="20"/>
          <w:szCs w:val="20"/>
          <w:color w:val="auto"/>
        </w:rPr>
      </w:pPr>
      <w:r>
        <w:rPr>
          <w:rFonts w:ascii="Times New Roman" w:cs="Times New Roman" w:eastAsia="Times New Roman" w:hAnsi="Times New Roman"/>
          <w:sz w:val="16"/>
          <w:szCs w:val="16"/>
          <w:color w:val="auto"/>
        </w:rPr>
        <w:t>(Beginning Stock Price)</w:t>
      </w:r>
    </w:p>
    <w:p>
      <w:pPr>
        <w:spacing w:after="0" w:line="379"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Performance Parameters shall be subject to the adjustments approved by the Compensation Committee of the Board and set forth in writing at the time the Performance Parameters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sectPr>
      </w:pPr>
    </w:p>
    <w:bookmarkStart w:id="62" w:name="page63"/>
    <w:bookmarkEnd w:id="6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13" w:lineRule="exact"/>
        <w:rPr>
          <w:rFonts w:ascii="Times New Roman" w:cs="Times New Roman" w:eastAsia="Times New Roman" w:hAnsi="Times New Roman"/>
          <w:sz w:val="16"/>
          <w:szCs w:val="16"/>
          <w:color w:val="auto"/>
        </w:rPr>
      </w:pPr>
    </w:p>
    <w:p>
      <w:pPr>
        <w:ind w:left="500" w:hanging="328"/>
        <w:spacing w:after="0" w:line="250" w:lineRule="auto"/>
        <w:tabs>
          <w:tab w:leader="none" w:pos="49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sectPr>
      </w:pPr>
    </w:p>
    <w:bookmarkStart w:id="63" w:name="page64"/>
    <w:bookmarkEnd w:id="6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03" w:lineRule="exact"/>
        <w:rPr>
          <w:sz w:val="20"/>
          <w:szCs w:val="20"/>
          <w:color w:val="auto"/>
        </w:rPr>
      </w:pPr>
    </w:p>
    <w:p>
      <w:pPr>
        <w:jc w:val="both"/>
        <w:ind w:left="500" w:hanging="328"/>
        <w:spacing w:after="0" w:line="222" w:lineRule="auto"/>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Australian Offer Documen</w:t>
      </w:r>
      <w:r>
        <w:rPr>
          <w:rFonts w:ascii="Times New Roman" w:cs="Times New Roman" w:eastAsia="Times New Roman" w:hAnsi="Times New Roman"/>
          <w:sz w:val="16"/>
          <w:szCs w:val="16"/>
          <w:color w:val="auto"/>
        </w:rPr>
        <w:t>t. This offer of Performance RSUs is intended to comply with the provisions of the Corporations Act 2001, ASIC Regulatory Guide 49 and ASIC Class Order CO 14/1000. Additional details are set forth in the Offer Document for the offer of Performance RSUs to Australian resident employees, which is attached hereto as Appendix C.</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4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Times New Roman" w:cs="Times New Roman" w:eastAsia="Times New Roman" w:hAnsi="Times New Roman"/>
          <w:sz w:val="16"/>
          <w:szCs w:val="16"/>
          <w:i w:val="1"/>
          <w:iCs w:val="1"/>
          <w:color w:val="auto"/>
        </w:rPr>
        <w:t>Standmeldung/Wertpapiere</w:t>
      </w:r>
      <w:r>
        <w:rPr>
          <w:rFonts w:ascii="Times New Roman" w:cs="Times New Roman" w:eastAsia="Times New Roman" w:hAnsi="Times New Roman"/>
          <w:sz w:val="16"/>
          <w:szCs w:val="16"/>
          <w:color w:val="auto"/>
        </w:rPr>
        <w:t>.” An exemption applies if the value of the securities held outside Austria as of December 31 does not exceed certain thresholds. These thresholds may be subject to change effective January 2022. If applicable, the deadline for filing the annual report is January 31 of the following year.</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und/oder SI-Verpflichtungen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ectPr>
          <w:pgSz w:w="11900" w:h="16838" w:orient="portrait"/>
          <w:cols w:equalWidth="0" w:num="1">
            <w:col w:w="11080"/>
          </w:cols>
          <w:pgMar w:left="480" w:top="101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type w:val="continuous"/>
        </w:sectPr>
      </w:pPr>
    </w:p>
    <w:bookmarkStart w:id="64" w:name="page65"/>
    <w:bookmarkEnd w:id="6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French Language Acknowledgment</w:t>
      </w:r>
      <w:r>
        <w:rPr>
          <w:rFonts w:ascii="Times New Roman" w:cs="Times New Roman" w:eastAsia="Times New Roman" w:hAnsi="Times New Roman"/>
          <w:sz w:val="16"/>
          <w:szCs w:val="16"/>
          <w:color w:val="auto"/>
        </w:rPr>
        <w:t>. This provision supplements Section 9(q)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65" w:name="page66"/>
    <w:bookmarkEnd w:id="6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08"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9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D.</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sectPr>
      </w:pPr>
    </w:p>
    <w:bookmarkStart w:id="66" w:name="page67"/>
    <w:bookmarkEnd w:id="6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type w:val="continuous"/>
        </w:sectPr>
      </w:pPr>
    </w:p>
    <w:bookmarkStart w:id="67" w:name="page68"/>
    <w:bookmarkEnd w:id="6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7"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 It is the Participant’s responsibility to comply with this reporting obligation and the Participant should consult with his or her personal tax advisor in this regard.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9(b)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type w:val="continuous"/>
        </w:sectPr>
      </w:pPr>
    </w:p>
    <w:bookmarkStart w:id="68" w:name="page69"/>
    <w:bookmarkEnd w:id="6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Analog Way, Wilmington, Massachusetts, 01887 U.S.A. If Analog Devices, (Israel) Ltd. or Analog Devices, Inc. does not receive the signed Israeli Appendix within 45 days, the Performance RSUs shall terminate and will become null and void.</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2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sectPr>
      </w:pPr>
    </w:p>
    <w:bookmarkStart w:id="69" w:name="page70"/>
    <w:bookmarkEnd w:id="6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70" w:name="page71"/>
    <w:bookmarkEnd w:id="7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91"/>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6"/>
                <w:szCs w:val="16"/>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80"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-5291455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-5274310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-5257165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-5240020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-5222875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-5205730</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-5188585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-5171440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-5154295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-5137150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-5120005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-5102860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-5085715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-5068570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-5051425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-5034280</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-5017135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-4999990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-4982845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-4965700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-4948555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-4931410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-4914265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-4897120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-4879975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-4862830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-4845685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-4828540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-4811395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-4794250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-4777105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-4759960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-4742815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-4725670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-4708525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-4691380</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-4674235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-4657090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-4639945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-4622800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-4605655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-4588510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-4571365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-4554220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-4537075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-4519930</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-4502785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-4485640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-4468495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-4451350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-4434205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-4417060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-4399915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-4382770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-4365625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-4348480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-4331335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-4314190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-4297045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-4279900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-4262755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-4245610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-4228465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-4211320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-4194175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-4177030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-4159885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-4142740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-4125595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-4108450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-4091305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-4074160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-4057015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-4039870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-4022725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-4005580</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-3988435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-3971290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-3954145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-3937000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-3919855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-3902710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-3885565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-3868420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-3851275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-3834130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-3816985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-3799840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-3782695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-3765550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-3748405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-3731260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-3714115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-3696970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-3679825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-3662680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-3645535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-3628390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-3611245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-3594100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-3576955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-3559810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-3542665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-3525520</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-3508375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-3491230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-3474085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-3456940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-3439795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-3422650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-3405505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-3388360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-3371215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-3354070</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-3336925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-3319780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-3302635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-3285490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-3268345</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-3251200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-3234055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-3216910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-3199765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-3182620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-3165475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-3148330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-3131185</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-3114040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-3096895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-3079750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-3062605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-3045460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-3028315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-3011170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-2994025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-2976880</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-2959735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-2942590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-2925445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-2908300</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-2891155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-2874010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-2856865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-2839720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-2822575</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-2805430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-2788285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-2771140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-2753995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-2736850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-2719705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-2702560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-2685415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-2668270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-2651125</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-2633980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-2616835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-2599690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-2582545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-2565400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-2548255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-2531110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-2513965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-2496820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-2479675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-2462530</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-2445385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-2428240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-2411095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-2393950</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-2376805</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-2359660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-2342515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-2325370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-2308225</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-2291080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-2273935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-2256790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-2239645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-2222500</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-2205355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-2188210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-2171065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-2153920</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-2136775</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-2119630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-2102485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-2085340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-2068195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-2051050</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-2033905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-2016760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-1999615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-1982470</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-1965325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-1948180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-1931035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-1913890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-1896745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-1879600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-1862455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-1845310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-1828165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-1811020</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-1793875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-1776730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-1759585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-1742440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-1725295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-1708150</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-1691005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-1673860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-1656715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-1639570</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-1622425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-1605280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-1588135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-1570990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-1553845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-1536700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-1519555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-1502410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-1485265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-1468120</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-1450975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-1433830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-1416685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-1399540</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-1382395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-1365250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-1348105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-1330960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-1313815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-1296670</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-1279525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-1262380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-1245235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-1228090</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-1210945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-1193800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-1176655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-1159510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-1142365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-1125220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-1108075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-1090930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-1073785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-1056640</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-1039495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-1022350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-1005205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-988060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-970915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-953770</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-936625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-919480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-902335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-885190</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-868045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-850900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-833755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-816610</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-799465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-782320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-765175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-748030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-730885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-713740</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-696595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-679450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-662305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-645160</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-628015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-610870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-593725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-576580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-559435</wp:posOffset>
            </wp:positionV>
            <wp:extent cx="8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-542290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-525145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-508000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-490855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-473710</wp:posOffset>
            </wp:positionV>
            <wp:extent cx="82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-456565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-439420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-422275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-405130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-387985</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-370840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-353695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-336550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-319405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-302260</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-285115</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-267970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-250825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-233680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-216535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-199390</wp:posOffset>
            </wp:positionV>
            <wp:extent cx="82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-182245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-165100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-147955</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-130810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-113665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-96520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-79375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-62230</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-45085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-27940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6684010</wp:posOffset>
            </wp:positionH>
            <wp:positionV relativeFrom="paragraph">
              <wp:posOffset>-10795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-5291455</wp:posOffset>
            </wp:positionV>
            <wp:extent cx="82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-5274310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-5257165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-5240020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-5222875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-5205730</wp:posOffset>
            </wp:positionV>
            <wp:extent cx="82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-5188585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-5171440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-5154295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-5137150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-5120005</wp:posOffset>
            </wp:positionV>
            <wp:extent cx="82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-5102860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-5085715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-5068570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-5051425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-5034280</wp:posOffset>
            </wp:positionV>
            <wp:extent cx="82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-5017135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-4999990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-4982845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-4965700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-4948555</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-4931410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-4914265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-4897120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-4879975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-4862830</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-4845685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-4828540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-4811395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-4794250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-4777105</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-4759960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-4742815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-4725670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-4708525</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-4691380</wp:posOffset>
            </wp:positionV>
            <wp:extent cx="82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-4674235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-4657090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-4639945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-4622800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-4605655</wp:posOffset>
            </wp:positionV>
            <wp:extent cx="825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-4588510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-4571365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-4554220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-4537075</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-4519930</wp:posOffset>
            </wp:positionV>
            <wp:extent cx="82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-4502785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-4485640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-4468495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-4451350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-4434205</wp:posOffset>
            </wp:positionV>
            <wp:extent cx="8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-4417060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-4399915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-4382770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-4365625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-4348480</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-4331335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-4314190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-4297045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-4279900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-4262755</wp:posOffset>
            </wp:positionV>
            <wp:extent cx="8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-4245610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-4228465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-4211320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-4194175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-4177030</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-4159885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-4142740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-4125595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-4108450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-4091305</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-4074160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-4057015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-4039870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-4022725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-4005580</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-3988435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-3971290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-3954145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-3937000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-3919855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-3902710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-3885565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-3868420</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-3851275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-3834130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-3816985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-3799840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-3782695</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-3765550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-3748405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-3731260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-3714115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-3696970</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-3679825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-3662680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-3645535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-3628390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-3611245</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-3594100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-3576955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-3559810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-3542665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-3525520</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-3508375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-3491230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-3474085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-3456940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-3439795</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-3422650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-3405505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-3388360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-3371215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-3354070</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-3336925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-3319780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-3302635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-3285490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-3268345</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-3251200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-3234055</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-3216910</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-3199765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-3182620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-3165475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-3148330</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-3131185</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-3114040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-3096895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-3079750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-3062605</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-3045460</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-3028315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-3011170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-2994025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-2976880</wp:posOffset>
            </wp:positionV>
            <wp:extent cx="82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-2959735</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-2942590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-2925445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-2908300</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-2891155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-2874010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-2856865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-2839720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-2822575</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-2805430</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-2788285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-2771140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-2753995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-2736850</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-2719705</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-2702560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-2685415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-2668270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-2651125</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-2633980</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-2616835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-2599690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-2582545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-2565400</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-2548255</wp:posOffset>
            </wp:positionV>
            <wp:extent cx="825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-2531110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-2513965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-2496820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-2479675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-2462530</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-2445385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-2428240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-2411095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-2393950</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-2376805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-2359660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-2342515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-2325370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-2308225</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-2291080</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-2273935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-2256790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-2239645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-2222500</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-2205355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-2188210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-2171065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-2153920</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-2136775</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-2119630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-2102485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-2085340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-2068195</wp:posOffset>
            </wp:positionV>
            <wp:extent cx="825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-2051050</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-2033905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-2016760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-1999615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-1982470</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-1965325</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-1948180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-1931035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-1913890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-1896745</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-1879600</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-1862455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-1845310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-1828165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-1811020</wp:posOffset>
            </wp:positionV>
            <wp:extent cx="82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-1793875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-1776730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-1759585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-1742440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-1725295</wp:posOffset>
            </wp:positionV>
            <wp:extent cx="82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-1708150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-1691005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-1673860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-1656715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-1639570</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-1622425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-1605280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-1588135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-1570990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-1553845</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-1536700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-1519555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-1502410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-1485265</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-1468120</wp:posOffset>
            </wp:positionV>
            <wp:extent cx="825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-1450975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-1433830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-1416685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-1399540</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-1382395</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-1365250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-1348105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-1330960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-1313815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-1296670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-1279525</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-1262380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-1245235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-1228090</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-1210945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-1193800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-1176655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-1159510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-1142365</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-1125220</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-1108075</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-1090930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-1073785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-1056640</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-1039495</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-1022350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-1005205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-988060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-970915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-953770</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-936625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-919480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-902335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-885190</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-868045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-850900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-833755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-816610</wp:posOffset>
            </wp:positionV>
            <wp:extent cx="825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-799465</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-782320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-765175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-748030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-730885</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-713740</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-696595</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-679450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-662305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-5291455</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-5274310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-5257165</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-5240020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-5222875</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-5205730</wp:posOffset>
            </wp:positionV>
            <wp:extent cx="825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-5188585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-5171440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-5154295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-5137150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-5120005</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-5102860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-5085715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-5068570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-5051425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-5034280</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-5017135</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-4999990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-4982845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-4965700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-4948555</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-4931410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-4914265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-4897120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-4879975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-4862830</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-4845685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-4828540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-4811395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-4794250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-4777105</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-4759960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-4742815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-4725670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-4708525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-4691380</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-4674235</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-4657090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-4639945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-4622800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-4605655</wp:posOffset>
            </wp:positionV>
            <wp:extent cx="825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-4588510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-4571365</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-4554220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-4537075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-4519930</wp:posOffset>
            </wp:positionV>
            <wp:extent cx="82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-4502785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-4485640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-4468495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-4451350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-4434205</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-4417060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-4399915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-4382770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-4365625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-4348480</wp:posOffset>
            </wp:positionV>
            <wp:extent cx="825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-4331335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-4314190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-4297045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-4279900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-4262755</wp:posOffset>
            </wp:positionV>
            <wp:extent cx="82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-4245610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-4228465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-4211320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-4194175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-4177030</wp:posOffset>
            </wp:positionV>
            <wp:extent cx="82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-4159885</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-4142740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-4125595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-4108450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-4091305</wp:posOffset>
            </wp:positionV>
            <wp:extent cx="825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-4074160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-4057015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-4039870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-4022725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-4005580</wp:posOffset>
            </wp:positionV>
            <wp:extent cx="825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-3988435</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-3971290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-3954145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-3937000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-3919855</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-3902710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-3885565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-3868420</wp:posOffset>
            </wp:positionV>
            <wp:extent cx="82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-3851275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-3834130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-3816985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-3799840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-3782695</wp:posOffset>
            </wp:positionV>
            <wp:extent cx="825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-3765550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-3748405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-3731260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-3714115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-3696970</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-3679825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-3662680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-3645535</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-3628390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-3611245</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-3594100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-3576955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-3559810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-3542665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-3525520</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-3508375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-3491230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-3474085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-3456940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-3439795</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-3422650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-3405505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-3388360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-3371215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-3354070</wp:posOffset>
            </wp:positionV>
            <wp:extent cx="82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-3336925</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-3319780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-3302635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-3285490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-3268345</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-3251200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-3234055</wp:posOffset>
            </wp:positionV>
            <wp:extent cx="825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-3216910</wp:posOffset>
            </wp:positionV>
            <wp:extent cx="825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-3199765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-3182620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-3165475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-3148330</wp:posOffset>
            </wp:positionV>
            <wp:extent cx="825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-3131185</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-3114040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-3096895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-3079750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-3062605</wp:posOffset>
            </wp:positionV>
            <wp:extent cx="825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-3045460</wp:posOffset>
            </wp:positionV>
            <wp:extent cx="825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-3028315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-3011170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-2994025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-2976880</wp:posOffset>
            </wp:positionV>
            <wp:extent cx="82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-2959735</wp:posOffset>
            </wp:positionV>
            <wp:extent cx="825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-2942590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-2925445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-2908300</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-2891155</wp:posOffset>
            </wp:positionV>
            <wp:extent cx="825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-2874010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-2856865</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-2839720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-2822575</wp:posOffset>
            </wp:positionV>
            <wp:extent cx="825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-2805430</wp:posOffset>
            </wp:positionV>
            <wp:extent cx="8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-2788285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-2771140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-2753995</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-2736850</wp:posOffset>
            </wp:positionV>
            <wp:extent cx="825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-2719705</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-2702560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-2685415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-2668270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-2651125</wp:posOffset>
            </wp:positionV>
            <wp:extent cx="825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-2633980</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-2616835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-2599690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-2582545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-2565400</wp:posOffset>
            </wp:positionV>
            <wp:extent cx="82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-2548255</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-2531110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-2513965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-2496820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-2479675</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-2462530</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-2445385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-2428240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-2411095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-2393950</wp:posOffset>
            </wp:positionV>
            <wp:extent cx="825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-2376805</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-2359660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-2342515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-2325370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-2308225</wp:posOffset>
            </wp:positionV>
            <wp:extent cx="825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-2291080</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-2273935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-2256790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-2239645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-2222500</wp:posOffset>
            </wp:positionV>
            <wp:extent cx="82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-2205355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-2188210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-2171065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-2153920</wp:posOffset>
            </wp:positionV>
            <wp:extent cx="825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-2136775</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-2119630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-2102485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-2085340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-2068195</wp:posOffset>
            </wp:positionV>
            <wp:extent cx="82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-2051050</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-2033905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-2016760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-1999615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-1982470</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-1965325</wp:posOffset>
            </wp:positionV>
            <wp:extent cx="825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-1948180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-1931035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-1913890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-1896745</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-1879600</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-1862455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-1845310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-1828165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-1811020</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-1793875</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-1776730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-1759585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-1742440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-1725295</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-1708150</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-1691005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-1673860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-1656715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-1639570</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-1622425</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-1605280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-1588135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-1570990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-1553845</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-1536700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-1519555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-1502410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-1485265</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-1468120</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-1450975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-1433830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-1416685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-1399540</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-1382395</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-1365250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-1348105</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-1330960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-1313815</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-1296670</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-1279525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-1262380</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-1245235</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-1228090</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-1210945</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-1193800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-1176655</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-1159510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-1142365</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-1125220</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-1108075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-1090930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-1073785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-1056640</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-1039495</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-1022350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-1005205</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-988060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-970915</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-953770</wp:posOffset>
            </wp:positionV>
            <wp:extent cx="82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-936625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-919480</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-902335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-885190</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-868045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-850900</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-833755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-816610</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-799465</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-782320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-765175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-748030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-730885</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-713740</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-696595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-679450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-662305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-645160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2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-610870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-593725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-576580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-559435</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-542290</wp:posOffset>
            </wp:positionV>
            <wp:extent cx="82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-525145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-508000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-490855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-473710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-456565</wp:posOffset>
            </wp:positionV>
            <wp:extent cx="825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-439420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-422275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-405130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-387985</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-370840</wp:posOffset>
            </wp:positionV>
            <wp:extent cx="825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-353695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-336550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-319405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-302260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-285115</wp:posOffset>
            </wp:positionV>
            <wp:extent cx="825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-267970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-250825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-233680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-216535</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-199390</wp:posOffset>
            </wp:positionV>
            <wp:extent cx="825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-182245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-165100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-147955</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-130810</wp:posOffset>
            </wp:positionV>
            <wp:extent cx="825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-113665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-96520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-79375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-62230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-45085</wp:posOffset>
            </wp:positionV>
            <wp:extent cx="825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-27940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-10795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-110490</wp:posOffset>
            </wp:positionV>
            <wp:extent cx="6574790" cy="12827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6574790" cy="12827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15" w:right="659" w:bottom="1440" w:gutter="0" w:footer="0" w:header="0"/>
        </w:sectPr>
      </w:pPr>
    </w:p>
    <w:bookmarkStart w:id="71" w:name="page72"/>
    <w:bookmarkEnd w:id="7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5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4"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0"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72" w:name="page73"/>
    <w:bookmarkEnd w:id="7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ectPr>
          <w:pgSz w:w="11900" w:h="16838" w:orient="portrait"/>
          <w:cols w:equalWidth="0" w:num="1">
            <w:col w:w="11080"/>
          </w:cols>
          <w:pgMar w:left="480" w:top="1015"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15" w:right="339" w:bottom="1440" w:gutter="0" w:footer="0" w:header="0"/>
          <w:type w:val="continuous"/>
        </w:sectPr>
      </w:pPr>
    </w:p>
    <w:bookmarkStart w:id="73" w:name="page74"/>
    <w:bookmarkEnd w:id="7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9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07"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type w:val="continuous"/>
        </w:sectPr>
      </w:pPr>
    </w:p>
    <w:bookmarkStart w:id="74" w:name="page75"/>
    <w:bookmarkEnd w:id="7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acknowledges that he or she must declare any Shares that are acquired under the Plan to the </w:t>
      </w:r>
      <w:r>
        <w:rPr>
          <w:rFonts w:ascii="Times New Roman" w:cs="Times New Roman" w:eastAsia="Times New Roman" w:hAnsi="Times New Roman"/>
          <w:sz w:val="16"/>
          <w:szCs w:val="16"/>
          <w:i w:val="1"/>
          <w:iCs w:val="1"/>
          <w:color w:val="auto"/>
        </w:rPr>
        <w:t>Dirección General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Comercio e Inversiones </w:t>
      </w:r>
      <w:r>
        <w:rPr>
          <w:rFonts w:ascii="Times New Roman" w:cs="Times New Roman" w:eastAsia="Times New Roman" w:hAnsi="Times New Roman"/>
          <w:sz w:val="16"/>
          <w:szCs w:val="16"/>
          <w:color w:val="auto"/>
        </w:rPr>
        <w:t>of the Ministry of Economy and Competitiveness (the “DGCI”). After the initial declaration, the declaration must be filed with the DGCI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annual basis each January while the shares are owned; however, if the value of the Shares or the sale proceeds exceed a certain amount, a declaration must be filed within one month of the acquisition or sale, as applicable.</w:t>
      </w:r>
    </w:p>
    <w:p>
      <w:pPr>
        <w:spacing w:after="0" w:line="21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sectPr>
      </w:pPr>
    </w:p>
    <w:bookmarkStart w:id="75" w:name="page76"/>
    <w:bookmarkEnd w:id="7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report the inward remittance to the Bank of Thailand on a Foreign Exchange Transaction Form. The Participant is responsible for ensuring compliance with all exchange control laws in Thailand.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6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15" w:right="659" w:bottom="1440" w:gutter="0" w:footer="0" w:header="0"/>
        </w:sectPr>
      </w:pPr>
    </w:p>
    <w:bookmarkStart w:id="76" w:name="page77"/>
    <w:bookmarkEnd w:id="76"/>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0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We are pleased to provide you with this offer to participate in the Analog Devices, Inc. 2020 Equity Incentive Plan (the “Plan”). This Offer Document sets out information regarding the grant of performance restricted stock units (“Performance RSUs”) over shares of common stock (“Shares”) of Analog Devices, Inc. (the “Company”) to Australian resident employees and directors of the Company and its Australian Subsidiary.</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capitalized term used but not defined herein shall have the meaning ascribed to such term in the Plan.</w:t>
      </w:r>
    </w:p>
    <w:p>
      <w:pPr>
        <w:spacing w:after="0" w:line="192" w:lineRule="exact"/>
        <w:rPr>
          <w:sz w:val="20"/>
          <w:szCs w:val="20"/>
          <w:color w:val="auto"/>
        </w:rPr>
      </w:pPr>
    </w:p>
    <w:p>
      <w:pPr>
        <w:ind w:left="300" w:hanging="292"/>
        <w:spacing w:after="0"/>
        <w:tabs>
          <w:tab w:leader="none" w:pos="30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is an Offer of Performance RSUs, as may be granted from time to time by the Company, to certain eligible employees in accordance with the Plan.</w:t>
      </w:r>
    </w:p>
    <w:p>
      <w:pPr>
        <w:spacing w:after="0" w:line="1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OF GRANT</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terms of the grant of Performance RSUs incorporate the rules of the Plan, this Offer Document and the Global Performance Restricted Stock Unit Agreement, and Appendix A thereto (the “Agreement”). By accepting a grant of Performance RSUs, you will be bound by the rules of the Plan, this Offer Document and the Agreement.</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ADDITIONAL DOCUMENTS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information set out in this Offer Document, attached are copies of the following documents:</w:t>
      </w:r>
    </w:p>
    <w:p>
      <w:pPr>
        <w:spacing w:after="0" w:line="194" w:lineRule="exact"/>
        <w:rPr>
          <w:sz w:val="20"/>
          <w:szCs w:val="20"/>
          <w:color w:val="auto"/>
        </w:rPr>
      </w:pPr>
    </w:p>
    <w:p>
      <w:pPr>
        <w:ind w:left="680" w:hanging="672"/>
        <w:spacing w:after="0"/>
        <w:tabs>
          <w:tab w:leader="none" w:pos="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w:t>
      </w:r>
    </w:p>
    <w:p>
      <w:pPr>
        <w:spacing w:after="0" w:line="194"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Prospectus; and</w:t>
      </w:r>
    </w:p>
    <w:p>
      <w:pPr>
        <w:spacing w:after="0" w:line="194"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(collectively, the “Additional Documents”).</w:t>
      </w:r>
    </w:p>
    <w:p>
      <w:pPr>
        <w:spacing w:after="0" w:line="19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Agreement sets out, among other details, the vesting conditions applicable to your Performance RSUs, information on the settlement of your Performance RSUs and the consequences of a change in the nature or status of your employment.</w:t>
      </w:r>
    </w:p>
    <w:p>
      <w:pPr>
        <w:spacing w:after="0" w:line="1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Times New Roman" w:cs="Times New Roman" w:eastAsia="Times New Roman" w:hAnsi="Times New Roman"/>
          <w:sz w:val="16"/>
          <w:szCs w:val="16"/>
          <w:i w:val="1"/>
          <w:iCs w:val="1"/>
          <w:color w:val="auto"/>
        </w:rPr>
        <w:t>Corporations Act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77" w:name="page78"/>
    <w:bookmarkEnd w:id="77"/>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0" w:hanging="292"/>
        <w:spacing w:after="0"/>
        <w:tabs>
          <w:tab w:leader="none" w:pos="30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RELIANCE ON STATEMENTS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tab/>
        <w:t>WHO IS ELIGIBLE TO PARTICIPATE?</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2"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ACCEPTING AN AWARD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Agreement sets out additional terms and conditions of your Performance RSU award. You are required to affirmatively accept your Performance RSU award.</w:t>
      </w:r>
    </w:p>
    <w:p>
      <w:pPr>
        <w:spacing w:after="0" w:line="192" w:lineRule="exact"/>
        <w:rPr>
          <w:sz w:val="20"/>
          <w:szCs w:val="20"/>
          <w:color w:val="auto"/>
        </w:rPr>
      </w:pPr>
    </w:p>
    <w:p>
      <w:pPr>
        <w:ind w:left="300" w:hanging="292"/>
        <w:spacing w:after="0"/>
        <w:tabs>
          <w:tab w:leader="none" w:pos="30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MATERIAL TERMS OF THE PERFORMANCE RSUs?</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(a)</w:t>
        <w:tab/>
        <w:t>What are Performance RSUs?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Performance RSUs represent the right to receive Shares upon fulfilment of the vesting conditions set out in your Agreement. The Performance RSUs are considered “restricted” because they are subject to forfeiture and restrictions on transfer until they vest. The restrictions are set forth in your Agreement. When your Performance RSUs vest, you will be issued Shares at no monetary cost (other than applicable taxes) to you. Notwithstanding anything to the contrary in the Plan, the Agreement, or any related document, your Performance RSUs will be settled in Shares.</w:t>
      </w:r>
    </w:p>
    <w:p>
      <w:pPr>
        <w:spacing w:after="0" w:line="166"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 I have to pay any money to receive the Performance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You pay no monetary consideration to receive the Performance RSUs, nor do you pay anything to receive the Shares upon vesting (other than applicable taxes).</w:t>
      </w:r>
    </w:p>
    <w:p>
      <w:pPr>
        <w:spacing w:after="0" w:line="192"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Shares will I receive upon vesting of my Performance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details of your Performance RSUs and the number of Shares subject to the award are set out in the Agreement.</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(d)</w:t>
        <w:tab/>
        <w:t>When do I become a stockholder?</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You are not a stockholder merely as a result of holding Performance RSUs. The Performance RSUs will not entitle you to any shareholder rights, including the right to vote the Shares or receive dividends, notices of meetings, proxy statements and other materials provided to stockholders, until the restrictions lapse at vesting and the Performance RSUs are paid out in Shares. In this regard, you are not recorded as the owner of the Shares prior to vesting. You should refer to your Agreement for details of the consequences of a change in the nature of your employment.</w:t>
      </w:r>
    </w:p>
    <w:p>
      <w:pPr>
        <w:spacing w:after="0" w:line="166"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Can I transfer the Performance RSUs to someone else?</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No. The Performance RSUs are generally non-transferable, unless otherwise provided in your Agreement; however, once Shares are issued upon vesting, the Shares will be freely tradeable (subject to the Company’s policies and applicable laws regarding insider trading).</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w:t>
        <w:tab/>
        <w:t>What happens if my employment with the Company or Australian Subsidiary terminates?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Your right to any unvested Performance RSUs will terminate when you terminate employment with the Company or any subsidiary of the Company for reasons including, but not limited to, retirement, resignation, lay-off, discharge, or other change of employment status.</w:t>
      </w:r>
    </w:p>
    <w:p>
      <w:pPr>
        <w:spacing w:after="0" w:line="162"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A SHARE IN THE COMPANY</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Common stock of a U.S. corporation is analogous to an ordinary share of an Australian corporation. Each holder of a Share is entitled to one vote for every Share held in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may be paid on the Shares out of any funds of the Company legally available for dividends at the discretion of the board of directors of the Company.</w:t>
      </w: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15" w:right="339" w:bottom="1440" w:gutter="0" w:footer="0" w:header="0"/>
        </w:sectPr>
      </w:pPr>
    </w:p>
    <w:bookmarkStart w:id="78" w:name="page79"/>
    <w:bookmarkEnd w:id="78"/>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Shares are traded on the Nasdaq Global Select Market in the United States of America and are traded under the symbol “ADI”.</w:t>
      </w:r>
    </w:p>
    <w:p>
      <w:pPr>
        <w:spacing w:after="0" w:line="1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2" w:lineRule="exact"/>
        <w:rPr>
          <w:sz w:val="20"/>
          <w:szCs w:val="20"/>
          <w:color w:val="auto"/>
        </w:rPr>
      </w:pPr>
    </w:p>
    <w:p>
      <w:pPr>
        <w:ind w:left="300" w:hanging="292"/>
        <w:spacing w:after="0"/>
        <w:tabs>
          <w:tab w:leader="none" w:pos="30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CAN I OBTAIN UPDATED INDICATIVE EXAMPLES OF THE CURRENT MARKET PRICE IN AUSTRALIAN DOLLARS?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You may ascertain the current market price of the Shares as traded on the Nasdaq at </w:t>
      </w:r>
      <w:r>
        <w:rPr>
          <w:rFonts w:ascii="Times New Roman" w:cs="Times New Roman" w:eastAsia="Times New Roman" w:hAnsi="Times New Roman"/>
          <w:sz w:val="16"/>
          <w:szCs w:val="16"/>
          <w:u w:val="single" w:color="auto"/>
          <w:color w:val="0563C1"/>
        </w:rPr>
        <w:t>http://www.nasdaq.com</w:t>
      </w:r>
      <w:r>
        <w:rPr>
          <w:rFonts w:ascii="Times New Roman" w:cs="Times New Roman" w:eastAsia="Times New Roman" w:hAnsi="Times New Roman"/>
          <w:sz w:val="16"/>
          <w:szCs w:val="16"/>
          <w:color w:val="auto"/>
        </w:rPr>
        <w:t xml:space="preserve"> under the code “ADI”. The Australian dollar equivalent of that price can be obtained at: </w:t>
      </w:r>
      <w:r>
        <w:rPr>
          <w:rFonts w:ascii="Times New Roman" w:cs="Times New Roman" w:eastAsia="Times New Roman" w:hAnsi="Times New Roman"/>
          <w:sz w:val="16"/>
          <w:szCs w:val="16"/>
          <w:u w:val="single" w:color="auto"/>
          <w:color w:val="0000FF"/>
        </w:rPr>
        <w:t>http://www.rba.gov.au/statistics/frequency/exchange-rates.html</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This will not be a prediction of what the market price per Share will be when the Performance RSUs vest or settle or of the applicable exchange rate on the actual date of vesting or settlement.</w:t>
      </w: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10.</w:t>
        <w:tab/>
        <w:t>WHAT ADDITIONAL RISK FACTORS APPLY TO AUSTRALIAN RESIDENTS’ PARTICIPATION IN THE PLAN?</w:t>
      </w:r>
    </w:p>
    <w:p>
      <w:pPr>
        <w:spacing w:after="0" w:line="19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7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 xml:space="preserve">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w:t>
      </w:r>
      <w:r>
        <w:rPr>
          <w:rFonts w:ascii="Times New Roman" w:cs="Times New Roman" w:eastAsia="Times New Roman" w:hAnsi="Times New Roman"/>
          <w:sz w:val="16"/>
          <w:szCs w:val="16"/>
          <w:u w:val="single" w:color="auto"/>
          <w:color w:val="0563C1"/>
        </w:rPr>
        <w:t>http://www.sec.gov/</w:t>
      </w:r>
      <w:r>
        <w:rPr>
          <w:rFonts w:ascii="Times New Roman" w:cs="Times New Roman" w:eastAsia="Times New Roman" w:hAnsi="Times New Roman"/>
          <w:sz w:val="16"/>
          <w:szCs w:val="16"/>
          <w:color w:val="auto"/>
        </w:rPr>
        <w:t xml:space="preserve">, on the Company’s “Investor Relations” page at </w:t>
      </w:r>
      <w:r>
        <w:rPr>
          <w:rFonts w:ascii="Times New Roman" w:cs="Times New Roman" w:eastAsia="Times New Roman" w:hAnsi="Times New Roman"/>
          <w:sz w:val="16"/>
          <w:szCs w:val="16"/>
          <w:u w:val="single" w:color="auto"/>
          <w:color w:val="0563C1"/>
        </w:rPr>
        <w:t>http://investor.analog.com/</w:t>
      </w:r>
      <w:r>
        <w:rPr>
          <w:rFonts w:ascii="Times New Roman" w:cs="Times New Roman" w:eastAsia="Times New Roman" w:hAnsi="Times New Roman"/>
          <w:sz w:val="16"/>
          <w:szCs w:val="16"/>
          <w:color w:val="auto"/>
        </w:rPr>
        <w:t>, and upon request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you should be aware that the Australian dollar value of the Shares you may acquire at vesting will be affected by the U.S. dollar/Australian dollar exchange rate.</w:t>
      </w:r>
    </w:p>
    <w:p>
      <w:pPr>
        <w:spacing w:after="0"/>
        <w:rPr>
          <w:sz w:val="20"/>
          <w:szCs w:val="20"/>
          <w:color w:val="auto"/>
        </w:rPr>
      </w:pPr>
      <w:r>
        <w:rPr>
          <w:rFonts w:ascii="Times New Roman" w:cs="Times New Roman" w:eastAsia="Times New Roman" w:hAnsi="Times New Roman"/>
          <w:sz w:val="16"/>
          <w:szCs w:val="16"/>
          <w:color w:val="auto"/>
        </w:rPr>
        <w:t>Participation in the Plan involves certain risks related to fluctuations in this rate of exchange.</w:t>
      </w:r>
    </w:p>
    <w:p>
      <w:pPr>
        <w:spacing w:after="0" w:line="1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11.</w:t>
        <w:tab/>
        <w:t>PLAN MODIFICATION, TERMINATION ETC.</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12.</w:t>
        <w:tab/>
        <w:t>WHAT ARE THE AUSTRALIAN TAX CONSEQUENCES OF PARTICIPATION IN THE PLAN?</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following is a summary of the tax consequences as of November 2021 for an Australian resident employee who receives Performance RSUs under the Plan. You may also be subject to Medicare levy and surcharge.</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We note that for Performance RSUs granted under the Plan prior to 1 July 2015, different employee share scheme rules apply. The following taxation summary applies only to Performance RSUs granted on or after 1 July 2015. If you hold Performance RSUs granted before 1 July 2015, please consult with your personal tax advisor on the applicable tax treatment.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summary is necessarily general in nature and does not purport to be tax advice in relation to an actual or potential recipient of Performance RSUs.</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If you are a citizen or resident of another country for local tax law purposes or if you transfer employment to another country after the Performance RSUs are granted to you, the information contained in this summary may not be applicable to you. </w:t>
      </w:r>
      <w:r>
        <w:rPr>
          <w:rFonts w:ascii="Times New Roman" w:cs="Times New Roman" w:eastAsia="Times New Roman" w:hAnsi="Times New Roman"/>
          <w:sz w:val="16"/>
          <w:szCs w:val="16"/>
          <w:i w:val="1"/>
          <w:iCs w:val="1"/>
          <w:color w:val="auto"/>
        </w:rPr>
        <w:t>You should seek appropriate professional advice as to how the tax or other laws in Australia and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your country apply to your specific situation.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you are awarded Performance RSUs under the Plan, you should not rely on this summary as anything other than a broad guide, and you should obtain independent taxation advice specific to your particular circumstances before making the decision to accept the Performance RSUs.</w:t>
      </w: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sectPr>
      </w:pPr>
    </w:p>
    <w:bookmarkStart w:id="79" w:name="page80"/>
    <w:bookmarkEnd w:id="79"/>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(a)</w:t>
        <w:tab/>
        <w:t>What is the effect of the grant of the Performance RSUs?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 xml:space="preserve">The Australian tax legislation contains specific rules, in Division 83A of the </w:t>
      </w:r>
      <w:r>
        <w:rPr>
          <w:rFonts w:ascii="Times New Roman" w:cs="Times New Roman" w:eastAsia="Times New Roman" w:hAnsi="Times New Roman"/>
          <w:sz w:val="16"/>
          <w:szCs w:val="16"/>
          <w:i w:val="1"/>
          <w:iCs w:val="1"/>
          <w:color w:val="auto"/>
        </w:rPr>
        <w:t>Income Tax Assessment Act 1997</w:t>
      </w:r>
      <w:r>
        <w:rPr>
          <w:rFonts w:ascii="Times New Roman" w:cs="Times New Roman" w:eastAsia="Times New Roman" w:hAnsi="Times New Roman"/>
          <w:sz w:val="16"/>
          <w:szCs w:val="16"/>
          <w:color w:val="auto"/>
        </w:rPr>
        <w:t>, governing the taxation of shares and rights (called “ESS interests”) acquired by employees under employee share schemes. The Performance RSUs granted under the Plan should be regarded as a right to acquire shares and accordingly, an ESS interest for these purposes.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Your assessable income includes the ESS interest at grant, unless the ESS interest is subject to a “real risk of forfeiture,” in which case you will be subject to deferred taxation.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case of the Performance RSUs, the “real risk of forfeiture” test requires that:</w:t>
      </w:r>
    </w:p>
    <w:p>
      <w:pPr>
        <w:spacing w:after="0" w:line="194" w:lineRule="exact"/>
        <w:rPr>
          <w:sz w:val="20"/>
          <w:szCs w:val="20"/>
          <w:color w:val="auto"/>
        </w:rPr>
      </w:pPr>
    </w:p>
    <w:p>
      <w:pPr>
        <w:ind w:left="660" w:hanging="4"/>
        <w:spacing w:after="0" w:line="245" w:lineRule="auto"/>
        <w:tabs>
          <w:tab w:leader="none" w:pos="101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under the conditions of the Plan, you will forfeit the Performance RSUs or lose them (other than by disposing of them or in connection with the vesting of the Performance RSUs); or</w:t>
      </w:r>
    </w:p>
    <w:p>
      <w:pPr>
        <w:spacing w:after="0" w:line="164" w:lineRule="exact"/>
        <w:rPr>
          <w:rFonts w:ascii="Times New Roman" w:cs="Times New Roman" w:eastAsia="Times New Roman" w:hAnsi="Times New Roman"/>
          <w:sz w:val="16"/>
          <w:szCs w:val="16"/>
          <w:color w:val="auto"/>
        </w:rPr>
      </w:pPr>
    </w:p>
    <w:p>
      <w:pPr>
        <w:ind w:left="660" w:hanging="4"/>
        <w:spacing w:after="0" w:line="245" w:lineRule="auto"/>
        <w:tabs>
          <w:tab w:leader="none" w:pos="103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if your Performance RSUs vest, under the conditions of the Plan, you will forfeit the underlying Shares or lose them other than by disposing of them.</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terms of your Performance RSU award are set out in the Additional Documents. It is understood that your Performance RSUs will satisfy the real risk of forfeiture test and that you will be subject to deferred taxation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you generally should not be subject to tax when the Performance RSUs are granted to you).</w:t>
      </w:r>
    </w:p>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(b)</w:t>
        <w:tab/>
        <w:t>When will you be taxed if your Performance RSUs are subject to a real risk of forfeiture?</w:t>
      </w:r>
    </w:p>
    <w:p>
      <w:pPr>
        <w:spacing w:after="0" w:line="19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You will be required to include an amount in your assessable income for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earliest of the following events occurs in relation to the Performance RSUs (the “ESS deferred taxing point”).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ESS deferred taxing point will be the earliest of the following:</w:t>
      </w:r>
    </w:p>
    <w:p>
      <w:pPr>
        <w:spacing w:after="0" w:line="194"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there are no longer any genuine restrictions on the vesting of the Performance RSUs and there is no real risk of you forfeiting your Performance RSUs;</w:t>
      </w:r>
    </w:p>
    <w:p>
      <w:pPr>
        <w:spacing w:after="0" w:line="194"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Performance RSUs are settled and there is no genuine restriction on the disposal of the underlying Shares; and</w:t>
      </w:r>
    </w:p>
    <w:p>
      <w:pPr>
        <w:spacing w:after="0" w:line="194"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cessation of employment (but see Section 11(e) below).</w:t>
      </w:r>
    </w:p>
    <w:p>
      <w:pPr>
        <w:spacing w:after="0" w:line="19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Generally, this means that you will be subject to tax when your Performance RSUs vest. However, the ESS deferred taxing point for your Performance RSUs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income taxes, the assessable amount may also be subject to Medicare Levy and surcharge (if applicable).</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(c)</w:t>
        <w:tab/>
        <w:t>What is the amount to be included in your assessable income if an ESS deferred taxing point occurs?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amount you must include in your assessable income in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ESS deferred taxing point occurs in relation to your Performance RSUs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typically at vesting) will be the difference between the “market value” of the underlying Shares at the ESS deferred taxing point and the cost base of the Performance RSUs (which should be nil because you do not have to pay anything to acquire the Performance RSUs or the underlying Shares).</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Performance RSUs (which, again, should be nil).</w:t>
      </w:r>
    </w:p>
    <w:p>
      <w:pPr>
        <w:spacing w:after="0" w:line="166"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market value of the Underlying Shares?</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1240"/>
          </w:cols>
          <w:pgMar w:left="320" w:top="1015" w:right="339" w:bottom="1440" w:gutter="0" w:footer="0" w:header="0"/>
        </w:sectPr>
      </w:pPr>
    </w:p>
    <w:bookmarkStart w:id="80" w:name="page81"/>
    <w:bookmarkEnd w:id="80"/>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“market value” of the Performance RSUs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Performance RSUs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66"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I cease employment before my Performance RSUs vest?</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cease employment with your employer prior to the vesting date of some or all of your Performance RSUs and the Performance RSUs do not vest upon termination of employment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they are forfeited), you may be treated as having never acquired the forfeited Performance RSUs in which case, no amount will be included in your assessable income.</w:t>
      </w:r>
    </w:p>
    <w:p>
      <w:pPr>
        <w:spacing w:after="0" w:line="166"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tax consequences will arise when I sell my Shares?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you sell the Shares acquired upon vesting of your Performance RSUs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you sell the Shares acquired upon vesting of your Performance RSUs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 are responsible for reporting any income you realize from the sale of Shares acquired upon vesting of Performance RSUs and paying any applicable taxes due on such income.</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(g)</w:t>
        <w:tab/>
        <w:t>What are the taxation consequences if a dividend is paid on the Shares?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you vest in the Performance RSUs and become a Company stockholder, you may be entitled to receive dividends on the Shares obtained from vesting in the Performance RSUs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(h)</w:t>
        <w:tab/>
        <w:t>What are the tax withholding and reporting obligations associated with the Performance RSUs?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 will be responsible for reporting on your tax return and paying any tax liability in relation to the Performance RSUs and any Shares issued to you at vesting. It is also your responsibility to report and pay any tax liability on the sale of any Shares acquired under the Plan any dividends received.</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Your employer will be required to withhold tax due on the Performance RSUs only if you have not provided your Tax File Number or Australian Business Number, as applicable, to your employer.</w:t>
      </w:r>
    </w:p>
    <w:p>
      <w:pPr>
        <w:spacing w:after="0" w:line="16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w:t>
      </w: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1240"/>
          </w:cols>
          <w:pgMar w:left="320" w:top="1015" w:right="339" w:bottom="1440" w:gutter="0" w:footer="0" w:header="0"/>
        </w:sectPr>
      </w:pPr>
    </w:p>
    <w:bookmarkStart w:id="81" w:name="page82"/>
    <w:bookmarkEnd w:id="81"/>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 xml:space="preserve">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Times New Roman" w:cs="Times New Roman" w:eastAsia="Times New Roman" w:hAnsi="Times New Roman"/>
          <w:sz w:val="16"/>
          <w:szCs w:val="16"/>
          <w:i w:val="1"/>
          <w:iCs w:val="1"/>
          <w:color w:val="auto"/>
        </w:rPr>
        <w:t>You will be responsible for determining this amount and calculating your tax accordingly.</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13.</w:t>
        <w:tab/>
        <w:t>WHAT ARE THE U.S. TAX CONSEQUENCES OF PARTICIPATION IN THE PLAN?</w:t>
      </w:r>
    </w:p>
    <w:p>
      <w:pPr>
        <w:spacing w:after="0" w:line="19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Australian residents who are not U.S. citizens or tax residents should not be subject to U.S. tax by reason only of the award or vesting of the Performance RSUs and/or the sale of Shares, except with respect to dividends as described above. However, liability for U.S. tax may accrue if an Australian resident is otherwise subject to U.S. tax.</w:t>
      </w:r>
    </w:p>
    <w:p>
      <w:pPr>
        <w:spacing w:after="0" w:line="16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This is only an indication of the likely U.S. tax consequences for an Australian resident who is awarded Performance RSUs under the Plan. Each Australian resident should seek his or her own advice as to the U.S. tax consequences of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1240"/>
          </w:cols>
          <w:pgMar w:left="320" w:top="101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1240"/>
          </w:cols>
          <w:pgMar w:left="320" w:top="1015" w:right="339" w:bottom="1440" w:gutter="0" w:footer="0" w:header="0"/>
        </w:sectPr>
      </w:pPr>
    </w:p>
    <w:bookmarkStart w:id="83" w:name="page84"/>
    <w:bookmarkEnd w:id="83"/>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192"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139"/>
          </w:cols>
          <w:pgMar w:left="320" w:top="1015" w:right="1440" w:bottom="1440" w:gutter="0" w:footer="0" w:header="0"/>
        </w:sectPr>
      </w:pPr>
    </w:p>
    <w:bookmarkStart w:id="84" w:name="page85"/>
    <w:bookmarkEnd w:id="84"/>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760"/>
          </w:cols>
          <w:pgMar w:left="480" w:top="1013" w:right="659" w:bottom="1440" w:gutter="0" w:footer="0" w:header="0"/>
        </w:sectPr>
      </w:pPr>
    </w:p>
    <w:bookmarkStart w:id="85" w:name="page86"/>
    <w:bookmarkEnd w:id="85"/>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hanging="288"/>
        <w:spacing w:after="0"/>
        <w:tabs>
          <w:tab w:leader="none" w:pos="62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900"/>
          </w:cols>
          <w:pgMar w:left="320" w:top="1013" w:right="679" w:bottom="1440" w:gutter="0" w:footer="0" w:header="0"/>
        </w:sectPr>
      </w:pPr>
    </w:p>
    <w:bookmarkStart w:id="86" w:name="page87"/>
    <w:bookmarkEnd w:id="86"/>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b w:val="1"/>
          <w:bCs w:val="1"/>
          <w:u w:val="single" w:color="auto"/>
          <w:color w:val="auto"/>
        </w:rPr>
        <w:t>Trust Arrangement</w:t>
      </w:r>
      <w:r>
        <w:rPr>
          <w:rFonts w:ascii="Times New Roman" w:cs="Times New Roman" w:eastAsia="Times New Roman" w:hAnsi="Times New Roman"/>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19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The Participant hereby understands and agrees that the Performance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Performance RSUs granted to the Participant in Israel.</w:t>
      </w:r>
    </w:p>
    <w:p>
      <w:pPr>
        <w:spacing w:after="0" w:line="210"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b w:val="1"/>
          <w:bCs w:val="1"/>
          <w:color w:val="auto"/>
        </w:rPr>
        <w:t>Please sign this Israeli Appendix and return it to the address shown on the top within 45 days of receipt. If Analog Devices, (Israel) Ltd. or Analog Devices, Inc. does not receive your signed Israel Appendix, your Performance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506095</wp:posOffset>
            </wp:positionV>
            <wp:extent cx="335153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6"/>
          <w:szCs w:val="16"/>
          <w:color w:val="auto"/>
        </w:rPr>
        <w:t>Name: Participant Name</w:t>
      </w:r>
      <w:r>
        <w:rPr>
          <w:sz w:val="20"/>
          <w:szCs w:val="20"/>
          <w:color w:val="auto"/>
        </w:rPr>
        <w:tab/>
      </w:r>
      <w:r>
        <w:rPr>
          <w:rFonts w:ascii="Times New Roman" w:cs="Times New Roman" w:eastAsia="Times New Roman" w:hAnsi="Times New Roman"/>
          <w:sz w:val="15"/>
          <w:szCs w:val="15"/>
          <w:color w:val="auto"/>
        </w:rPr>
        <w:t>Date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E - 1</w:t>
      </w:r>
    </w:p>
    <w:p>
      <w:pPr>
        <w:sectPr>
          <w:pgSz w:w="11900" w:h="16838" w:orient="portrait"/>
          <w:cols w:equalWidth="0" w:num="1">
            <w:col w:w="10760"/>
          </w:cols>
          <w:pgMar w:left="480" w:top="1015" w:right="659" w:bottom="1440" w:gutter="0" w:footer="0" w:header="0"/>
        </w:sectPr>
      </w:pPr>
    </w:p>
    <w:bookmarkStart w:id="87" w:name="page88"/>
    <w:bookmarkEnd w:id="8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F - 1</w:t>
      </w:r>
    </w:p>
    <w:p>
      <w:pPr>
        <w:sectPr>
          <w:pgSz w:w="11900" w:h="16838" w:orient="portrait"/>
          <w:cols w:equalWidth="0" w:num="1">
            <w:col w:w="10920"/>
          </w:cols>
          <w:pgMar w:left="320" w:top="1015" w:right="659" w:bottom="1440" w:gutter="0" w:footer="0" w:header="0"/>
        </w:sectPr>
      </w:pPr>
    </w:p>
    <w:bookmarkStart w:id="88" w:name="page89"/>
    <w:bookmarkEnd w:id="88"/>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75"/>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F - 2</w:t>
      </w:r>
    </w:p>
    <w:p>
      <w:pPr>
        <w:sectPr>
          <w:pgSz w:w="11900" w:h="16838" w:orient="portrait"/>
          <w:cols w:equalWidth="0" w:num="1">
            <w:col w:w="10920"/>
          </w:cols>
          <w:pgMar w:left="320" w:top="1015" w:right="659" w:bottom="1440" w:gutter="0" w:footer="0" w:header="0"/>
          <w:type w:val="continuous"/>
        </w:sectPr>
      </w:pPr>
    </w:p>
    <w:bookmarkStart w:id="89" w:name="page90"/>
    <w:bookmarkEnd w:id="89"/>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5181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F - 3</w:t>
      </w:r>
    </w:p>
    <w:p>
      <w:pPr>
        <w:sectPr>
          <w:pgSz w:w="11900" w:h="16838" w:orient="portrait"/>
          <w:cols w:equalWidth="0" w:num="1">
            <w:col w:w="11240"/>
          </w:cols>
          <w:pgMar w:left="320" w:top="1015" w:right="339" w:bottom="1440" w:gutter="0" w:footer="0" w:header="0"/>
          <w:type w:val="continuous"/>
        </w:sectPr>
      </w:pPr>
    </w:p>
    <w:bookmarkStart w:id="90" w:name="page91"/>
    <w:bookmarkEnd w:id="90"/>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APPENDIX F - 4</w:t>
      </w:r>
    </w:p>
    <w:p>
      <w:pPr>
        <w:sectPr>
          <w:pgSz w:w="11900" w:h="16838" w:orient="portrait"/>
          <w:cols w:equalWidth="0" w:num="1">
            <w:col w:w="10139"/>
          </w:cols>
          <w:pgMar w:left="320" w:top="1015" w:right="1440" w:bottom="1440" w:gutter="0" w:footer="0" w:header="0"/>
        </w:sectPr>
      </w:pPr>
    </w:p>
    <w:bookmarkStart w:id="91" w:name="page92"/>
    <w:bookmarkEnd w:id="91"/>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51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10"/>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120/A4055</w:t>
            </w:r>
          </w:p>
        </w:tc>
      </w:tr>
      <w:tr>
        <w:trPr>
          <w:trHeight w:val="50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Linear Technology (UK) Limited</w:t>
            </w:r>
          </w:p>
        </w:tc>
        <w:tc>
          <w:tcPr>
            <w:tcW w:w="52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 The Listons, Liston Road, Marlow, Buckinghamshire, SL7 1FD</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02149602</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120PA00148447</w:t>
            </w:r>
          </w:p>
        </w:tc>
      </w:tr>
      <w:tr>
        <w:trPr>
          <w:trHeight w:val="210"/>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APPENDIX F - 5</w:t>
      </w:r>
    </w:p>
    <w:p>
      <w:pPr>
        <w:sectPr>
          <w:pgSz w:w="11900" w:h="16838" w:orient="portrait"/>
          <w:cols w:equalWidth="0" w:num="1">
            <w:col w:w="10560"/>
          </w:cols>
          <w:pgMar w:left="320" w:top="1015" w:right="1019" w:bottom="1440" w:gutter="0" w:footer="0" w:header="0"/>
        </w:sectPr>
      </w:pPr>
    </w:p>
    <w:bookmarkStart w:id="92" w:name="page93"/>
    <w:bookmarkEnd w:id="92"/>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52260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522605"/>
                    </a:xfrm>
                    <a:prstGeom prst="rect">
                      <a:avLst/>
                    </a:prstGeom>
                    <a:noFill/>
                  </pic:spPr>
                </pic:pic>
              </a:graphicData>
            </a:graphic>
          </wp:anchor>
        </w:drawing>
      </w:r>
    </w:p>
    <w:p>
      <w:pPr>
        <w:jc w:val="right"/>
        <w:spacing w:after="0"/>
        <w:rPr>
          <w:sz w:val="20"/>
          <w:szCs w:val="20"/>
          <w:color w:val="auto"/>
        </w:rPr>
      </w:pPr>
      <w:r>
        <w:rPr>
          <w:rFonts w:ascii="Calibri" w:cs="Calibri" w:eastAsia="Calibri" w:hAnsi="Calibri"/>
          <w:sz w:val="20"/>
          <w:szCs w:val="20"/>
          <w:b w:val="1"/>
          <w:bCs w:val="1"/>
          <w:color w:val="auto"/>
        </w:rPr>
        <w:t>Exhibit 10.4</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December 14,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color w:val="auto"/>
        </w:rPr>
        <w:t>Gregory Bryant</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17301 Canal Circle</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Lake Oswego, OR 97035</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color w:val="auto"/>
        </w:rPr>
        <w:t>Dear GB:</w:t>
      </w:r>
    </w:p>
    <w:p>
      <w:pPr>
        <w:spacing w:after="0" w:line="211" w:lineRule="exact"/>
        <w:rPr>
          <w:sz w:val="20"/>
          <w:szCs w:val="20"/>
          <w:color w:val="auto"/>
        </w:rPr>
      </w:pPr>
    </w:p>
    <w:p>
      <w:pPr>
        <w:jc w:val="both"/>
        <w:ind w:right="160"/>
        <w:spacing w:after="0" w:line="254" w:lineRule="auto"/>
        <w:rPr>
          <w:sz w:val="20"/>
          <w:szCs w:val="20"/>
          <w:color w:val="auto"/>
        </w:rPr>
      </w:pPr>
      <w:r>
        <w:rPr>
          <w:rFonts w:ascii="Calibri" w:cs="Calibri" w:eastAsia="Calibri" w:hAnsi="Calibri"/>
          <w:sz w:val="20"/>
          <w:szCs w:val="20"/>
          <w:color w:val="auto"/>
        </w:rPr>
        <w:t>It is our great pleasure to ofer you employment to join Analog Devices, Inc. (the “Company”) as Executve Vice President and President of Business Units, reportng to Vincent Roche, the Company’s President and Chief Executve Ofcer. Your start date will be no later than March 14, 2022.</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Cash Compensaton</w:t>
      </w:r>
    </w:p>
    <w:p>
      <w:pPr>
        <w:spacing w:after="0" w:line="215" w:lineRule="exact"/>
        <w:rPr>
          <w:sz w:val="20"/>
          <w:szCs w:val="20"/>
          <w:color w:val="auto"/>
        </w:rPr>
      </w:pPr>
    </w:p>
    <w:p>
      <w:pPr>
        <w:ind w:left="640" w:hanging="308"/>
        <w:spacing w:after="0"/>
        <w:tabs>
          <w:tab w:leader="none" w:pos="640" w:val="left"/>
        </w:tabs>
        <w:numPr>
          <w:ilvl w:val="0"/>
          <w:numId w:val="81"/>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Base Salary. </w:t>
      </w:r>
      <w:r>
        <w:rPr>
          <w:rFonts w:ascii="Calibri" w:cs="Calibri" w:eastAsia="Calibri" w:hAnsi="Calibri"/>
          <w:sz w:val="20"/>
          <w:szCs w:val="20"/>
          <w:color w:val="auto"/>
        </w:rPr>
        <w:t>You will be paid at the bi-weekly rate of $28,846.15, which is annualized at $750,000.</w:t>
      </w:r>
    </w:p>
    <w:p>
      <w:pPr>
        <w:spacing w:after="0" w:line="278" w:lineRule="exact"/>
        <w:rPr>
          <w:rFonts w:ascii="Times New Roman" w:cs="Times New Roman" w:eastAsia="Times New Roman" w:hAnsi="Times New Roman"/>
          <w:sz w:val="20"/>
          <w:szCs w:val="20"/>
          <w:color w:val="auto"/>
        </w:rPr>
      </w:pPr>
    </w:p>
    <w:p>
      <w:pPr>
        <w:jc w:val="both"/>
        <w:ind w:left="660" w:right="160" w:hanging="328"/>
        <w:spacing w:after="0"/>
        <w:tabs>
          <w:tab w:leader="none" w:pos="648" w:val="left"/>
        </w:tabs>
        <w:numPr>
          <w:ilvl w:val="0"/>
          <w:numId w:val="81"/>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Bonus. </w:t>
      </w:r>
      <w:r>
        <w:rPr>
          <w:rFonts w:ascii="Calibri" w:cs="Calibri" w:eastAsia="Calibri" w:hAnsi="Calibri"/>
          <w:sz w:val="20"/>
          <w:szCs w:val="20"/>
          <w:color w:val="auto"/>
        </w:rPr>
        <w:t>In additon to your base salary, you will be eligible to partcipate in the Company’s Executve Performance Incentve Plan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“Plan”), which is currently based on the Company’s overall fnancial performance. Note that in the second half of FY22, we expect to add a personal component to the bonus achievement calculaton for all executves. Your bonus target under the Plan will be 150% of your base salary. You are eligible to partcipate in the Plan beginning on the frst date of your employment.</w:t>
      </w:r>
    </w:p>
    <w:p>
      <w:pPr>
        <w:ind w:left="660"/>
        <w:spacing w:after="0" w:line="238"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Bonuses are paid out semiannually, in June and December of each year.</w:t>
      </w:r>
    </w:p>
    <w:p>
      <w:pPr>
        <w:spacing w:after="0" w:line="200" w:lineRule="exact"/>
        <w:rPr>
          <w:rFonts w:ascii="Times New Roman" w:cs="Times New Roman" w:eastAsia="Times New Roman" w:hAnsi="Times New Roman"/>
          <w:sz w:val="20"/>
          <w:szCs w:val="20"/>
          <w:color w:val="auto"/>
        </w:rPr>
      </w:pPr>
    </w:p>
    <w:p>
      <w:pPr>
        <w:spacing w:after="0" w:line="322" w:lineRule="exact"/>
        <w:rPr>
          <w:rFonts w:ascii="Times New Roman" w:cs="Times New Roman" w:eastAsia="Times New Roman" w:hAnsi="Times New Roman"/>
          <w:sz w:val="20"/>
          <w:szCs w:val="20"/>
          <w:color w:val="auto"/>
        </w:rPr>
      </w:pPr>
    </w:p>
    <w:p>
      <w:pPr>
        <w:ind w:left="660" w:right="40" w:hanging="328"/>
        <w:spacing w:after="0" w:line="239" w:lineRule="auto"/>
        <w:tabs>
          <w:tab w:leader="none" w:pos="648" w:val="left"/>
        </w:tabs>
        <w:numPr>
          <w:ilvl w:val="0"/>
          <w:numId w:val="81"/>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First year bonus guarantee. </w:t>
      </w:r>
      <w:r>
        <w:rPr>
          <w:rFonts w:ascii="Calibri" w:cs="Calibri" w:eastAsia="Calibri" w:hAnsi="Calibri"/>
          <w:sz w:val="20"/>
          <w:szCs w:val="20"/>
          <w:color w:val="auto"/>
        </w:rPr>
        <w:t>For fscal year 2022 only, we will guarantee that your bonus will pay out at a minimum of 1.4X,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prorated to your start date. For purposes of clarity, if ADI’s bonus payout for the full year to all employees is at a factor of 1.4X or greater, you will receive a bonus paid at the applicable rate to all employees. However, in the event that the factor for ADI’s bonus payout is less than 1.4X for the full 2022 fscal year, then we will pay you an amount equal to the diference between the full year payout factor and the 1.4X target. If this payment is due to you, we will pay the amount in December 2022, on the same date as we pay all U.S. employees their second-half bonus.</w:t>
      </w:r>
    </w:p>
    <w:p>
      <w:pPr>
        <w:spacing w:after="0" w:line="16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Equity Grants</w:t>
      </w:r>
    </w:p>
    <w:p>
      <w:pPr>
        <w:spacing w:after="0" w:line="211" w:lineRule="exact"/>
        <w:rPr>
          <w:sz w:val="20"/>
          <w:szCs w:val="20"/>
          <w:color w:val="auto"/>
        </w:rPr>
      </w:pPr>
    </w:p>
    <w:p>
      <w:pPr>
        <w:ind w:right="360"/>
        <w:spacing w:after="0" w:line="242" w:lineRule="auto"/>
        <w:rPr>
          <w:sz w:val="20"/>
          <w:szCs w:val="20"/>
          <w:color w:val="auto"/>
        </w:rPr>
      </w:pPr>
      <w:r>
        <w:rPr>
          <w:rFonts w:ascii="Calibri" w:cs="Calibri" w:eastAsia="Calibri" w:hAnsi="Calibri"/>
          <w:sz w:val="20"/>
          <w:szCs w:val="20"/>
          <w:b w:val="1"/>
          <w:bCs w:val="1"/>
          <w:color w:val="auto"/>
        </w:rPr>
        <w:t xml:space="preserve">Sign on Equity Grant. </w:t>
      </w:r>
      <w:r>
        <w:rPr>
          <w:rFonts w:ascii="Calibri" w:cs="Calibri" w:eastAsia="Calibri" w:hAnsi="Calibri"/>
          <w:sz w:val="20"/>
          <w:szCs w:val="20"/>
          <w:color w:val="auto"/>
        </w:rPr>
        <w:t>You will receive equity awards with an aggregate grant date value of $24 million under the terms of the Analog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Devices, Inc. 2020 Equity Incentve Plan (the “EIP”). These awards will be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997585</wp:posOffset>
            </wp:positionV>
            <wp:extent cx="588073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Analog Devices, Inc.   |   One Analog Way   |   Wilmington, MA 018876   |   U.S.A   |   Tel: 781.329.4700</w:t>
      </w:r>
    </w:p>
    <w:p>
      <w:pPr>
        <w:sectPr>
          <w:pgSz w:w="11900" w:h="16838" w:orient="portrait"/>
          <w:cols w:equalWidth="0" w:num="1">
            <w:col w:w="11240"/>
          </w:cols>
          <w:pgMar w:left="320" w:top="1440" w:right="339" w:bottom="1440" w:gutter="0" w:footer="0" w:header="0"/>
        </w:sectPr>
      </w:pPr>
    </w:p>
    <w:bookmarkStart w:id="93" w:name="page94"/>
    <w:bookmarkEnd w:id="93"/>
    <w:p>
      <w:pPr>
        <w:ind w:left="2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977265" cy="3943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clrChange>
                        <a:clrFrom>
                          <a:srgbClr val="FFFFFF"/>
                        </a:clrFrom>
                        <a:clrTo>
                          <a:srgbClr val="FFFFFF">
                            <a:alpha val="0"/>
                          </a:srgbClr>
                        </a:clrTo>
                      </a:clrChange>
                      <a:extLst>
                        <a:ext uri="{28A0092B-C50C-407E-A947-70E740481C1C}"/>
                      </a:extLst>
                    </a:blip>
                    <a:srcRect/>
                    <a:stretch>
                      <a:fillRect/>
                    </a:stretch>
                  </pic:blipFill>
                  <pic:spPr bwMode="auto">
                    <a:xfrm>
                      <a:off x="0" y="0"/>
                      <a:ext cx="977265" cy="394335"/>
                    </a:xfrm>
                    <a:prstGeom prst="rect">
                      <a:avLst/>
                    </a:prstGeom>
                    <a:noFill/>
                  </pic:spPr>
                </pic:pic>
              </a:graphicData>
            </a:graphic>
          </wp:anchor>
        </w:drawing>
        <w:t>Page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right="20"/>
        <w:spacing w:after="0" w:line="234" w:lineRule="auto"/>
        <w:rPr>
          <w:sz w:val="20"/>
          <w:szCs w:val="20"/>
          <w:color w:val="auto"/>
        </w:rPr>
      </w:pPr>
      <w:r>
        <w:rPr>
          <w:rFonts w:ascii="Calibri" w:cs="Calibri" w:eastAsia="Calibri" w:hAnsi="Calibri"/>
          <w:sz w:val="20"/>
          <w:szCs w:val="20"/>
          <w:color w:val="auto"/>
        </w:rPr>
        <w:t>A restricted stock unit award (“RSU award”) with a grant date value of $5 million, vestng in equal annual installments of 25% per year of the total RSU awarded, beginning on the frst anniversary of the grant date.</w:t>
      </w:r>
    </w:p>
    <w:p>
      <w:pPr>
        <w:spacing w:after="0" w:line="270" w:lineRule="exact"/>
        <w:rPr>
          <w:sz w:val="20"/>
          <w:szCs w:val="20"/>
          <w:color w:val="auto"/>
        </w:rPr>
      </w:pPr>
    </w:p>
    <w:p>
      <w:pPr>
        <w:ind w:left="640" w:hanging="308"/>
        <w:spacing w:after="0"/>
        <w:tabs>
          <w:tab w:leader="none" w:pos="640" w:val="left"/>
        </w:tabs>
        <w:numPr>
          <w:ilvl w:val="0"/>
          <w:numId w:val="8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An RSU award with a grant date value of $5 million, vestng in full on the third anniversary of the grant date.</w:t>
      </w:r>
    </w:p>
    <w:p>
      <w:pPr>
        <w:spacing w:after="0" w:line="278" w:lineRule="exact"/>
        <w:rPr>
          <w:rFonts w:ascii="Times New Roman" w:cs="Times New Roman" w:eastAsia="Times New Roman" w:hAnsi="Times New Roman"/>
          <w:sz w:val="20"/>
          <w:szCs w:val="20"/>
          <w:color w:val="auto"/>
        </w:rPr>
      </w:pPr>
    </w:p>
    <w:p>
      <w:pPr>
        <w:ind w:left="660" w:hanging="328"/>
        <w:spacing w:after="0"/>
        <w:tabs>
          <w:tab w:leader="none" w:pos="648" w:val="left"/>
        </w:tabs>
        <w:numPr>
          <w:ilvl w:val="0"/>
          <w:numId w:val="8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performance-based RSU award (“PRSU award” and, together with the RSU awards, the “Sign-On Awards”) with a grant date value of $14 million. The number of shares subject to the PRSU award that may be earned will range from 0% to a maximum of 150% of the target amount, and will vest subject to the atainment of the following target share price thresholds during the four-year performance period following the grant date:</w:t>
      </w:r>
    </w:p>
    <w:p>
      <w:pPr>
        <w:spacing w:after="0" w:line="265" w:lineRule="exact"/>
        <w:rPr>
          <w:rFonts w:ascii="Times New Roman" w:cs="Times New Roman" w:eastAsia="Times New Roman" w:hAnsi="Times New Roman"/>
          <w:sz w:val="20"/>
          <w:szCs w:val="20"/>
          <w:color w:val="auto"/>
        </w:rPr>
      </w:pPr>
    </w:p>
    <w:p>
      <w:pPr>
        <w:ind w:left="1300" w:right="40" w:hanging="320"/>
        <w:spacing w:after="0" w:line="231" w:lineRule="auto"/>
        <w:tabs>
          <w:tab w:leader="none" w:pos="1300" w:val="left"/>
        </w:tabs>
        <w:numPr>
          <w:ilvl w:val="1"/>
          <w:numId w:val="82"/>
        </w:numPr>
        <w:rPr>
          <w:rFonts w:ascii="Courier New" w:cs="Courier New" w:eastAsia="Courier New" w:hAnsi="Courier New"/>
          <w:sz w:val="20"/>
          <w:szCs w:val="20"/>
          <w:color w:val="auto"/>
        </w:rPr>
      </w:pPr>
      <w:r>
        <w:rPr>
          <w:rFonts w:ascii="Calibri" w:cs="Calibri" w:eastAsia="Calibri" w:hAnsi="Calibri"/>
          <w:sz w:val="20"/>
          <w:szCs w:val="20"/>
          <w:color w:val="auto"/>
        </w:rPr>
        <w:t>75% of the shares subject to the PRSU award will vest if the average closing stock price of the Company’s Common Stock over 70 consecutve trading days is equal to or exceeds $200 during the performance period; and</w:t>
      </w:r>
    </w:p>
    <w:p>
      <w:pPr>
        <w:spacing w:after="0" w:line="266" w:lineRule="exact"/>
        <w:rPr>
          <w:rFonts w:ascii="Courier New" w:cs="Courier New" w:eastAsia="Courier New" w:hAnsi="Courier New"/>
          <w:sz w:val="20"/>
          <w:szCs w:val="20"/>
          <w:color w:val="auto"/>
        </w:rPr>
      </w:pPr>
    </w:p>
    <w:p>
      <w:pPr>
        <w:ind w:left="1300" w:right="140" w:hanging="320"/>
        <w:spacing w:after="0" w:line="238" w:lineRule="auto"/>
        <w:tabs>
          <w:tab w:leader="none" w:pos="1300" w:val="left"/>
        </w:tabs>
        <w:numPr>
          <w:ilvl w:val="1"/>
          <w:numId w:val="82"/>
        </w:numPr>
        <w:rPr>
          <w:rFonts w:ascii="Courier New" w:cs="Courier New" w:eastAsia="Courier New" w:hAnsi="Courier New"/>
          <w:sz w:val="20"/>
          <w:szCs w:val="20"/>
          <w:color w:val="auto"/>
        </w:rPr>
      </w:pPr>
      <w:r>
        <w:rPr>
          <w:rFonts w:ascii="Calibri" w:cs="Calibri" w:eastAsia="Calibri" w:hAnsi="Calibri"/>
          <w:sz w:val="20"/>
          <w:szCs w:val="20"/>
          <w:color w:val="auto"/>
        </w:rPr>
        <w:t>the remaining 75% of the shares subject to the PRSU award will vest if the average closing stock price of the Company’s Common Stock over 70 consecutve trading days during the performance period is equal to or exceeds $220.</w:t>
      </w:r>
    </w:p>
    <w:p>
      <w:pPr>
        <w:spacing w:after="0" w:line="156" w:lineRule="exact"/>
        <w:rPr>
          <w:sz w:val="20"/>
          <w:szCs w:val="20"/>
          <w:color w:val="auto"/>
        </w:rPr>
      </w:pPr>
    </w:p>
    <w:p>
      <w:pPr>
        <w:ind w:right="160"/>
        <w:spacing w:after="0" w:line="221" w:lineRule="auto"/>
        <w:rPr>
          <w:sz w:val="20"/>
          <w:szCs w:val="20"/>
          <w:color w:val="auto"/>
        </w:rPr>
      </w:pPr>
      <w:r>
        <w:rPr>
          <w:rFonts w:ascii="Calibri" w:cs="Calibri" w:eastAsia="Calibri" w:hAnsi="Calibri"/>
          <w:sz w:val="20"/>
          <w:szCs w:val="20"/>
          <w:color w:val="auto"/>
        </w:rPr>
        <w:t>The grant date of these awards will be the 15</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xml:space="preserve"> day of the month following the frst date of your employment or the next trading day of the NASDAQ, as applicable.</w:t>
      </w:r>
    </w:p>
    <w:p>
      <w:pPr>
        <w:spacing w:after="0" w:line="211" w:lineRule="exact"/>
        <w:rPr>
          <w:sz w:val="20"/>
          <w:szCs w:val="20"/>
          <w:color w:val="auto"/>
        </w:rPr>
      </w:pPr>
    </w:p>
    <w:p>
      <w:pPr>
        <w:ind w:right="240"/>
        <w:spacing w:after="0" w:line="253" w:lineRule="auto"/>
        <w:rPr>
          <w:sz w:val="20"/>
          <w:szCs w:val="20"/>
          <w:color w:val="auto"/>
        </w:rPr>
      </w:pPr>
      <w:r>
        <w:rPr>
          <w:rFonts w:ascii="Calibri" w:cs="Calibri" w:eastAsia="Calibri" w:hAnsi="Calibri"/>
          <w:sz w:val="20"/>
          <w:szCs w:val="20"/>
          <w:b w:val="1"/>
          <w:bCs w:val="1"/>
          <w:color w:val="auto"/>
        </w:rPr>
        <w:t xml:space="preserve">Calculaton Methodology. </w:t>
      </w:r>
      <w:r>
        <w:rPr>
          <w:rFonts w:ascii="Calibri" w:cs="Calibri" w:eastAsia="Calibri" w:hAnsi="Calibri"/>
          <w:sz w:val="20"/>
          <w:szCs w:val="20"/>
          <w:color w:val="auto"/>
        </w:rPr>
        <w:t>To determine the number of shares of equity awarded, the value of the award is divided by the fair market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value (FMV) of each share award type. The FMV considers a variety of factors including the price and volatlity of the Company’s stock around the tme of the grant, the value of the dividend and interest rates, Monte Carlo simulatons and Black-Scholes valuaton methodology as applicable.</w:t>
      </w:r>
    </w:p>
    <w:p>
      <w:pPr>
        <w:spacing w:after="0" w:line="199" w:lineRule="exact"/>
        <w:rPr>
          <w:sz w:val="20"/>
          <w:szCs w:val="20"/>
          <w:color w:val="auto"/>
        </w:rPr>
      </w:pPr>
    </w:p>
    <w:p>
      <w:pPr>
        <w:ind w:right="220"/>
        <w:spacing w:after="0" w:line="256" w:lineRule="auto"/>
        <w:rPr>
          <w:sz w:val="20"/>
          <w:szCs w:val="20"/>
          <w:color w:val="auto"/>
        </w:rPr>
      </w:pPr>
      <w:r>
        <w:rPr>
          <w:rFonts w:ascii="Calibri" w:cs="Calibri" w:eastAsia="Calibri" w:hAnsi="Calibri"/>
          <w:sz w:val="20"/>
          <w:szCs w:val="20"/>
          <w:b w:val="1"/>
          <w:bCs w:val="1"/>
          <w:color w:val="auto"/>
        </w:rPr>
        <w:t xml:space="preserve">Post-Employment Vestng of Sign On Equity in Limited Circumstance. </w:t>
      </w:r>
      <w:r>
        <w:rPr>
          <w:rFonts w:ascii="Calibri" w:cs="Calibri" w:eastAsia="Calibri" w:hAnsi="Calibri"/>
          <w:sz w:val="20"/>
          <w:szCs w:val="20"/>
          <w:color w:val="auto"/>
        </w:rPr>
        <w:t>If your employment with the Company is terminated without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cause, the Sign-On Awards will contnue to vest following the terminaton of your employment from the Company on the schedule set forth above. The PRSU Award will vest according to achievement of the performance criteria set forth above. This post-employment vestng will be conditoned on your entering into a general release of all claims and separaton agreement on the Company’s standard form.</w:t>
      </w:r>
    </w:p>
    <w:p>
      <w:pPr>
        <w:spacing w:after="0" w:line="196" w:lineRule="exact"/>
        <w:rPr>
          <w:sz w:val="20"/>
          <w:szCs w:val="20"/>
          <w:color w:val="auto"/>
        </w:rPr>
      </w:pPr>
    </w:p>
    <w:p>
      <w:pPr>
        <w:jc w:val="both"/>
        <w:ind w:right="160"/>
        <w:spacing w:after="0" w:line="254" w:lineRule="auto"/>
        <w:rPr>
          <w:sz w:val="20"/>
          <w:szCs w:val="20"/>
          <w:color w:val="auto"/>
        </w:rPr>
      </w:pPr>
      <w:r>
        <w:rPr>
          <w:rFonts w:ascii="Calibri" w:cs="Calibri" w:eastAsia="Calibri" w:hAnsi="Calibri"/>
          <w:sz w:val="20"/>
          <w:szCs w:val="20"/>
          <w:b w:val="1"/>
          <w:bCs w:val="1"/>
          <w:color w:val="auto"/>
        </w:rPr>
        <w:t xml:space="preserve">Focal Grant. </w:t>
      </w:r>
      <w:r>
        <w:rPr>
          <w:rFonts w:ascii="Calibri" w:cs="Calibri" w:eastAsia="Calibri" w:hAnsi="Calibri"/>
          <w:sz w:val="20"/>
          <w:szCs w:val="20"/>
          <w:color w:val="auto"/>
        </w:rPr>
        <w:t>At the Company’s next annual focal cycle (currently antcipated to be in April/May 2022), you will receive an equity award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having an aggregate grant date value of $7.5 million. The equity award will be comprised of the same types of equity received by other executves reportng to the CEO. Since 2019, our executve equity awards have been comprised of the following;</w:t>
      </w:r>
    </w:p>
    <w:p>
      <w:pPr>
        <w:sectPr>
          <w:pgSz w:w="11900" w:h="16838" w:orient="portrait"/>
          <w:cols w:equalWidth="0" w:num="1">
            <w:col w:w="11200"/>
          </w:cols>
          <w:pgMar w:left="320" w:top="832" w:right="379" w:bottom="1440" w:gutter="0" w:footer="0" w:header="0"/>
        </w:sectPr>
      </w:pPr>
    </w:p>
    <w:bookmarkStart w:id="94" w:name="page95"/>
    <w:bookmarkEnd w:id="94"/>
    <w:p>
      <w:pPr>
        <w:ind w:left="2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977265" cy="3943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clrChange>
                        <a:clrFrom>
                          <a:srgbClr val="FFFFFF"/>
                        </a:clrFrom>
                        <a:clrTo>
                          <a:srgbClr val="FFFFFF">
                            <a:alpha val="0"/>
                          </a:srgbClr>
                        </a:clrTo>
                      </a:clrChange>
                      <a:extLst>
                        <a:ext uri="{28A0092B-C50C-407E-A947-70E740481C1C}"/>
                      </a:extLst>
                    </a:blip>
                    <a:srcRect/>
                    <a:stretch>
                      <a:fillRect/>
                    </a:stretch>
                  </pic:blipFill>
                  <pic:spPr bwMode="auto">
                    <a:xfrm>
                      <a:off x="0" y="0"/>
                      <a:ext cx="977265" cy="394335"/>
                    </a:xfrm>
                    <a:prstGeom prst="rect">
                      <a:avLst/>
                    </a:prstGeom>
                    <a:noFill/>
                  </pic:spPr>
                </pic:pic>
              </a:graphicData>
            </a:graphic>
          </wp:anchor>
        </w:drawing>
        <w:t>Page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240" w:hanging="320"/>
        <w:spacing w:after="0" w:line="234" w:lineRule="auto"/>
        <w:tabs>
          <w:tab w:leader="none" w:pos="1288" w:val="left"/>
        </w:tabs>
        <w:numPr>
          <w:ilvl w:val="0"/>
          <w:numId w:val="83"/>
        </w:numPr>
        <w:rPr>
          <w:rFonts w:ascii="Arial" w:cs="Arial" w:eastAsia="Arial" w:hAnsi="Arial"/>
          <w:sz w:val="20"/>
          <w:szCs w:val="20"/>
          <w:color w:val="auto"/>
        </w:rPr>
      </w:pPr>
      <w:r>
        <w:rPr>
          <w:rFonts w:ascii="Calibri" w:cs="Calibri" w:eastAsia="Calibri" w:hAnsi="Calibri"/>
          <w:sz w:val="20"/>
          <w:szCs w:val="20"/>
          <w:color w:val="auto"/>
        </w:rPr>
        <w:t>25% of the total grant date value in the form of stock optons, which vest in equal installments over four years on each anniversary of the grant date;</w:t>
      </w:r>
    </w:p>
    <w:p>
      <w:pPr>
        <w:spacing w:after="0" w:line="252" w:lineRule="exact"/>
        <w:rPr>
          <w:rFonts w:ascii="Arial" w:cs="Arial" w:eastAsia="Arial" w:hAnsi="Arial"/>
          <w:sz w:val="20"/>
          <w:szCs w:val="20"/>
          <w:color w:val="auto"/>
        </w:rPr>
      </w:pPr>
    </w:p>
    <w:p>
      <w:pPr>
        <w:ind w:left="1300" w:right="380" w:hanging="320"/>
        <w:spacing w:after="0" w:line="214" w:lineRule="auto"/>
        <w:tabs>
          <w:tab w:leader="none" w:pos="1288" w:val="left"/>
        </w:tabs>
        <w:numPr>
          <w:ilvl w:val="0"/>
          <w:numId w:val="83"/>
        </w:numPr>
        <w:rPr>
          <w:rFonts w:ascii="Times New Roman" w:cs="Times New Roman" w:eastAsia="Times New Roman" w:hAnsi="Times New Roman"/>
          <w:sz w:val="20"/>
          <w:szCs w:val="20"/>
          <w:color w:val="auto"/>
        </w:rPr>
      </w:pPr>
      <w:r>
        <w:rPr>
          <w:rFonts w:ascii="Calibri" w:cs="Calibri" w:eastAsia="Calibri" w:hAnsi="Calibri"/>
          <w:sz w:val="20"/>
          <w:szCs w:val="20"/>
          <w:color w:val="auto"/>
        </w:rPr>
        <w:t>25% of the total grant date value in the form of tme-based RSUs, which vest in equal installments over four years on each anniversary of the grant date;</w:t>
      </w:r>
    </w:p>
    <w:p>
      <w:pPr>
        <w:spacing w:after="0" w:line="266" w:lineRule="exact"/>
        <w:rPr>
          <w:rFonts w:ascii="Times New Roman" w:cs="Times New Roman" w:eastAsia="Times New Roman" w:hAnsi="Times New Roman"/>
          <w:sz w:val="20"/>
          <w:szCs w:val="20"/>
          <w:color w:val="auto"/>
        </w:rPr>
      </w:pPr>
    </w:p>
    <w:p>
      <w:pPr>
        <w:ind w:left="1300" w:right="100" w:hanging="320"/>
        <w:spacing w:after="0" w:line="236" w:lineRule="auto"/>
        <w:tabs>
          <w:tab w:leader="none" w:pos="1288" w:val="left"/>
        </w:tabs>
        <w:numPr>
          <w:ilvl w:val="0"/>
          <w:numId w:val="83"/>
        </w:numPr>
        <w:rPr>
          <w:rFonts w:ascii="Times New Roman" w:cs="Times New Roman" w:eastAsia="Times New Roman" w:hAnsi="Times New Roman"/>
          <w:sz w:val="20"/>
          <w:szCs w:val="20"/>
          <w:color w:val="auto"/>
        </w:rPr>
      </w:pPr>
      <w:r>
        <w:rPr>
          <w:rFonts w:ascii="Calibri" w:cs="Calibri" w:eastAsia="Calibri" w:hAnsi="Calibri"/>
          <w:sz w:val="20"/>
          <w:szCs w:val="20"/>
          <w:color w:val="auto"/>
        </w:rPr>
        <w:t>25% of the total grant date value in the form of PRSUs, which vest in the range of 0% to 200% of the target award issued on the third anniversary of the grant date (based on the Company’s total shareholder return, or TSR, compared to the median TSR of a comparator group of companies over a three-year performance period);</w:t>
      </w:r>
    </w:p>
    <w:p>
      <w:pPr>
        <w:spacing w:after="0" w:line="278" w:lineRule="exact"/>
        <w:rPr>
          <w:rFonts w:ascii="Times New Roman" w:cs="Times New Roman" w:eastAsia="Times New Roman" w:hAnsi="Times New Roman"/>
          <w:sz w:val="20"/>
          <w:szCs w:val="20"/>
          <w:color w:val="auto"/>
        </w:rPr>
      </w:pPr>
    </w:p>
    <w:p>
      <w:pPr>
        <w:ind w:left="1300" w:right="100" w:hanging="320"/>
        <w:spacing w:after="0"/>
        <w:tabs>
          <w:tab w:leader="none" w:pos="1288" w:val="left"/>
        </w:tabs>
        <w:numPr>
          <w:ilvl w:val="0"/>
          <w:numId w:val="83"/>
        </w:numPr>
        <w:rPr>
          <w:rFonts w:ascii="Times New Roman" w:cs="Times New Roman" w:eastAsia="Times New Roman" w:hAnsi="Times New Roman"/>
          <w:sz w:val="20"/>
          <w:szCs w:val="20"/>
          <w:color w:val="auto"/>
        </w:rPr>
      </w:pPr>
      <w:r>
        <w:rPr>
          <w:rFonts w:ascii="Calibri" w:cs="Calibri" w:eastAsia="Calibri" w:hAnsi="Calibri"/>
          <w:sz w:val="20"/>
          <w:szCs w:val="20"/>
          <w:color w:val="auto"/>
        </w:rPr>
        <w:t>25% of the total grant date value in the form of PRSUs, which vest in the range of 0% to 200% of the target award issued on the third anniversary of the grant date (based on the Company’s achievement of one-year, two-year cumulatve and three-year cumulatve operatng proft over a corresponding one year, two-year cumulatve and three-year cumulatve performance period).</w:t>
      </w:r>
    </w:p>
    <w:p>
      <w:pPr>
        <w:spacing w:after="0" w:line="157" w:lineRule="exact"/>
        <w:rPr>
          <w:sz w:val="20"/>
          <w:szCs w:val="20"/>
          <w:color w:val="auto"/>
        </w:rPr>
      </w:pPr>
    </w:p>
    <w:p>
      <w:pPr>
        <w:ind w:right="60"/>
        <w:spacing w:after="0" w:line="254" w:lineRule="auto"/>
        <w:rPr>
          <w:sz w:val="20"/>
          <w:szCs w:val="20"/>
          <w:color w:val="auto"/>
        </w:rPr>
      </w:pPr>
      <w:r>
        <w:rPr>
          <w:rFonts w:ascii="Calibri" w:cs="Calibri" w:eastAsia="Calibri" w:hAnsi="Calibri"/>
          <w:sz w:val="20"/>
          <w:szCs w:val="20"/>
          <w:color w:val="auto"/>
        </w:rPr>
        <w:t>The Company’s Compensaton Commitee has full discreton in determining the compositon of annual executve equity awards. There is no guarantee that the compositon of executve equity awards in 2022 (or in subsequent years) will be identcal to the formula and equity types described above.</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Additonal features of your employment at ADI.</w:t>
      </w:r>
    </w:p>
    <w:p>
      <w:pPr>
        <w:spacing w:after="0" w:line="225" w:lineRule="exact"/>
        <w:rPr>
          <w:sz w:val="20"/>
          <w:szCs w:val="20"/>
          <w:color w:val="auto"/>
        </w:rPr>
      </w:pPr>
    </w:p>
    <w:p>
      <w:pPr>
        <w:ind w:left="660" w:hanging="328"/>
        <w:spacing w:after="0" w:line="236" w:lineRule="auto"/>
        <w:tabs>
          <w:tab w:leader="none" w:pos="648" w:val="left"/>
        </w:tabs>
        <w:numPr>
          <w:ilvl w:val="0"/>
          <w:numId w:val="84"/>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 will be provided with the Company’s standard Employee Retenton Agreement for executve ofcers which provides that, in the event of a Change of Control occurs, you will be paid an amount equal to the sum of (A) 299% of the higher of (i) your annual base salary in efect at the Date of Terminaton or (ii) your annual base salary in efect immediately prior to the Change of</w:t>
      </w:r>
    </w:p>
    <w:p>
      <w:pPr>
        <w:spacing w:after="0" w:line="22" w:lineRule="exact"/>
        <w:rPr>
          <w:rFonts w:ascii="Times New Roman" w:cs="Times New Roman" w:eastAsia="Times New Roman" w:hAnsi="Times New Roman"/>
          <w:sz w:val="20"/>
          <w:szCs w:val="20"/>
          <w:color w:val="auto"/>
        </w:rPr>
      </w:pPr>
    </w:p>
    <w:p>
      <w:pPr>
        <w:ind w:left="660" w:right="40"/>
        <w:spacing w:after="0" w:line="236"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Control, plus (B) 299% of the aggregate cash bonuses paid or awarded to you in respect of the four fscal quarters preceding the Date of Terminaton, plus (iii) the contnuaton of life, disability, dental, accident and group health insurance benefts for a period of 24 months. We will provide you with our form of Employee Retenton Agreement prior to your start date.</w:t>
      </w:r>
    </w:p>
    <w:p>
      <w:pPr>
        <w:spacing w:after="0" w:line="278" w:lineRule="exact"/>
        <w:rPr>
          <w:rFonts w:ascii="Times New Roman" w:cs="Times New Roman" w:eastAsia="Times New Roman" w:hAnsi="Times New Roman"/>
          <w:sz w:val="20"/>
          <w:szCs w:val="20"/>
          <w:color w:val="auto"/>
        </w:rPr>
      </w:pPr>
    </w:p>
    <w:p>
      <w:pPr>
        <w:ind w:left="660" w:right="620" w:hanging="328"/>
        <w:spacing w:after="0" w:line="234" w:lineRule="auto"/>
        <w:tabs>
          <w:tab w:leader="none" w:pos="648" w:val="left"/>
        </w:tabs>
        <w:numPr>
          <w:ilvl w:val="0"/>
          <w:numId w:val="84"/>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 will be eligible for the Company’s Deferred Compensaton Program and will receive further informaton regarding this beneft in the near future.</w:t>
      </w:r>
    </w:p>
    <w:p>
      <w:pPr>
        <w:spacing w:after="0" w:line="279" w:lineRule="exact"/>
        <w:rPr>
          <w:rFonts w:ascii="Times New Roman" w:cs="Times New Roman" w:eastAsia="Times New Roman" w:hAnsi="Times New Roman"/>
          <w:sz w:val="20"/>
          <w:szCs w:val="20"/>
          <w:color w:val="auto"/>
        </w:rPr>
      </w:pPr>
    </w:p>
    <w:p>
      <w:pPr>
        <w:ind w:left="660" w:right="20" w:hanging="328"/>
        <w:spacing w:after="0"/>
        <w:tabs>
          <w:tab w:leader="none" w:pos="648" w:val="left"/>
        </w:tabs>
        <w:numPr>
          <w:ilvl w:val="0"/>
          <w:numId w:val="84"/>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You will also be eligible to partcipate in various employee beneft programs, including group health, life, and disability insurance; and a retrement savings plan with a generous Company contributon beginning upon hire and partcipaton in the Plan. More detailed informaton about Analog’s beneft programs can be found at our Beneft for Life website at </w:t>
      </w:r>
      <w:r>
        <w:rPr>
          <w:rFonts w:ascii="Calibri" w:cs="Calibri" w:eastAsia="Calibri" w:hAnsi="Calibri"/>
          <w:sz w:val="20"/>
          <w:szCs w:val="20"/>
          <w:u w:val="single" w:color="auto"/>
          <w:color w:val="0000FF"/>
        </w:rPr>
        <w:t>htp://benefts.analog.com/adi-beneft-summaries.html</w:t>
      </w:r>
      <w:r>
        <w:rPr>
          <w:rFonts w:ascii="Calibri" w:cs="Calibri" w:eastAsia="Calibri" w:hAnsi="Calibri"/>
          <w:sz w:val="20"/>
          <w:szCs w:val="20"/>
          <w:color w:val="000000"/>
        </w:rPr>
        <w:t>.</w:t>
      </w:r>
    </w:p>
    <w:p>
      <w:pPr>
        <w:sectPr>
          <w:pgSz w:w="11900" w:h="16838" w:orient="portrait"/>
          <w:cols w:equalWidth="0" w:num="1">
            <w:col w:w="11220"/>
          </w:cols>
          <w:pgMar w:left="320" w:top="832" w:right="359" w:bottom="1440" w:gutter="0" w:footer="0" w:header="0"/>
        </w:sectPr>
      </w:pPr>
    </w:p>
    <w:bookmarkStart w:id="95" w:name="page96"/>
    <w:bookmarkEnd w:id="95"/>
    <w:p>
      <w:pPr>
        <w:ind w:left="26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977265" cy="3943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clrChange>
                        <a:clrFrom>
                          <a:srgbClr val="FFFFFF"/>
                        </a:clrFrom>
                        <a:clrTo>
                          <a:srgbClr val="FFFFFF">
                            <a:alpha val="0"/>
                          </a:srgbClr>
                        </a:clrTo>
                      </a:clrChange>
                      <a:extLst>
                        <a:ext uri="{28A0092B-C50C-407E-A947-70E740481C1C}"/>
                      </a:extLst>
                    </a:blip>
                    <a:srcRect/>
                    <a:stretch>
                      <a:fillRect/>
                    </a:stretch>
                  </pic:blipFill>
                  <pic:spPr bwMode="auto">
                    <a:xfrm>
                      <a:off x="0" y="0"/>
                      <a:ext cx="977265" cy="394335"/>
                    </a:xfrm>
                    <a:prstGeom prst="rect">
                      <a:avLst/>
                    </a:prstGeom>
                    <a:noFill/>
                  </pic:spPr>
                </pic:pic>
              </a:graphicData>
            </a:graphic>
          </wp:anchor>
        </w:drawing>
        <w:t>Page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54" w:lineRule="auto"/>
        <w:rPr>
          <w:sz w:val="20"/>
          <w:szCs w:val="20"/>
          <w:color w:val="auto"/>
        </w:rPr>
      </w:pPr>
      <w:r>
        <w:rPr>
          <w:rFonts w:ascii="Calibri" w:cs="Calibri" w:eastAsia="Calibri" w:hAnsi="Calibri"/>
          <w:sz w:val="20"/>
          <w:szCs w:val="20"/>
          <w:color w:val="auto"/>
        </w:rPr>
        <w:t>The Company’s ofer of employment is contngent upon verifcaton of employment informaton provided in your employment process, successful completon of a background check as determined by the Company, proof of employment eligibility, and signing of our Employee Confdentality and Developments Agreement, a copy of which will be separately provided to you before your start date.</w:t>
      </w:r>
    </w:p>
    <w:p>
      <w:pPr>
        <w:spacing w:after="0" w:line="200" w:lineRule="exact"/>
        <w:rPr>
          <w:sz w:val="20"/>
          <w:szCs w:val="20"/>
          <w:color w:val="auto"/>
        </w:rPr>
      </w:pPr>
    </w:p>
    <w:p>
      <w:pPr>
        <w:spacing w:after="0" w:line="240" w:lineRule="exact"/>
        <w:rPr>
          <w:sz w:val="20"/>
          <w:szCs w:val="20"/>
          <w:color w:val="auto"/>
        </w:rPr>
      </w:pPr>
    </w:p>
    <w:p>
      <w:pPr>
        <w:ind w:right="100"/>
        <w:spacing w:after="0" w:line="257" w:lineRule="auto"/>
        <w:rPr>
          <w:sz w:val="20"/>
          <w:szCs w:val="20"/>
          <w:color w:val="auto"/>
        </w:rPr>
      </w:pPr>
      <w:r>
        <w:rPr>
          <w:rFonts w:ascii="Calibri" w:cs="Calibri" w:eastAsia="Calibri" w:hAnsi="Calibri"/>
          <w:sz w:val="20"/>
          <w:szCs w:val="20"/>
          <w:color w:val="auto"/>
        </w:rPr>
        <w:t>Your employment relatonship with Analog Devices will be on an “at will” basis. This means either you or the Company may terminate the employment relatonship at any tme, for any reason, or without a reason, and without prior notce. No one at the Company has the authority to alter your “at will” status other than the Chief Executve Ofcer, which in such cases must be done in a signed writen agreement.</w:t>
      </w:r>
    </w:p>
    <w:p>
      <w:pPr>
        <w:spacing w:after="0" w:line="21" w:lineRule="exact"/>
        <w:rPr>
          <w:sz w:val="20"/>
          <w:szCs w:val="20"/>
          <w:color w:val="auto"/>
        </w:rPr>
      </w:pPr>
    </w:p>
    <w:p>
      <w:pPr>
        <w:ind w:right="60"/>
        <w:spacing w:after="0" w:line="254" w:lineRule="auto"/>
        <w:rPr>
          <w:sz w:val="20"/>
          <w:szCs w:val="20"/>
          <w:color w:val="auto"/>
        </w:rPr>
      </w:pPr>
      <w:r>
        <w:rPr>
          <w:rFonts w:ascii="Calibri" w:cs="Calibri" w:eastAsia="Calibri" w:hAnsi="Calibri"/>
          <w:sz w:val="20"/>
          <w:szCs w:val="20"/>
          <w:color w:val="auto"/>
        </w:rPr>
        <w:t>This ofer leter is not a contract. The Company reserves the right to amend or terminate any of the above-described programs, plans, or policies at any tme and from tme to tme. This means that policies, compensaton and benefts may be amended or terminated at the Company’s discreton.</w:t>
      </w:r>
    </w:p>
    <w:p>
      <w:pPr>
        <w:spacing w:after="0" w:line="183" w:lineRule="exact"/>
        <w:rPr>
          <w:sz w:val="20"/>
          <w:szCs w:val="20"/>
          <w:color w:val="auto"/>
        </w:rPr>
      </w:pPr>
    </w:p>
    <w:p>
      <w:pPr>
        <w:ind w:right="100"/>
        <w:spacing w:after="0" w:line="256" w:lineRule="auto"/>
        <w:rPr>
          <w:sz w:val="20"/>
          <w:szCs w:val="20"/>
          <w:color w:val="auto"/>
        </w:rPr>
      </w:pPr>
      <w:r>
        <w:rPr>
          <w:rFonts w:ascii="Calibri" w:cs="Calibri" w:eastAsia="Calibri" w:hAnsi="Calibri"/>
          <w:sz w:val="20"/>
          <w:szCs w:val="20"/>
          <w:color w:val="auto"/>
        </w:rPr>
        <w:t>This ofer of employment is not based on your possession of or access to any proprietary informaton belonging to your current or previous employers. When you accept this ofer of employment and join us, the Company directs that you do not disclose any such informaton or bring materials belonging to any former employer or use any such materials while in the Company’s employ. Further, you represent and warrant to the Company that you are not bound by any restrictons or covenant not to compete that would prevent you from performing your expected job dutes at the Company.</w:t>
      </w:r>
    </w:p>
    <w:p>
      <w:pPr>
        <w:spacing w:after="0" w:line="196" w:lineRule="exact"/>
        <w:rPr>
          <w:sz w:val="20"/>
          <w:szCs w:val="20"/>
          <w:color w:val="auto"/>
        </w:rPr>
      </w:pPr>
    </w:p>
    <w:p>
      <w:pPr>
        <w:ind w:right="140"/>
        <w:spacing w:after="0" w:line="255" w:lineRule="auto"/>
        <w:rPr>
          <w:sz w:val="20"/>
          <w:szCs w:val="20"/>
          <w:color w:val="auto"/>
        </w:rPr>
      </w:pPr>
      <w:r>
        <w:rPr>
          <w:rFonts w:ascii="Calibri" w:cs="Calibri" w:eastAsia="Calibri" w:hAnsi="Calibri"/>
          <w:sz w:val="20"/>
          <w:szCs w:val="20"/>
          <w:color w:val="auto"/>
        </w:rPr>
        <w:t>GB, we believe you will be an excellent additon to the Analog Devices executve team and look forward to your startng with us. We are certain you will fnd your employment with Analog Devices both challenging and rewarding.</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color w:val="auto"/>
        </w:rPr>
        <w:t>If you have any questons or concerns, please do not hesitate to contact me. This ofer leter expires on January 8, 2022.</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500" w:val="left"/>
        </w:tabs>
        <w:rPr>
          <w:sz w:val="20"/>
          <w:szCs w:val="20"/>
          <w:color w:val="auto"/>
        </w:rPr>
      </w:pPr>
      <w:r>
        <w:rPr>
          <w:rFonts w:ascii="Calibri" w:cs="Calibri" w:eastAsia="Calibri" w:hAnsi="Calibri"/>
          <w:sz w:val="20"/>
          <w:szCs w:val="20"/>
          <w:color w:val="auto"/>
        </w:rPr>
        <w:t>By:</w:t>
        <w:tab/>
        <w:t>/s/ Margaret Seif</w:t>
      </w:r>
    </w:p>
    <w:p>
      <w:pPr>
        <w:spacing w:after="0" w:line="53" w:lineRule="exact"/>
        <w:rPr>
          <w:sz w:val="20"/>
          <w:szCs w:val="20"/>
          <w:color w:val="auto"/>
        </w:rPr>
      </w:pPr>
    </w:p>
    <w:p>
      <w:pPr>
        <w:ind w:left="520"/>
        <w:spacing w:after="0"/>
        <w:rPr>
          <w:sz w:val="20"/>
          <w:szCs w:val="20"/>
          <w:color w:val="auto"/>
        </w:rPr>
      </w:pPr>
      <w:r>
        <w:rPr>
          <w:rFonts w:ascii="Calibri" w:cs="Calibri" w:eastAsia="Calibri" w:hAnsi="Calibri"/>
          <w:sz w:val="20"/>
          <w:szCs w:val="20"/>
          <w:color w:val="auto"/>
        </w:rPr>
        <w:t>Margaret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-140970</wp:posOffset>
            </wp:positionV>
            <wp:extent cx="323151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520"/>
        <w:spacing w:after="0"/>
        <w:rPr>
          <w:sz w:val="20"/>
          <w:szCs w:val="20"/>
          <w:color w:val="auto"/>
        </w:rPr>
      </w:pPr>
      <w:r>
        <w:rPr>
          <w:rFonts w:ascii="Calibri" w:cs="Calibri" w:eastAsia="Calibri" w:hAnsi="Calibri"/>
          <w:sz w:val="20"/>
          <w:szCs w:val="20"/>
          <w:color w:val="auto"/>
        </w:rPr>
        <w:t>Senior Vice President and Chief People Ofcer</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I accept the above ofer and will begin my employment on </w:t>
      </w:r>
      <w:r>
        <w:rPr>
          <w:rFonts w:ascii="Calibri" w:cs="Calibri" w:eastAsia="Calibri" w:hAnsi="Calibri"/>
          <w:sz w:val="20"/>
          <w:szCs w:val="20"/>
          <w:u w:val="single" w:color="auto"/>
          <w:color w:val="auto"/>
        </w:rPr>
        <w:t>No later than March 14th</w:t>
      </w:r>
      <w:r>
        <w:rPr>
          <w:rFonts w:ascii="Calibri" w:cs="Calibri" w:eastAsia="Calibri" w:hAnsi="Calibri"/>
          <w:sz w:val="20"/>
          <w:szCs w:val="20"/>
          <w:color w:val="auto"/>
        </w:rPr>
        <w:t xml:space="preserve"> ,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200" w:type="dxa"/>
            <w:vAlign w:val="bottom"/>
          </w:tcPr>
          <w:p>
            <w:pPr>
              <w:spacing w:after="0"/>
              <w:rPr>
                <w:sz w:val="20"/>
                <w:szCs w:val="20"/>
                <w:color w:val="auto"/>
              </w:rPr>
            </w:pPr>
            <w:r>
              <w:rPr>
                <w:rFonts w:ascii="Calibri" w:cs="Calibri" w:eastAsia="Calibri" w:hAnsi="Calibri"/>
                <w:sz w:val="20"/>
                <w:szCs w:val="20"/>
                <w:color w:val="auto"/>
              </w:rPr>
              <w:t>Signature:</w:t>
            </w:r>
          </w:p>
        </w:tc>
        <w:tc>
          <w:tcPr>
            <w:tcW w:w="6160" w:type="dxa"/>
            <w:vAlign w:val="bottom"/>
          </w:tcPr>
          <w:p>
            <w:pPr>
              <w:ind w:left="20"/>
              <w:spacing w:after="0"/>
              <w:rPr>
                <w:sz w:val="20"/>
                <w:szCs w:val="20"/>
                <w:color w:val="auto"/>
              </w:rPr>
            </w:pPr>
            <w:r>
              <w:rPr>
                <w:rFonts w:ascii="Calibri" w:cs="Calibri" w:eastAsia="Calibri" w:hAnsi="Calibri"/>
                <w:sz w:val="20"/>
                <w:szCs w:val="20"/>
                <w:color w:val="auto"/>
              </w:rPr>
              <w:t>/s/ Gregory Bryant</w:t>
            </w:r>
          </w:p>
        </w:tc>
        <w:tc>
          <w:tcPr>
            <w:tcW w:w="3860" w:type="dxa"/>
            <w:vAlign w:val="bottom"/>
            <w:gridSpan w:val="2"/>
          </w:tcPr>
          <w:p>
            <w:pPr>
              <w:ind w:left="740"/>
              <w:spacing w:after="0"/>
              <w:rPr>
                <w:sz w:val="20"/>
                <w:szCs w:val="20"/>
                <w:color w:val="auto"/>
              </w:rPr>
            </w:pPr>
            <w:r>
              <w:rPr>
                <w:rFonts w:ascii="Calibri" w:cs="Calibri" w:eastAsia="Calibri" w:hAnsi="Calibri"/>
                <w:sz w:val="20"/>
                <w:szCs w:val="20"/>
                <w:color w:val="auto"/>
              </w:rPr>
              <w:t>Date:   01/05/2022</w:t>
            </w:r>
          </w:p>
        </w:tc>
      </w:tr>
      <w:tr>
        <w:trPr>
          <w:trHeight w:val="73"/>
        </w:trPr>
        <w:tc>
          <w:tcPr>
            <w:tcW w:w="1200" w:type="dxa"/>
            <w:vAlign w:val="bottom"/>
          </w:tcPr>
          <w:p>
            <w:pPr>
              <w:spacing w:after="0"/>
              <w:rPr>
                <w:sz w:val="6"/>
                <w:szCs w:val="6"/>
                <w:color w:val="auto"/>
              </w:rPr>
            </w:pPr>
          </w:p>
        </w:tc>
        <w:tc>
          <w:tcPr>
            <w:tcW w:w="6160" w:type="dxa"/>
            <w:vAlign w:val="bottom"/>
            <w:tcBorders>
              <w:bottom w:val="single" w:sz="8" w:color="auto"/>
            </w:tcBorders>
          </w:tcPr>
          <w:p>
            <w:pPr>
              <w:spacing w:after="0"/>
              <w:rPr>
                <w:sz w:val="6"/>
                <w:szCs w:val="6"/>
                <w:color w:val="auto"/>
              </w:rPr>
            </w:pPr>
          </w:p>
        </w:tc>
        <w:tc>
          <w:tcPr>
            <w:tcW w:w="1460" w:type="dxa"/>
            <w:vAlign w:val="bottom"/>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r>
      <w:tr>
        <w:trPr>
          <w:trHeight w:val="244"/>
        </w:trPr>
        <w:tc>
          <w:tcPr>
            <w:tcW w:w="12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Calibri" w:cs="Calibri" w:eastAsia="Calibri" w:hAnsi="Calibri"/>
                <w:sz w:val="20"/>
                <w:szCs w:val="20"/>
                <w:color w:val="auto"/>
              </w:rPr>
              <w:t>Gregory Bryant</w:t>
            </w:r>
          </w:p>
        </w:tc>
        <w:tc>
          <w:tcPr>
            <w:tcW w:w="146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ectPr>
          <w:pgSz w:w="11900" w:h="16838" w:orient="portrait"/>
          <w:cols w:equalWidth="0" w:num="1">
            <w:col w:w="11240"/>
          </w:cols>
          <w:pgMar w:left="320" w:top="83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1156970" cy="72898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11569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ADI Executive Performance Incentive Plan</w:t>
      </w:r>
    </w:p>
    <w:p>
      <w:pPr>
        <w:spacing w:after="0" w:line="260" w:lineRule="exact"/>
        <w:rPr>
          <w:sz w:val="20"/>
          <w:szCs w:val="20"/>
          <w:color w:val="auto"/>
        </w:rPr>
      </w:pPr>
    </w:p>
    <w:p>
      <w:pPr>
        <w:jc w:val="both"/>
        <w:ind w:right="80" w:firstLine="877"/>
        <w:spacing w:after="0" w:line="272" w:lineRule="auto"/>
        <w:rPr>
          <w:sz w:val="20"/>
          <w:szCs w:val="20"/>
          <w:color w:val="auto"/>
        </w:rPr>
      </w:pPr>
      <w:r>
        <w:rPr>
          <w:rFonts w:ascii="Times New Roman" w:cs="Times New Roman" w:eastAsia="Times New Roman" w:hAnsi="Times New Roman"/>
          <w:sz w:val="20"/>
          <w:szCs w:val="20"/>
          <w:color w:val="auto"/>
        </w:rPr>
        <w:t>On April 4, 2022, the Compensation Committee of the Board of Directors of Analog Devices, Inc. (the “Company”) approved the terms of the ADI Executive Performance Incentive Plan effective May 1, 2022. All executive officers and other senior management selected by the Chief Executive Officer will participate in the ADI Executive Performance Incentive Plan. Bonus payments under the ADI Executive Performance Incentive Plan are calculated and paid as follows:</w:t>
      </w:r>
    </w:p>
    <w:p>
      <w:pPr>
        <w:spacing w:after="0" w:line="213" w:lineRule="exact"/>
        <w:rPr>
          <w:sz w:val="20"/>
          <w:szCs w:val="20"/>
          <w:color w:val="auto"/>
        </w:rPr>
      </w:pPr>
    </w:p>
    <w:p>
      <w:pPr>
        <w:ind w:left="660" w:hanging="207"/>
        <w:spacing w:after="0"/>
        <w:tabs>
          <w:tab w:leader="none" w:pos="660"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participant’s Bonus Target is obtained by multiplying his or her Base Salary by his or her Individual Target Bonus Percentage:</w:t>
      </w:r>
    </w:p>
    <w:p>
      <w:pPr>
        <w:spacing w:after="0" w:line="267" w:lineRule="exact"/>
        <w:rPr>
          <w:rFonts w:ascii="Times New Roman" w:cs="Times New Roman" w:eastAsia="Times New Roman" w:hAnsi="Times New Roman"/>
          <w:sz w:val="19"/>
          <w:szCs w:val="19"/>
          <w:color w:val="auto"/>
        </w:rPr>
      </w:pPr>
    </w:p>
    <w:p>
      <w:pPr>
        <w:ind w:left="1080" w:hanging="303"/>
        <w:spacing w:after="0"/>
        <w:tabs>
          <w:tab w:leader="none" w:pos="108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Salary – the individual’s base pay during the applicable bonus period.</w:t>
      </w:r>
    </w:p>
    <w:p>
      <w:pPr>
        <w:spacing w:after="0" w:line="269" w:lineRule="exact"/>
        <w:rPr>
          <w:rFonts w:ascii="Times New Roman" w:cs="Times New Roman" w:eastAsia="Times New Roman" w:hAnsi="Times New Roman"/>
          <w:sz w:val="20"/>
          <w:szCs w:val="20"/>
          <w:color w:val="auto"/>
        </w:rPr>
      </w:pPr>
    </w:p>
    <w:p>
      <w:pPr>
        <w:ind w:left="1100" w:right="880" w:hanging="323"/>
        <w:spacing w:after="0" w:line="297" w:lineRule="auto"/>
        <w:tabs>
          <w:tab w:leader="none" w:pos="108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Target Bonus Percentage — a percentage of the individual’s Base Salary, determined individually for each participant by the Compensation Committee up to 200%, in the Compensation Committee’s sole discretion.</w:t>
      </w:r>
    </w:p>
    <w:p>
      <w:pPr>
        <w:spacing w:after="0" w:line="200" w:lineRule="exact"/>
        <w:rPr>
          <w:rFonts w:ascii="Times New Roman" w:cs="Times New Roman" w:eastAsia="Times New Roman" w:hAnsi="Times New Roman"/>
          <w:sz w:val="20"/>
          <w:szCs w:val="20"/>
          <w:color w:val="auto"/>
        </w:rPr>
      </w:pPr>
    </w:p>
    <w:p>
      <w:pPr>
        <w:spacing w:after="0" w:line="216" w:lineRule="exact"/>
        <w:rPr>
          <w:rFonts w:ascii="Times New Roman" w:cs="Times New Roman" w:eastAsia="Times New Roman" w:hAnsi="Times New Roman"/>
          <w:sz w:val="20"/>
          <w:szCs w:val="20"/>
          <w:color w:val="auto"/>
        </w:rPr>
      </w:pPr>
    </w:p>
    <w:p>
      <w:pPr>
        <w:ind w:firstLine="8"/>
        <w:spacing w:after="0" w:line="281" w:lineRule="auto"/>
        <w:tabs>
          <w:tab w:leader="none" w:pos="19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participant’s Bonus Target is then multiplied by the Bonus Payout Factor. The Bonus Payout Factor is equal to (A) 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year.1 For purposes of the Executive Performance Incentive Plan, revenue will be measured on a sell-in basis (commonly referred to as POA revenue).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40% of revenue for the applicable quarter, the Bonus Payout Factor shall be zero for that quarter, even if the Company has revenue growth for that quarter. The Bonus Payout Factor can range from 0% to 300%.</w:t>
      </w:r>
    </w:p>
    <w:p>
      <w:pPr>
        <w:sectPr>
          <w:pgSz w:w="11900" w:h="16838" w:orient="portrait"/>
          <w:cols w:equalWidth="0" w:num="1">
            <w:col w:w="11240"/>
          </w:cols>
          <w:pgMar w:left="320" w:top="94" w:right="339" w:bottom="1440" w:gutter="0" w:footer="0" w:header="0"/>
        </w:sectPr>
      </w:pPr>
    </w:p>
    <w:bookmarkStart w:id="97" w:name="page98"/>
    <w:bookmarkEnd w:id="9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Bonus Payout Factor tables apply under the Executive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0575" cy="24003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7140575" cy="24003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ADI Bonus Plan Targets</w:t>
      </w:r>
    </w:p>
    <w:p>
      <w:pPr>
        <w:spacing w:after="0" w:line="59"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2260" w:type="dxa"/>
            <w:vAlign w:val="bottom"/>
            <w:tcBorders>
              <w:top w:val="single" w:sz="8" w:color="auto"/>
              <w:left w:val="single" w:sz="8" w:color="auto"/>
              <w:bottom w:val="single" w:sz="8" w:color="auto"/>
              <w:right w:val="single" w:sz="8" w:color="1F4E79"/>
            </w:tcBorders>
            <w:shd w:val="clear" w:color="auto" w:fill="1F4E79"/>
          </w:tcPr>
          <w:p>
            <w:pPr>
              <w:spacing w:after="0"/>
              <w:rPr>
                <w:sz w:val="24"/>
                <w:szCs w:val="24"/>
                <w:color w:val="auto"/>
              </w:rPr>
            </w:pPr>
          </w:p>
        </w:tc>
        <w:tc>
          <w:tcPr>
            <w:tcW w:w="2920" w:type="dxa"/>
            <w:vAlign w:val="bottom"/>
            <w:tcBorders>
              <w:top w:val="single" w:sz="8" w:color="auto"/>
              <w:bottom w:val="single" w:sz="8" w:color="auto"/>
              <w:right w:val="single" w:sz="8" w:color="auto"/>
            </w:tcBorders>
            <w:shd w:val="clear" w:color="auto" w:fill="1F4E79"/>
          </w:tcPr>
          <w:p>
            <w:pPr>
              <w:ind w:left="60"/>
              <w:spacing w:after="0"/>
              <w:rPr>
                <w:sz w:val="20"/>
                <w:szCs w:val="20"/>
                <w:color w:val="auto"/>
              </w:rPr>
            </w:pPr>
            <w:r>
              <w:rPr>
                <w:rFonts w:ascii="Arial" w:cs="Arial" w:eastAsia="Arial" w:hAnsi="Arial"/>
                <w:sz w:val="20"/>
                <w:szCs w:val="20"/>
                <w:b w:val="1"/>
                <w:bCs w:val="1"/>
                <w:color w:val="FFFFFF"/>
              </w:rPr>
              <w:t>OPBT</w:t>
            </w:r>
          </w:p>
        </w:tc>
        <w:tc>
          <w:tcPr>
            <w:tcW w:w="360" w:type="dxa"/>
            <w:vAlign w:val="bottom"/>
            <w:tcBorders>
              <w:top w:val="single" w:sz="8" w:color="auto"/>
              <w:right w:val="single" w:sz="8" w:color="auto"/>
            </w:tcBorders>
          </w:tcPr>
          <w:p>
            <w:pPr>
              <w:spacing w:after="0"/>
              <w:rPr>
                <w:sz w:val="24"/>
                <w:szCs w:val="24"/>
                <w:color w:val="auto"/>
              </w:rPr>
            </w:pPr>
          </w:p>
        </w:tc>
        <w:tc>
          <w:tcPr>
            <w:tcW w:w="3460" w:type="dxa"/>
            <w:vAlign w:val="bottom"/>
            <w:tcBorders>
              <w:top w:val="single" w:sz="8" w:color="auto"/>
              <w:bottom w:val="single" w:sz="8" w:color="auto"/>
              <w:right w:val="single" w:sz="8" w:color="1F4E79"/>
            </w:tcBorders>
            <w:shd w:val="clear" w:color="auto" w:fill="1F4E79"/>
          </w:tcPr>
          <w:p>
            <w:pPr>
              <w:ind w:left="2360"/>
              <w:spacing w:after="0"/>
              <w:rPr>
                <w:sz w:val="20"/>
                <w:szCs w:val="20"/>
                <w:color w:val="auto"/>
              </w:rPr>
            </w:pPr>
            <w:r>
              <w:rPr>
                <w:rFonts w:ascii="Arial" w:cs="Arial" w:eastAsia="Arial" w:hAnsi="Arial"/>
                <w:sz w:val="20"/>
                <w:szCs w:val="20"/>
                <w:b w:val="1"/>
                <w:bCs w:val="1"/>
                <w:color w:val="FFFFFF"/>
              </w:rPr>
              <w:t>REVENUE</w:t>
            </w:r>
          </w:p>
        </w:tc>
        <w:tc>
          <w:tcPr>
            <w:tcW w:w="2260" w:type="dxa"/>
            <w:vAlign w:val="bottom"/>
            <w:tcBorders>
              <w:top w:val="single" w:sz="8" w:color="auto"/>
              <w:bottom w:val="single" w:sz="8" w:color="auto"/>
              <w:right w:val="single" w:sz="8" w:color="auto"/>
            </w:tcBorders>
            <w:shd w:val="clear" w:color="auto" w:fill="1F4E79"/>
          </w:tcPr>
          <w:p>
            <w:pPr>
              <w:spacing w:after="0"/>
              <w:rPr>
                <w:sz w:val="24"/>
                <w:szCs w:val="24"/>
                <w:color w:val="auto"/>
              </w:rPr>
            </w:pPr>
          </w:p>
        </w:tc>
      </w:tr>
      <w:tr>
        <w:trPr>
          <w:trHeight w:val="290"/>
        </w:trPr>
        <w:tc>
          <w:tcPr>
            <w:tcW w:w="2260" w:type="dxa"/>
            <w:vAlign w:val="bottom"/>
            <w:tcBorders>
              <w:left w:val="single" w:sz="8" w:color="auto"/>
              <w:bottom w:val="single" w:sz="8" w:color="auto"/>
              <w:right w:val="single" w:sz="8" w:color="auto"/>
            </w:tcBorders>
            <w:shd w:val="clear" w:color="auto" w:fill="1F4E79"/>
          </w:tcPr>
          <w:p>
            <w:pPr>
              <w:ind w:left="520"/>
              <w:spacing w:after="0"/>
              <w:rPr>
                <w:sz w:val="20"/>
                <w:szCs w:val="20"/>
                <w:color w:val="auto"/>
              </w:rPr>
            </w:pPr>
            <w:r>
              <w:rPr>
                <w:rFonts w:ascii="Arial" w:cs="Arial" w:eastAsia="Arial" w:hAnsi="Arial"/>
                <w:sz w:val="20"/>
                <w:szCs w:val="20"/>
                <w:b w:val="1"/>
                <w:bCs w:val="1"/>
                <w:color w:val="FFFFFF"/>
              </w:rPr>
              <w:t>OPBT by Qtr.</w:t>
            </w:r>
          </w:p>
        </w:tc>
        <w:tc>
          <w:tcPr>
            <w:tcW w:w="2920" w:type="dxa"/>
            <w:vAlign w:val="bottom"/>
            <w:tcBorders>
              <w:bottom w:val="single" w:sz="8" w:color="auto"/>
              <w:right w:val="single" w:sz="8" w:color="auto"/>
            </w:tcBorders>
            <w:shd w:val="clear" w:color="auto" w:fill="1F4E79"/>
          </w:tcPr>
          <w:p>
            <w:pPr>
              <w:jc w:val="center"/>
              <w:spacing w:after="0"/>
              <w:rPr>
                <w:sz w:val="20"/>
                <w:szCs w:val="20"/>
                <w:color w:val="auto"/>
              </w:rPr>
            </w:pPr>
            <w:r>
              <w:rPr>
                <w:rFonts w:ascii="Arial" w:cs="Arial" w:eastAsia="Arial" w:hAnsi="Arial"/>
                <w:sz w:val="20"/>
                <w:szCs w:val="20"/>
                <w:b w:val="1"/>
                <w:bCs w:val="1"/>
                <w:color w:val="FFFFFF"/>
                <w:w w:val="98"/>
              </w:rPr>
              <w:t>Payout Factor</w:t>
            </w:r>
          </w:p>
        </w:tc>
        <w:tc>
          <w:tcPr>
            <w:tcW w:w="36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shd w:val="clear" w:color="auto" w:fill="1F4E79"/>
          </w:tcPr>
          <w:p>
            <w:pPr>
              <w:ind w:left="820"/>
              <w:spacing w:after="0"/>
              <w:rPr>
                <w:sz w:val="20"/>
                <w:szCs w:val="20"/>
                <w:color w:val="auto"/>
              </w:rPr>
            </w:pPr>
            <w:r>
              <w:rPr>
                <w:rFonts w:ascii="Arial" w:cs="Arial" w:eastAsia="Arial" w:hAnsi="Arial"/>
                <w:sz w:val="20"/>
                <w:szCs w:val="20"/>
                <w:b w:val="1"/>
                <w:bCs w:val="1"/>
                <w:color w:val="FFFFFF"/>
              </w:rPr>
              <w:t>YTY Growth by Qtr.</w:t>
            </w:r>
          </w:p>
        </w:tc>
        <w:tc>
          <w:tcPr>
            <w:tcW w:w="2260" w:type="dxa"/>
            <w:vAlign w:val="bottom"/>
            <w:tcBorders>
              <w:bottom w:val="single" w:sz="8" w:color="auto"/>
              <w:right w:val="single" w:sz="8" w:color="auto"/>
            </w:tcBorders>
            <w:shd w:val="clear" w:color="auto" w:fill="1F4E79"/>
          </w:tcPr>
          <w:p>
            <w:pPr>
              <w:jc w:val="center"/>
              <w:spacing w:after="0"/>
              <w:rPr>
                <w:sz w:val="20"/>
                <w:szCs w:val="20"/>
                <w:color w:val="auto"/>
              </w:rPr>
            </w:pPr>
            <w:r>
              <w:rPr>
                <w:rFonts w:ascii="Arial" w:cs="Arial" w:eastAsia="Arial" w:hAnsi="Arial"/>
                <w:sz w:val="20"/>
                <w:szCs w:val="20"/>
                <w:b w:val="1"/>
                <w:bCs w:val="1"/>
                <w:color w:val="FFFFFF"/>
                <w:w w:val="98"/>
              </w:rPr>
              <w:t>Payout Factor</w:t>
            </w:r>
          </w:p>
        </w:tc>
      </w:tr>
      <w:tr>
        <w:trPr>
          <w:trHeight w:val="27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40.0 %</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36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0 %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0</w:t>
            </w:r>
          </w:p>
        </w:tc>
      </w:tr>
      <w:tr>
        <w:trPr>
          <w:trHeight w:val="165"/>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r>
      <w:tr>
        <w:trPr>
          <w:trHeight w:val="284"/>
        </w:trPr>
        <w:tc>
          <w:tcPr>
            <w:tcW w:w="226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w w:val="99"/>
              </w:rPr>
              <w:t>42.0 %</w:t>
            </w:r>
          </w:p>
        </w:tc>
        <w:tc>
          <w:tcPr>
            <w:tcW w:w="29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w w:val="96"/>
              </w:rPr>
              <w:t>1.0 x</w:t>
            </w:r>
          </w:p>
        </w:tc>
        <w:tc>
          <w:tcPr>
            <w:tcW w:w="36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rPr>
              <w:t>8.0 %</w:t>
            </w:r>
          </w:p>
        </w:tc>
        <w:tc>
          <w:tcPr>
            <w:tcW w:w="2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rPr>
              <w:t>1.0 x</w:t>
            </w:r>
          </w:p>
        </w:tc>
      </w:tr>
      <w:tr>
        <w:trPr>
          <w:trHeight w:val="29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45.0 %</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2.0 x</w:t>
            </w:r>
          </w:p>
        </w:tc>
        <w:tc>
          <w:tcPr>
            <w:tcW w:w="36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15.0 %</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 x</w:t>
            </w:r>
          </w:p>
        </w:tc>
      </w:tr>
      <w:tr>
        <w:trPr>
          <w:trHeight w:val="28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50.0 %</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3.0 x</w:t>
            </w:r>
          </w:p>
        </w:tc>
        <w:tc>
          <w:tcPr>
            <w:tcW w:w="36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 22%</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3.0 x</w:t>
            </w:r>
          </w:p>
        </w:tc>
      </w:tr>
      <w:tr>
        <w:trPr>
          <w:trHeight w:val="165"/>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54864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-8255</wp:posOffset>
            </wp:positionV>
            <wp:extent cx="8255" cy="54864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-299720</wp:posOffset>
            </wp:positionV>
            <wp:extent cx="23177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-496570</wp:posOffset>
            </wp:positionV>
            <wp:extent cx="23177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-694055</wp:posOffset>
            </wp:positionV>
            <wp:extent cx="23177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-985520</wp:posOffset>
            </wp:positionV>
            <wp:extent cx="23177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-1182370</wp:posOffset>
            </wp:positionV>
            <wp:extent cx="23177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If OPBT &lt;= 40% the entire bonus will pay at 0% regardless of revenue attainment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885"/>
        <w:spacing w:after="0" w:line="233" w:lineRule="auto"/>
        <w:tabs>
          <w:tab w:leader="none" w:pos="974" w:val="left"/>
        </w:tabs>
        <w:numPr>
          <w:ilvl w:val="0"/>
          <w:numId w:val="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order to facilitate a comparison of fiscal quarters for purposes of the revenue growth element of the plan, all 14-week quarters will be normalized to a 13-week quarter.</w:t>
      </w:r>
    </w:p>
    <w:p>
      <w:pPr>
        <w:spacing w:after="0" w:line="242" w:lineRule="exact"/>
        <w:rPr>
          <w:sz w:val="20"/>
          <w:szCs w:val="20"/>
          <w:color w:val="auto"/>
        </w:rPr>
      </w:pPr>
    </w:p>
    <w:p>
      <w:pPr>
        <w:ind w:right="140" w:firstLine="877"/>
        <w:spacing w:after="0" w:line="267" w:lineRule="auto"/>
        <w:rPr>
          <w:sz w:val="20"/>
          <w:szCs w:val="20"/>
          <w:color w:val="auto"/>
        </w:rPr>
      </w:pPr>
      <w:r>
        <w:rPr>
          <w:rFonts w:ascii="Times New Roman" w:cs="Times New Roman" w:eastAsia="Times New Roman" w:hAnsi="Times New Roman"/>
          <w:sz w:val="20"/>
          <w:szCs w:val="20"/>
          <w:color w:val="auto"/>
        </w:rPr>
        <w:t>The Bonus Payout Factor is determined quarterly and will be linearly interpolated between the values specified in the tables above. For example, if OPBT for a quarter is 43.5% of revenue (which would result in a Bonus Payout Factor of 150% for that element) and revenue growth for the quarter compared to the same quarter in the prior fiscal year was 4.0% (which would result in a Bonus Payout Factor of 50% for that element), then the Bonus Payout Factor for the quarter would be 100% which is the sum of 50% of the OPBT payout factor of 150% and 50% of the revenue growth payout factor of 50%. The Bonus Payout Factor is calculated in the same manner under the Company’s ADI Corporate Bonus Plan for all eligible employees.</w:t>
      </w:r>
    </w:p>
    <w:p>
      <w:pPr>
        <w:spacing w:after="0" w:line="206" w:lineRule="exact"/>
        <w:rPr>
          <w:sz w:val="20"/>
          <w:szCs w:val="20"/>
          <w:color w:val="auto"/>
        </w:rPr>
      </w:pPr>
    </w:p>
    <w:p>
      <w:pPr>
        <w:ind w:right="280" w:firstLine="877"/>
        <w:spacing w:after="0" w:line="282" w:lineRule="auto"/>
        <w:rPr>
          <w:sz w:val="20"/>
          <w:szCs w:val="20"/>
          <w:color w:val="auto"/>
        </w:rPr>
      </w:pPr>
      <w:r>
        <w:rPr>
          <w:rFonts w:ascii="Times New Roman" w:cs="Times New Roman" w:eastAsia="Times New Roman" w:hAnsi="Times New Roman"/>
          <w:sz w:val="20"/>
          <w:szCs w:val="20"/>
          <w:color w:val="auto"/>
        </w:rPr>
        <w:t>A participant’s bonus for a quarter shall be equal to the product obtained by multiplying a participant’s Bonus Target for the quarter by the Bonus Payout Factor for that quarter. Each participant’s Bonus Payment can range from zero to three times his or her Bonus Target.</w:t>
      </w:r>
    </w:p>
    <w:p>
      <w:pPr>
        <w:spacing w:after="0" w:line="175" w:lineRule="exact"/>
        <w:rPr>
          <w:sz w:val="20"/>
          <w:szCs w:val="20"/>
          <w:color w:val="auto"/>
        </w:rPr>
      </w:pPr>
    </w:p>
    <w:p>
      <w:pPr>
        <w:ind w:right="80" w:firstLine="8"/>
        <w:spacing w:after="0" w:line="258" w:lineRule="auto"/>
        <w:tabs>
          <w:tab w:leader="none" w:pos="39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ADI Executive Performance Incentive Plan is a discretionary plan, and the Compensation Committee reserves the right to modify it or reduce a Bonus Payout Factor (including the right not to make bonus payments at all) or terminate it at any time, with or without notice, subject to and in accordance with applicable local law. This Plan remains in effect until otherwise changed, amended, suspended, or terminated by the Company in accordance with applicable law.</w:t>
      </w:r>
    </w:p>
    <w:p>
      <w:pPr>
        <w:spacing w:after="0" w:line="212" w:lineRule="exact"/>
        <w:rPr>
          <w:rFonts w:ascii="Times New Roman" w:cs="Times New Roman" w:eastAsia="Times New Roman" w:hAnsi="Times New Roman"/>
          <w:sz w:val="20"/>
          <w:szCs w:val="20"/>
          <w:color w:val="auto"/>
        </w:rPr>
      </w:pPr>
    </w:p>
    <w:p>
      <w:pPr>
        <w:ind w:right="120" w:firstLine="453"/>
        <w:spacing w:after="0" w:line="269" w:lineRule="auto"/>
        <w:tabs>
          <w:tab w:leader="none" w:pos="643"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 payments, if any, under the ADI Executive Performance Incentive Plan will be calculated at the end of each fiscal quarter and distributed after the fiscal second quarter on or before June 30 and fiscal fourth quarter on or before December 31.</w:t>
      </w:r>
    </w:p>
    <w:p>
      <w:pPr>
        <w:sectPr>
          <w:pgSz w:w="11900" w:h="16838" w:orient="portrait"/>
          <w:cols w:equalWidth="0" w:num="1">
            <w:col w:w="11260"/>
          </w:cols>
          <w:pgMar w:left="320" w:top="1440" w:right="319" w:bottom="1440" w:gutter="0" w:footer="0" w:header="0"/>
        </w:sectPr>
      </w:pPr>
    </w:p>
    <w:bookmarkStart w:id="98" w:name="page99"/>
    <w:bookmarkEnd w:id="98"/>
    <w:p>
      <w:pPr>
        <w:ind w:left="-354" w:right="240" w:firstLine="453"/>
        <w:spacing w:after="0" w:line="261" w:lineRule="auto"/>
        <w:tabs>
          <w:tab w:leader="none" w:pos="289"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are eligible for a bonus payment if they are actively employed by the Company on the applicable bonus payment date. This means, any bonus payment is not earned until the payout date, which is determined by the Compensation Committee, at its sole discretion. Bonus payments, if any, are prorated based on start date.</w:t>
      </w:r>
    </w:p>
    <w:p>
      <w:pPr>
        <w:spacing w:after="0" w:line="208" w:lineRule="exact"/>
        <w:rPr>
          <w:rFonts w:ascii="Times New Roman" w:cs="Times New Roman" w:eastAsia="Times New Roman" w:hAnsi="Times New Roman"/>
          <w:sz w:val="20"/>
          <w:szCs w:val="20"/>
          <w:color w:val="auto"/>
        </w:rPr>
      </w:pPr>
    </w:p>
    <w:p>
      <w:pPr>
        <w:ind w:left="-354" w:firstLine="354"/>
        <w:spacing w:after="0" w:line="258" w:lineRule="auto"/>
        <w:tabs>
          <w:tab w:leader="none" w:pos="19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 participant of any payment under the Executive Performance Incentive Plan, the payment will be subject to recovery in accordance with such clawback policy.</w:t>
      </w:r>
    </w:p>
    <w:p>
      <w:pPr>
        <w:sectPr>
          <w:pgSz w:w="11900" w:h="16838" w:orient="portrait"/>
          <w:cols w:equalWidth="0" w:num="1">
            <w:col w:w="10866"/>
          </w:cols>
          <w:pgMar w:left="674" w:top="1413" w:right="3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7"/>
          <w:szCs w:val="17"/>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18"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7"/>
          <w:szCs w:val="17"/>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1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April 30, 2022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80"/>
        <w:spacing w:after="0"/>
        <w:tabs>
          <w:tab w:leader="none" w:pos="608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7"/>
          <w:szCs w:val="17"/>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6006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1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April 30, 2022 as filed with the Securities and Exchange Commission on the date hereof (the “Report”), the undersigned, Prashanth Mahendra-Rajah,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80"/>
        <w:spacing w:after="0"/>
        <w:tabs>
          <w:tab w:leader="none" w:pos="608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7"/>
          <w:szCs w:val="17"/>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6006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lowerLetter"/>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1)"/>
      <w:numFmt w:val="lowerLetter"/>
      <w:start w:val="1"/>
    </w:lvl>
  </w:abstractNum>
  <w:abstractNum w:abstractNumId="16">
    <w:nsid w:val="649BB77C"/>
    <w:multiLevelType w:val="hybridMultilevel"/>
    <w:lvl w:ilvl="0">
      <w:lvlJc w:val="left"/>
      <w:lvlText w:val="%1"/>
      <w:numFmt w:val="decimal"/>
      <w:start w:val="104"/>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lowerRoman"/>
      <w:start w:val="5"/>
    </w:lvl>
  </w:abstractNum>
  <w:abstractNum w:abstractNumId="22">
    <w:nsid w:val="47398C89"/>
    <w:multiLevelType w:val="hybridMultilevel"/>
    <w:lvl w:ilvl="0">
      <w:lvlJc w:val="left"/>
      <w:lvlText w:val="%1."/>
      <w:numFmt w:val="decimal"/>
      <w:start w:val="1"/>
    </w:lvl>
    <w:lvl w:ilvl="1">
      <w:lvlJc w:val="left"/>
      <w:lvlText w:val="(%2)"/>
      <w:numFmt w:val="lowerLetter"/>
      <w:start w:val="1"/>
    </w:lvl>
  </w:abstractNum>
  <w:abstractNum w:abstractNumId="23">
    <w:nsid w:val="354FE9F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15B5AF5C"/>
    <w:multiLevelType w:val="hybridMultilevel"/>
    <w:lvl w:ilvl="0">
      <w:lvlJc w:val="left"/>
      <w:lvlText w:val="%1."/>
      <w:numFmt w:val="decimal"/>
      <w:start w:val="7"/>
    </w:lvl>
    <w:lvl w:ilvl="1">
      <w:lvlJc w:val="left"/>
      <w:lvlText w:val="(%2)"/>
      <w:numFmt w:val="lowerLetter"/>
      <w:start w:val="1"/>
    </w:lvl>
  </w:abstractNum>
  <w:abstractNum w:abstractNumId="25">
    <w:nsid w:val="741226BB"/>
    <w:multiLevelType w:val="hybridMultilevel"/>
    <w:lvl w:ilvl="0">
      <w:lvlJc w:val="left"/>
      <w:lvlText w:val="(%1)"/>
      <w:numFmt w:val="lowerLetter"/>
      <w:start w:val="11"/>
    </w:lvl>
  </w:abstractNum>
  <w:abstractNum w:abstractNumId="26">
    <w:nsid w:val="D34B6A8"/>
    <w:multiLevelType w:val="hybridMultilevel"/>
    <w:lvl w:ilvl="0">
      <w:lvlJc w:val="left"/>
      <w:lvlText w:val="%1."/>
      <w:numFmt w:val="decimal"/>
      <w:start w:val="1"/>
    </w:lvl>
    <w:lvl w:ilvl="1">
      <w:lvlJc w:val="left"/>
      <w:lvlText w:val="(%2)"/>
      <w:numFmt w:val="lowerLetter"/>
      <w:start w:val="1"/>
    </w:lvl>
  </w:abstractNum>
  <w:abstractNum w:abstractNumId="27">
    <w:nsid w:val="10233C9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
    <w:nsid w:val="3F6AB60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
    <w:nsid w:val="7E0C57B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77AE35EB"/>
    <w:multiLevelType w:val="hybridMultilevel"/>
    <w:lvl w:ilvl="0">
      <w:lvlJc w:val="left"/>
      <w:lvlText w:val="(%1)"/>
      <w:numFmt w:val="lowerLetter"/>
      <w:start w:val="5"/>
    </w:lvl>
  </w:abstractNum>
  <w:abstractNum w:abstractNumId="32">
    <w:nsid w:val="579BE4F1"/>
    <w:multiLevelType w:val="hybridMultilevel"/>
    <w:lvl w:ilvl="0">
      <w:lvlJc w:val="left"/>
      <w:lvlText w:val="(%1)"/>
      <w:numFmt w:val="lowerLetter"/>
      <w:start w:val="18"/>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4"/>
    </w:lvl>
  </w:abstractNum>
  <w:abstractNum w:abstractNumId="35">
    <w:nsid w:val="2F305DEF"/>
    <w:multiLevelType w:val="hybridMultilevel"/>
    <w:lvl w:ilvl="0">
      <w:lvlJc w:val="left"/>
      <w:lvlText w:val="%1."/>
      <w:numFmt w:val="decimal"/>
      <w:start w:val="1"/>
    </w:lvl>
    <w:lvl w:ilvl="1">
      <w:lvlJc w:val="left"/>
      <w:lvlText w:val="(%2)"/>
      <w:numFmt w:val="lowerLetter"/>
      <w:start w:val="1"/>
    </w:lvl>
  </w:abstractNum>
  <w:abstractNum w:abstractNumId="36">
    <w:nsid w:val="25A70BF7"/>
    <w:multiLevelType w:val="hybridMultilevel"/>
    <w:lvl w:ilvl="0">
      <w:lvlJc w:val="left"/>
      <w:lvlText w:val="%1"/>
      <w:numFmt w:val="decimal"/>
      <w:start w:val="1"/>
    </w:lvl>
    <w:lvl w:ilvl="1">
      <w:lvlJc w:val="left"/>
      <w:lvlText w:val="(%2)"/>
      <w:numFmt w:val="lowerLetter"/>
      <w:start w:val="4"/>
    </w:lvl>
  </w:abstractNum>
  <w:abstractNum w:abstractNumId="37">
    <w:nsid w:val="1DBABF00"/>
    <w:multiLevelType w:val="hybridMultilevel"/>
    <w:lvl w:ilvl="0">
      <w:lvlJc w:val="left"/>
      <w:lvlText w:val="%1."/>
      <w:numFmt w:val="decimal"/>
      <w:start w:val="3"/>
    </w:lvl>
    <w:lvl w:ilvl="1">
      <w:lvlJc w:val="left"/>
      <w:lvlText w:val="(%2)"/>
      <w:numFmt w:val="lowerLetter"/>
      <w:start w:val="1"/>
    </w:lvl>
  </w:abstractNum>
  <w:abstractNum w:abstractNumId="38">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1F48EAA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
    <w:nsid w:val="1381823A"/>
    <w:multiLevelType w:val="hybridMultilevel"/>
    <w:lvl w:ilvl="0">
      <w:lvlJc w:val="left"/>
      <w:lvlText w:val="(%1)"/>
      <w:numFmt w:val="lowerLetter"/>
      <w:start w:val="3"/>
    </w:lvl>
  </w:abstractNum>
  <w:abstractNum w:abstractNumId="41">
    <w:nsid w:val="5DB70AE5"/>
    <w:multiLevelType w:val="hybridMultilevel"/>
    <w:lvl w:ilvl="0">
      <w:lvlJc w:val="left"/>
      <w:lvlText w:val="(%1)"/>
      <w:numFmt w:val="lowerLetter"/>
      <w:start w:val="14"/>
    </w:lvl>
  </w:abstractNum>
  <w:abstractNum w:abstractNumId="42">
    <w:nsid w:val="100F8FCA"/>
    <w:multiLevelType w:val="hybridMultilevel"/>
    <w:lvl w:ilvl="0">
      <w:lvlJc w:val="left"/>
      <w:lvlText w:val="(%1)"/>
      <w:numFmt w:val="lowerLetter"/>
      <w:start w:val="25"/>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6"/>
    </w:lvl>
  </w:abstractNum>
  <w:abstractNum w:abstractNumId="46">
    <w:nsid w:val="98A3148"/>
    <w:multiLevelType w:val="hybridMultilevel"/>
    <w:lvl w:ilvl="0">
      <w:lvlJc w:val="left"/>
      <w:lvlText w:val="(%1)"/>
      <w:numFmt w:val="decimal"/>
      <w:start w:val="3"/>
    </w:lvl>
  </w:abstractNum>
  <w:abstractNum w:abstractNumId="47">
    <w:nsid w:val="799D0247"/>
    <w:multiLevelType w:val="hybridMultilevel"/>
    <w:lvl w:ilvl="0">
      <w:lvlJc w:val="left"/>
      <w:lvlText w:val="%1."/>
      <w:numFmt w:val="decimal"/>
      <w:start w:val="1"/>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decimal"/>
      <w:start w:val="4"/>
    </w:lvl>
  </w:abstractNum>
  <w:abstractNum w:abstractNumId="50">
    <w:nsid w:val="168E121F"/>
    <w:multiLevelType w:val="hybridMultilevel"/>
    <w:lvl w:ilvl="0">
      <w:lvlJc w:val="left"/>
      <w:lvlText w:val="%1."/>
      <w:numFmt w:val="decimal"/>
      <w:start w:val="6"/>
    </w:lvl>
  </w:abstractNum>
  <w:abstractNum w:abstractNumId="51">
    <w:nsid w:val="1EBA5D23"/>
    <w:multiLevelType w:val="hybridMultilevel"/>
    <w:lvl w:ilvl="0">
      <w:lvlJc w:val="left"/>
      <w:lvlText w:val="%1."/>
      <w:numFmt w:val="decimal"/>
      <w:start w:val="7"/>
    </w:lvl>
  </w:abstractNum>
  <w:abstractNum w:abstractNumId="52">
    <w:nsid w:val="661E3F1E"/>
    <w:multiLevelType w:val="hybridMultilevel"/>
    <w:lvl w:ilvl="0">
      <w:lvlJc w:val="left"/>
      <w:lvlText w:val="(%1)"/>
      <w:numFmt w:val="lowerLetter"/>
      <w:start w:val="2"/>
    </w:lvl>
  </w:abstractNum>
  <w:abstractNum w:abstractNumId="53">
    <w:nsid w:val="5DC79EA8"/>
    <w:multiLevelType w:val="hybridMultilevel"/>
    <w:lvl w:ilvl="0">
      <w:lvlJc w:val="left"/>
      <w:lvlText w:val="(%1)"/>
      <w:numFmt w:val="lowerLetter"/>
      <w:start w:val="3"/>
    </w:lvl>
  </w:abstractNum>
  <w:abstractNum w:abstractNumId="54">
    <w:nsid w:val="540A471C"/>
    <w:multiLevelType w:val="hybridMultilevel"/>
    <w:lvl w:ilvl="0">
      <w:lvlJc w:val="left"/>
      <w:lvlText w:val="(%1)"/>
      <w:numFmt w:val="lowerLetter"/>
      <w:start w:val="5"/>
    </w:lvl>
  </w:abstractNum>
  <w:abstractNum w:abstractNumId="55">
    <w:nsid w:val="7BD3EE7B"/>
    <w:multiLevelType w:val="hybridMultilevel"/>
    <w:lvl w:ilvl="0">
      <w:lvlJc w:val="left"/>
      <w:lvlText w:val="%1."/>
      <w:numFmt w:val="decimal"/>
      <w:start w:val="8"/>
    </w:lvl>
  </w:abstractNum>
  <w:abstractNum w:abstractNumId="56">
    <w:nsid w:val="51D9C564"/>
    <w:multiLevelType w:val="hybridMultilevel"/>
    <w:lvl w:ilvl="0">
      <w:lvlJc w:val="left"/>
      <w:lvlText w:val="%1."/>
      <w:numFmt w:val="decimal"/>
      <w:start w:val="9"/>
    </w:lvl>
  </w:abstractNum>
  <w:abstractNum w:abstractNumId="57">
    <w:nsid w:val="613EFDC5"/>
    <w:multiLevelType w:val="hybridMultilevel"/>
    <w:lvl w:ilvl="0">
      <w:lvlJc w:val="left"/>
      <w:lvlText w:val="(%1)"/>
      <w:numFmt w:val="lowerRoman"/>
      <w:start w:val="1"/>
    </w:lvl>
  </w:abstractNum>
  <w:abstractNum w:abstractNumId="58">
    <w:nsid w:val="BF72B14"/>
    <w:multiLevelType w:val="hybridMultilevel"/>
    <w:lvl w:ilvl="0">
      <w:lvlJc w:val="left"/>
      <w:lvlText w:val="(%1)"/>
      <w:numFmt w:val="lowerRoman"/>
      <w:start w:val="1"/>
    </w:lvl>
  </w:abstractNum>
  <w:abstractNum w:abstractNumId="59">
    <w:nsid w:val="11447B73"/>
    <w:multiLevelType w:val="hybridMultilevel"/>
    <w:lvl w:ilvl="0">
      <w:lvlJc w:val="left"/>
      <w:lvlText w:val="(%1)"/>
      <w:numFmt w:val="lowerLetter"/>
      <w:start w:val="4"/>
    </w:lvl>
  </w:abstractNum>
  <w:abstractNum w:abstractNumId="60">
    <w:nsid w:val="42963E5A"/>
    <w:multiLevelType w:val="hybridMultilevel"/>
    <w:lvl w:ilvl="0">
      <w:lvlJc w:val="left"/>
      <w:lvlText w:val="(%1)"/>
      <w:numFmt w:val="lowerLetter"/>
      <w:start w:val="5"/>
    </w:lvl>
  </w:abstractNum>
  <w:abstractNum w:abstractNumId="61">
    <w:nsid w:val="A0382C5"/>
    <w:multiLevelType w:val="hybridMultilevel"/>
    <w:lvl w:ilvl="0">
      <w:lvlJc w:val="left"/>
      <w:lvlText w:val="(%1)"/>
      <w:numFmt w:val="lowerLetter"/>
      <w:start w:val="6"/>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1."/>
      <w:numFmt w:val="decimal"/>
      <w:start w:val="4"/>
    </w:lvl>
  </w:abstractNum>
  <w:abstractNum w:abstractNumId="64">
    <w:nsid w:val="3B0FD379"/>
    <w:multiLevelType w:val="hybridMultilevel"/>
    <w:lvl w:ilvl="0">
      <w:lvlJc w:val="left"/>
      <w:lvlText w:val="%1."/>
      <w:numFmt w:val="decimal"/>
      <w:start w:val="6"/>
    </w:lvl>
  </w:abstractNum>
  <w:abstractNum w:abstractNumId="65">
    <w:nsid w:val="68EB2F63"/>
    <w:multiLevelType w:val="hybridMultilevel"/>
    <w:lvl w:ilvl="0">
      <w:lvlJc w:val="left"/>
      <w:lvlText w:val="%1."/>
      <w:numFmt w:val="decimal"/>
      <w:start w:val="7"/>
    </w:lvl>
  </w:abstractNum>
  <w:abstractNum w:abstractNumId="66">
    <w:nsid w:val="4962813B"/>
    <w:multiLevelType w:val="hybridMultilevel"/>
    <w:lvl w:ilvl="0">
      <w:lvlJc w:val="left"/>
      <w:lvlText w:val="%1."/>
      <w:numFmt w:val="decimal"/>
      <w:start w:val="3"/>
    </w:lvl>
  </w:abstractNum>
  <w:abstractNum w:abstractNumId="67">
    <w:nsid w:val="60B6DF70"/>
    <w:multiLevelType w:val="hybridMultilevel"/>
    <w:lvl w:ilvl="0">
      <w:lvlJc w:val="left"/>
      <w:lvlText w:val="%1."/>
      <w:numFmt w:val="decimal"/>
      <w:start w:val="4"/>
    </w:lvl>
  </w:abstractNum>
  <w:abstractNum w:abstractNumId="68">
    <w:nsid w:val="6A5EE64"/>
    <w:multiLevelType w:val="hybridMultilevel"/>
    <w:lvl w:ilvl="0">
      <w:lvlJc w:val="left"/>
      <w:lvlText w:val="%1."/>
      <w:numFmt w:val="decimal"/>
      <w:start w:val="5"/>
    </w:lvl>
  </w:abstractNum>
  <w:abstractNum w:abstractNumId="69">
    <w:nsid w:val="14330624"/>
    <w:multiLevelType w:val="hybridMultilevel"/>
    <w:lvl w:ilvl="0">
      <w:lvlJc w:val="left"/>
      <w:lvlText w:val="%1."/>
      <w:numFmt w:val="decimal"/>
      <w:start w:val="6"/>
    </w:lvl>
  </w:abstractNum>
  <w:abstractNum w:abstractNumId="70">
    <w:nsid w:val="7FFFCA11"/>
    <w:multiLevelType w:val="hybridMultilevel"/>
    <w:lvl w:ilvl="0">
      <w:lvlJc w:val="left"/>
      <w:lvlText w:val="%1."/>
      <w:numFmt w:val="decimal"/>
      <w:start w:val="7"/>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upperLetter"/>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5">
    <w:nsid w:val="6EB5BD4"/>
    <w:multiLevelType w:val="hybridMultilevel"/>
    <w:lvl w:ilvl="0">
      <w:lvlJc w:val="left"/>
      <w:lvlText w:val="%1."/>
      <w:numFmt w:val="decimal"/>
      <w:start w:val="2"/>
    </w:lvl>
  </w:abstractNum>
  <w:abstractNum w:abstractNumId="76">
    <w:nsid w:val="6F6DD9AC"/>
    <w:multiLevelType w:val="hybridMultilevel"/>
    <w:lvl w:ilvl="0">
      <w:lvlJc w:val="left"/>
      <w:lvlText w:val="%1."/>
      <w:numFmt w:val="decimal"/>
      <w:start w:val="3"/>
    </w:lvl>
  </w:abstractNum>
  <w:abstractNum w:abstractNumId="77">
    <w:nsid w:val="94211F2"/>
    <w:multiLevelType w:val="hybridMultilevel"/>
    <w:lvl w:ilvl="0">
      <w:lvlJc w:val="left"/>
      <w:lvlText w:val="(%1)"/>
      <w:numFmt w:val="lowerRoman"/>
      <w:start w:val="1"/>
    </w:lvl>
  </w:abstractNum>
  <w:abstractNum w:abstractNumId="78">
    <w:nsid w:val="885E1B"/>
    <w:multiLevelType w:val="hybridMultilevel"/>
    <w:lvl w:ilvl="0">
      <w:lvlJc w:val="left"/>
      <w:lvlText w:val="%1."/>
      <w:numFmt w:val="decimal"/>
      <w:start w:val="4"/>
    </w:lvl>
  </w:abstractNum>
  <w:abstractNum w:abstractNumId="79">
    <w:nsid w:val="76272110"/>
    <w:multiLevelType w:val="hybridMultilevel"/>
    <w:lvl w:ilvl="0">
      <w:lvlJc w:val="left"/>
      <w:lvlText w:val="(%1)"/>
      <w:numFmt w:val="lowerRoman"/>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lvl w:ilvl="1">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85">
    <w:nsid w:val="68EBC550"/>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86">
    <w:nsid w:val="2DF6D648"/>
    <w:multiLevelType w:val="hybridMultilevel"/>
    <w:lvl w:ilvl="0">
      <w:lvlJc w:val="left"/>
      <w:lvlText w:val="1"/>
      <w:numFmt w:val="bullet"/>
      <w:start w:val="1"/>
    </w:lvl>
  </w:abstractNum>
  <w:abstractNum w:abstractNumId="87">
    <w:nsid w:val="46B7D447"/>
    <w:multiLevelType w:val="hybridMultilevel"/>
    <w:lvl w:ilvl="0">
      <w:lvlJc w:val="left"/>
      <w:lvlText w:val="%1."/>
      <w:numFmt w:val="decimal"/>
      <w:start w:val="3"/>
    </w:lvl>
    <w:lvl w:ilvl="1">
      <w:lvlJc w:val="left"/>
      <w:lvlText w:val="%2."/>
      <w:numFmt w:val="decimal"/>
      <w:start w:val="4"/>
    </w:lvl>
  </w:abstractNum>
  <w:abstractNum w:abstractNumId="88">
    <w:nsid w:val="4A2AC315"/>
    <w:multiLevelType w:val="hybridMultilevel"/>
    <w:lvl w:ilvl="0">
      <w:lvlJc w:val="left"/>
      <w:lvlText w:val="%1"/>
      <w:numFmt w:val="decimal"/>
      <w:start w:val="1"/>
    </w:lvl>
    <w:lvl w:ilvl="1">
      <w:lvlJc w:val="left"/>
      <w:lvlText w:val="%2."/>
      <w:numFmt w:val="decimal"/>
      <w:start w:val="5"/>
    </w:lvl>
  </w:abstractNum>
  <w:abstractNum w:abstractNumId="89">
    <w:nsid w:val="39EE015C"/>
    <w:multiLevelType w:val="hybridMultilevel"/>
    <w:lvl w:ilvl="0">
      <w:lvlJc w:val="left"/>
      <w:lvlText w:val="%1."/>
      <w:numFmt w:val="decimal"/>
      <w:start w:val="6"/>
    </w:lvl>
    <w:lvl w:ilvl="1">
      <w:lvlJc w:val="left"/>
      <w:lvlText w:val="%2"/>
      <w:numFmt w:val="decimal"/>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jpe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jpe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jpeg"/><Relationship Id="rId1028" Type="http://schemas.openxmlformats.org/officeDocument/2006/relationships/image" Target="media/image1020.jpeg"/><Relationship Id="rId1029" Type="http://schemas.openxmlformats.org/officeDocument/2006/relationships/image" Target="media/image1021.jpeg"/><Relationship Id="rId1030" Type="http://schemas.openxmlformats.org/officeDocument/2006/relationships/image" Target="media/image1022.jpeg"/><Relationship Id="rId1031" Type="http://schemas.openxmlformats.org/officeDocument/2006/relationships/image" Target="media/image1023.jpeg"/><Relationship Id="rId1032" Type="http://schemas.openxmlformats.org/officeDocument/2006/relationships/image" Target="media/image1024.jpeg"/><Relationship Id="rId1033" Type="http://schemas.openxmlformats.org/officeDocument/2006/relationships/image" Target="media/image1025.jpeg"/><Relationship Id="rId1034" Type="http://schemas.openxmlformats.org/officeDocument/2006/relationships/image" Target="media/image1026.jpeg"/><Relationship Id="rId1035" Type="http://schemas.openxmlformats.org/officeDocument/2006/relationships/image" Target="media/image1027.jpeg"/><Relationship Id="rId1036" Type="http://schemas.openxmlformats.org/officeDocument/2006/relationships/image" Target="media/image1028.jpeg"/><Relationship Id="rId1037" Type="http://schemas.openxmlformats.org/officeDocument/2006/relationships/image" Target="media/image1029.jpeg"/><Relationship Id="rId1038" Type="http://schemas.openxmlformats.org/officeDocument/2006/relationships/image" Target="media/image1030.jpeg"/><Relationship Id="rId1039" Type="http://schemas.openxmlformats.org/officeDocument/2006/relationships/image" Target="media/image1031.jpeg"/><Relationship Id="rId1040" Type="http://schemas.openxmlformats.org/officeDocument/2006/relationships/image" Target="media/image1032.jpeg"/><Relationship Id="rId1041" Type="http://schemas.openxmlformats.org/officeDocument/2006/relationships/image" Target="media/image1033.jpeg"/><Relationship Id="rId1042" Type="http://schemas.openxmlformats.org/officeDocument/2006/relationships/image" Target="media/image1034.jpeg"/><Relationship Id="rId1043" Type="http://schemas.openxmlformats.org/officeDocument/2006/relationships/image" Target="media/image1035.png"/><Relationship Id="rId1044" Type="http://schemas.openxmlformats.org/officeDocument/2006/relationships/image" Target="media/image1036.jpeg"/><Relationship Id="rId1045" Type="http://schemas.openxmlformats.org/officeDocument/2006/relationships/image" Target="media/image1037.jpeg"/><Relationship Id="rId1046" Type="http://schemas.openxmlformats.org/officeDocument/2006/relationships/image" Target="media/image1038.jpeg"/><Relationship Id="rId1047" Type="http://schemas.openxmlformats.org/officeDocument/2006/relationships/image" Target="media/image1039.png"/><Relationship Id="rId1048" Type="http://schemas.openxmlformats.org/officeDocument/2006/relationships/image" Target="media/image1040.jpeg"/><Relationship Id="rId1049" Type="http://schemas.openxmlformats.org/officeDocument/2006/relationships/image" Target="media/image1041.jpeg"/><Relationship Id="rId1050" Type="http://schemas.openxmlformats.org/officeDocument/2006/relationships/image" Target="media/image1042.jpeg"/><Relationship Id="rId1051" Type="http://schemas.openxmlformats.org/officeDocument/2006/relationships/image" Target="media/image1043.jpeg"/><Relationship Id="rId1052" Type="http://schemas.openxmlformats.org/officeDocument/2006/relationships/image" Target="media/image1044.jpeg"/><Relationship Id="rId1053" Type="http://schemas.openxmlformats.org/officeDocument/2006/relationships/image" Target="media/image1045.jpeg"/><Relationship Id="rId1054" Type="http://schemas.openxmlformats.org/officeDocument/2006/relationships/image" Target="media/image1046.jpeg"/><Relationship Id="rId1055" Type="http://schemas.openxmlformats.org/officeDocument/2006/relationships/image" Target="media/image1047.png"/><Relationship Id="rId1056" Type="http://schemas.openxmlformats.org/officeDocument/2006/relationships/image" Target="media/image1048.jpe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63" Type="http://schemas.openxmlformats.org/officeDocument/2006/relationships/hyperlink" Target="http://www.sec.gov/Archives/edgar/data/0000006281/000119312522014360/d242738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2022-05-18T06:10:29Z</dcterms:created>
  <dcterms:modified xsi:type="dcterms:W3CDTF">2022-05-18T06:10:29Z</dcterms:modified>
</cp:coreProperties>
</file>