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346465.xml.htm"/>
      <w:bookmarkStart w:id="1" w:name="kswkform4_17733464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Frank Edward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ANALOG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7"/>
        <w:gridCol w:w="904"/>
        <w:gridCol w:w="773"/>
        <w:gridCol w:w="601"/>
        <w:gridCol w:w="354"/>
        <w:gridCol w:w="823"/>
        <w:gridCol w:w="468"/>
        <w:gridCol w:w="631"/>
        <w:gridCol w:w="1187"/>
        <w:gridCol w:w="1015"/>
        <w:gridCol w:w="10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747</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5,865</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Naomi Mantor Frank 2015 Heritage Trust</w:t>
            </w:r>
          </w:p>
        </w:tc>
      </w:tr>
      <w:tr>
        <w:trPr/>
        <w:tc>
          <w:tcPr>
            <w:tcW w:w="24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Whitton Anne Frank 2015 Heritage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grant to non-employee director of Restricted Stock Units (RSUs) that vest 100% on the earlier of March 11, 2027 or the date of the Company's next Annual Meeting of Shareholders. Upon the vesting date, each vested RSU shall automatically convert into one (1) share of common stock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9827"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3433</Characters>
  <CharactersWithSpaces>4011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