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20"/>
        <w:spacing w:after="0"/>
        <w:rPr>
          <w:sz w:val="20"/>
          <w:szCs w:val="20"/>
          <w:color w:val="auto"/>
        </w:rPr>
      </w:pPr>
      <w:r>
        <w:rPr>
          <w:rFonts w:ascii="Times New Roman" w:cs="Times New Roman" w:eastAsia="Times New Roman" w:hAnsi="Times New Roman"/>
          <w:sz w:val="25"/>
          <w:szCs w:val="25"/>
          <w:b w:val="1"/>
          <w:bCs w:val="1"/>
          <w:color w:val="auto"/>
        </w:rPr>
        <w:t>_________________________________________________________________________</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21, 2024</w:t>
      </w:r>
    </w:p>
    <w:p>
      <w:pPr>
        <w:spacing w:after="0" w:line="31"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ectPr>
          <w:pgSz w:w="11900" w:h="16838" w:orient="portrait"/>
          <w:cols w:equalWidth="0" w:num="1">
            <w:col w:w="11240"/>
          </w:cols>
          <w:pgMar w:left="320" w:top="1029" w:right="339" w:bottom="1440" w:gutter="0" w:footer="0" w:header="0"/>
        </w:sectPr>
      </w:pPr>
    </w:p>
    <w:p>
      <w:pPr>
        <w:spacing w:after="0" w:line="50"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w:t>
      </w:r>
    </w:p>
    <w:p>
      <w:pPr>
        <w:ind w:left="1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1-7819</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ind w:left="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04-2348234</w:t>
      </w:r>
    </w:p>
    <w:p>
      <w:pPr>
        <w:spacing w:after="0" w:line="2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31" w:lineRule="exact"/>
        <w:rPr>
          <w:sz w:val="24"/>
          <w:szCs w:val="24"/>
          <w:color w:val="auto"/>
        </w:rPr>
      </w:pPr>
    </w:p>
    <w:p>
      <w:pPr>
        <w:sectPr>
          <w:pgSz w:w="11900" w:h="16838" w:orient="portrait"/>
          <w:cols w:equalWidth="0" w:num="3">
            <w:col w:w="4400" w:space="720"/>
            <w:col w:w="2960" w:space="720"/>
            <w:col w:w="2440"/>
          </w:cols>
          <w:pgMar w:left="320" w:top="1029" w:right="33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7"/>
          <w:szCs w:val="17"/>
          <w:b w:val="1"/>
          <w:bCs w:val="1"/>
          <w:color w:val="auto"/>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Wilmington,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sectPr>
          <w:pgSz w:w="11900" w:h="16838" w:orient="portrait"/>
          <w:cols w:equalWidth="0" w:num="3">
            <w:col w:w="1940" w:space="340"/>
            <w:col w:w="4860" w:space="720"/>
            <w:col w:w="3380"/>
          </w:cols>
          <w:pgMar w:left="320" w:top="1029"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95" w:lineRule="exact"/>
        <w:rPr>
          <w:sz w:val="24"/>
          <w:szCs w:val="24"/>
          <w:color w:val="auto"/>
        </w:rPr>
      </w:pPr>
    </w:p>
    <w:p>
      <w:pPr>
        <w:sectPr>
          <w:pgSz w:w="11900" w:h="16838" w:orient="portrait"/>
          <w:cols w:equalWidth="0" w:num="2">
            <w:col w:w="6980" w:space="720"/>
            <w:col w:w="3540"/>
          </w:cols>
          <w:pgMar w:left="320" w:top="1029" w:right="339" w:bottom="1440" w:gutter="0" w:footer="0" w:header="0"/>
          <w:type w:val="continuous"/>
        </w:sect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935-5565</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56"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rPr>
      </w:pPr>
    </w:p>
    <w:p>
      <w:pPr>
        <w:ind w:left="380" w:hanging="372"/>
        <w:spacing w:after="0" w:line="237"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3"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2"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68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10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c>
          <w:tcPr>
            <w:tcW w:w="0" w:type="dxa"/>
            <w:vAlign w:val="bottom"/>
          </w:tcPr>
          <w:p>
            <w:pPr>
              <w:spacing w:after="0"/>
              <w:rPr>
                <w:sz w:val="1"/>
                <w:szCs w:val="1"/>
                <w:color w:val="auto"/>
              </w:rPr>
            </w:pPr>
          </w:p>
        </w:tc>
      </w:tr>
      <w:tr>
        <w:trPr>
          <w:trHeight w:val="234"/>
        </w:trPr>
        <w:tc>
          <w:tcPr>
            <w:tcW w:w="4680" w:type="dxa"/>
            <w:vAlign w:val="bottom"/>
            <w:vMerge w:val="continue"/>
          </w:tcPr>
          <w:p>
            <w:pPr>
              <w:spacing w:after="0"/>
              <w:rPr>
                <w:sz w:val="20"/>
                <w:szCs w:val="20"/>
                <w:color w:val="auto"/>
              </w:rPr>
            </w:pPr>
          </w:p>
        </w:tc>
        <w:tc>
          <w:tcPr>
            <w:tcW w:w="22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10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34"/>
        </w:trPr>
        <w:tc>
          <w:tcPr>
            <w:tcW w:w="4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Common Stock $0.16 2/3 par value per share</w:t>
            </w:r>
          </w:p>
        </w:tc>
        <w:tc>
          <w:tcPr>
            <w:tcW w:w="22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ADI</w:t>
            </w:r>
          </w:p>
        </w:tc>
        <w:tc>
          <w:tcPr>
            <w:tcW w:w="31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319"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40"/>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251" w:lineRule="exact"/>
        <w:rPr>
          <w:sz w:val="24"/>
          <w:szCs w:val="24"/>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0205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0205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94"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On August 21, 2024, Analog Devices, Inc. (the “Registrant”) announced its financial results for its fiscal third quarter ended August 3, 2024. The full text of the press release issued by the Registrant concerning the foregoing results is furnished herewith as Exhibit 99.1.</w:t>
      </w:r>
    </w:p>
    <w:p>
      <w:pPr>
        <w:spacing w:after="0" w:line="40" w:lineRule="exact"/>
        <w:rPr>
          <w:sz w:val="20"/>
          <w:szCs w:val="20"/>
          <w:color w:val="auto"/>
        </w:rPr>
      </w:pPr>
    </w:p>
    <w:p>
      <w:pPr>
        <w:ind w:right="380" w:firstLine="405"/>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and in the accompanying Exhibit 99.1 shall not be incorporated by reference into any filing of the Registrant, whether made before or after the date hereof, regardless of any general incorporation language in such filing, unless expressly incorporated by specific reference to such filing. The information in this Item 2.02, including Exhibit 99.1, shall not be deemed to be “filed” for purposes of Section 18 of the Securities Exchange Act of 1934, as amended, or otherwise subject to the liabilities of that section or Sections 11 and 12(a)(2) of the Securities Act of 1933, as amended.</w:t>
      </w:r>
    </w:p>
    <w:p>
      <w:pPr>
        <w:spacing w:after="0" w:line="38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8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99.1</w:t>
            </w:r>
          </w:p>
        </w:tc>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Press release dated August 21, 2024.</w:t>
            </w:r>
          </w:p>
        </w:tc>
      </w:tr>
      <w:tr>
        <w:trPr>
          <w:trHeight w:val="20"/>
        </w:trPr>
        <w:tc>
          <w:tcPr>
            <w:tcW w:w="1880" w:type="dxa"/>
            <w:vAlign w:val="bottom"/>
            <w:gridSpan w:val="3"/>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250"/>
        </w:trPr>
        <w:tc>
          <w:tcPr>
            <w:tcW w:w="188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104</w:t>
            </w:r>
          </w:p>
        </w:tc>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303"/>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color w:val="auto"/>
        </w:rPr>
        <w:t>SIGNATURE</w:t>
      </w:r>
    </w:p>
    <w:p>
      <w:pPr>
        <w:spacing w:after="0" w:line="9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21, 2024</w:t>
            </w:r>
          </w:p>
        </w:tc>
        <w:tc>
          <w:tcPr>
            <w:tcW w:w="572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18"/>
        </w:trPr>
        <w:tc>
          <w:tcPr>
            <w:tcW w:w="3860" w:type="dxa"/>
            <w:vAlign w:val="bottom"/>
          </w:tcPr>
          <w:p>
            <w:pPr>
              <w:spacing w:after="0"/>
              <w:rPr>
                <w:sz w:val="24"/>
                <w:szCs w:val="24"/>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Janene I. Asgeirsson</w:t>
            </w:r>
          </w:p>
        </w:tc>
      </w:tr>
      <w:tr>
        <w:trPr>
          <w:trHeight w:val="228"/>
        </w:trPr>
        <w:tc>
          <w:tcPr>
            <w:tcW w:w="38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Janene I. Asgeirsson</w:t>
            </w:r>
          </w:p>
        </w:tc>
      </w:tr>
    </w:tbl>
    <w:p>
      <w:pPr>
        <w:ind w:left="6500"/>
        <w:spacing w:after="0" w:line="231" w:lineRule="auto"/>
        <w:rPr>
          <w:sz w:val="20"/>
          <w:szCs w:val="20"/>
          <w:color w:val="auto"/>
        </w:rPr>
      </w:pPr>
      <w:r>
        <w:rPr>
          <w:rFonts w:ascii="Times New Roman" w:cs="Times New Roman" w:eastAsia="Times New Roman" w:hAnsi="Times New Roman"/>
          <w:sz w:val="18"/>
          <w:szCs w:val="18"/>
          <w:color w:val="auto"/>
        </w:rPr>
        <w:t>Senior Vice President, Chief Legal Officer</w:t>
      </w:r>
    </w:p>
    <w:p>
      <w:pPr>
        <w:ind w:left="6500"/>
        <w:spacing w:after="0"/>
        <w:rPr>
          <w:sz w:val="20"/>
          <w:szCs w:val="20"/>
          <w:color w:val="auto"/>
        </w:rPr>
      </w:pPr>
      <w:r>
        <w:rPr>
          <w:rFonts w:ascii="Times New Roman" w:cs="Times New Roman" w:eastAsia="Times New Roman" w:hAnsi="Times New Roman"/>
          <w:sz w:val="18"/>
          <w:szCs w:val="18"/>
          <w:color w:val="auto"/>
        </w:rPr>
        <w:t>and Corporate Secretary</w:t>
      </w:r>
    </w:p>
    <w:p>
      <w:pPr>
        <w:sectPr>
          <w:pgSz w:w="11900" w:h="16838" w:orient="portrait"/>
          <w:cols w:equalWidth="0" w:num="1">
            <w:col w:w="10980"/>
          </w:cols>
          <w:pgMar w:left="320" w:top="985" w:right="5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Analog Devices Reports Fiscal Third Quarter 2024 Financial Results</w:t>
      </w:r>
    </w:p>
    <w:p>
      <w:pPr>
        <w:spacing w:after="0" w:line="75" w:lineRule="exact"/>
        <w:rPr>
          <w:sz w:val="20"/>
          <w:szCs w:val="20"/>
          <w:color w:val="auto"/>
        </w:rPr>
      </w:pPr>
    </w:p>
    <w:p>
      <w:pPr>
        <w:ind w:left="660" w:right="840" w:hanging="328"/>
        <w:spacing w:after="0" w:line="281"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22"/>
          <w:szCs w:val="22"/>
          <w:color w:val="auto"/>
        </w:rPr>
        <w:t>Revenue of $2.31 billion, above the midpoint of our outlook with sequential growth in Industrial, Consumer, and Communications</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cash flow of $4.0 billion and free cash flow of $2.9 billion on a trailing twelve-month basis</w:t>
      </w:r>
    </w:p>
    <w:p>
      <w:pPr>
        <w:spacing w:after="0" w:line="84"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2"/>
          <w:szCs w:val="22"/>
          <w:color w:val="auto"/>
        </w:rPr>
        <w:t>Returned $574 million to shareholders through dividends and repurchases in the third quarter</w:t>
      </w:r>
    </w:p>
    <w:p>
      <w:pPr>
        <w:spacing w:after="0" w:line="162" w:lineRule="exact"/>
        <w:rPr>
          <w:sz w:val="20"/>
          <w:szCs w:val="20"/>
          <w:color w:val="auto"/>
        </w:rPr>
      </w:pPr>
    </w:p>
    <w:p>
      <w:pPr>
        <w:ind w:right="860"/>
        <w:spacing w:after="0" w:line="275" w:lineRule="auto"/>
        <w:rPr>
          <w:sz w:val="20"/>
          <w:szCs w:val="20"/>
          <w:color w:val="auto"/>
        </w:rPr>
      </w:pPr>
      <w:r>
        <w:rPr>
          <w:rFonts w:ascii="Times New Roman" w:cs="Times New Roman" w:eastAsia="Times New Roman" w:hAnsi="Times New Roman"/>
          <w:sz w:val="22"/>
          <w:szCs w:val="22"/>
          <w:b w:val="1"/>
          <w:bCs w:val="1"/>
          <w:color w:val="auto"/>
        </w:rPr>
        <w:t>WILMINGTON, Mass.--August 21, 2024</w:t>
      </w:r>
      <w:r>
        <w:rPr>
          <w:rFonts w:ascii="Times New Roman" w:cs="Times New Roman" w:eastAsia="Times New Roman" w:hAnsi="Times New Roman"/>
          <w:sz w:val="22"/>
          <w:szCs w:val="22"/>
          <w:color w:val="auto"/>
        </w:rPr>
        <w:t>--Analog Devices, Inc. (Nasdaq: ADI), a global semiconductor leader, today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announced financial results for its fiscal third quarter 2024, which ended August 3, 2024.</w:t>
      </w:r>
    </w:p>
    <w:p>
      <w:pPr>
        <w:spacing w:after="0" w:line="7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21"/>
          <w:szCs w:val="21"/>
          <w:color w:val="auto"/>
        </w:rPr>
        <w:t>“ADI’s revenue finished above our guided midpoint with stronger profitability driving earnings per share near the high end of our outlook,” said Vincent Roche, CEO and Chair. “As we navigate this business cycle’s nascent recovery, our high-performance analog solutions portfolio positions us well to intersect the strong underlying stream of concurrent secular trends. Our innovation and customer-centric ethos will continue to form the foundation for our success and help drive long-term shareholder value.”</w:t>
      </w:r>
    </w:p>
    <w:p>
      <w:pPr>
        <w:spacing w:after="0" w:line="6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2"/>
          <w:szCs w:val="22"/>
          <w:color w:val="auto"/>
        </w:rPr>
        <w:t>“Improved customer inventory levels and order momentum, across most of our markets, position us to grow again sequentially in our fourth quarter, increasing our confidence that we are past the trough of this cycle. However, economic and geopolitical uncertainty continues to limit the pace of the recovery” said Richard Puccio, CFO.</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for the Third Quarter of Fiscal 2024</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u w:val="single" w:color="auto"/>
          <w:color w:val="auto"/>
        </w:rPr>
        <w:t>Results Summary</w:t>
      </w:r>
      <w:r>
        <w:rPr>
          <w:rFonts w:ascii="Times New Roman" w:cs="Times New Roman" w:eastAsia="Times New Roman" w:hAnsi="Times New Roman"/>
          <w:sz w:val="28"/>
          <w:szCs w:val="28"/>
          <w:b w:val="1"/>
          <w:bCs w:val="1"/>
          <w:color w:val="auto"/>
          <w:vertAlign w:val="superscript"/>
        </w:rPr>
        <w:t>(1)</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amounts and percentages)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4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920" w:type="dxa"/>
            <w:vAlign w:val="bottom"/>
            <w:tcBorders>
              <w:top w:val="single" w:sz="8" w:color="auto"/>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980" w:type="dxa"/>
            <w:vAlign w:val="bottom"/>
            <w:tcBorders>
              <w:top w:val="single" w:sz="8" w:color="auto"/>
              <w:bottom w:val="single" w:sz="8" w:color="auto"/>
            </w:tcBorders>
          </w:tcPr>
          <w:p>
            <w:pPr>
              <w:spacing w:after="0"/>
              <w:rPr>
                <w:sz w:val="21"/>
                <w:szCs w:val="21"/>
                <w:color w:val="auto"/>
              </w:rPr>
            </w:pPr>
          </w:p>
        </w:tc>
      </w:tr>
      <w:tr>
        <w:trPr>
          <w:trHeight w:val="223"/>
        </w:trPr>
        <w:tc>
          <w:tcPr>
            <w:tcW w:w="5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Aug. 3, 2024</w:t>
            </w:r>
          </w:p>
        </w:tc>
        <w:tc>
          <w:tcPr>
            <w:tcW w:w="140" w:type="dxa"/>
            <w:vAlign w:val="bottom"/>
          </w:tcPr>
          <w:p>
            <w:pPr>
              <w:spacing w:after="0"/>
              <w:rPr>
                <w:sz w:val="19"/>
                <w:szCs w:val="19"/>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Jul. 29, 2023</w:t>
            </w:r>
          </w:p>
        </w:tc>
        <w:tc>
          <w:tcPr>
            <w:tcW w:w="19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 percentage</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 bps)</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 bps)</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57"/>
        </w:trPr>
        <w:tc>
          <w:tcPr>
            <w:tcW w:w="5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r>
    </w:tbl>
    <w:p>
      <w:pPr>
        <w:ind w:left="20"/>
        <w:spacing w:after="0" w:line="231" w:lineRule="auto"/>
        <w:rPr>
          <w:sz w:val="20"/>
          <w:szCs w:val="20"/>
          <w:color w:val="auto"/>
        </w:rPr>
      </w:pPr>
      <w:r>
        <w:rPr>
          <w:rFonts w:ascii="Times New Roman" w:cs="Times New Roman" w:eastAsia="Times New Roman" w:hAnsi="Times New Roman"/>
          <w:sz w:val="22"/>
          <w:szCs w:val="22"/>
          <w:b w:val="1"/>
          <w:bCs w:val="1"/>
          <w:color w:val="auto"/>
        </w:rPr>
        <w:t>Adjusted Results</w:t>
      </w:r>
      <w:r>
        <w:rPr>
          <w:rFonts w:ascii="Times New Roman" w:cs="Times New Roman" w:eastAsia="Times New Roman" w:hAnsi="Times New Roman"/>
          <w:sz w:val="28"/>
          <w:szCs w:val="28"/>
          <w:b w:val="1"/>
          <w:bCs w:val="1"/>
          <w:color w:val="auto"/>
          <w:vertAlign w:val="superscript"/>
        </w:rPr>
        <w:t>(2)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18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gross margin percentage</w:t>
            </w:r>
          </w:p>
        </w:tc>
        <w:tc>
          <w:tcPr>
            <w:tcW w:w="18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67.9 %</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 bps)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8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operating margin</w:t>
            </w:r>
          </w:p>
        </w:tc>
        <w:tc>
          <w:tcPr>
            <w:tcW w:w="18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41.2 %</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 bps)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18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20" w:type="dxa"/>
            <w:vAlign w:val="bottom"/>
            <w:gridSpan w:val="2"/>
          </w:tcPr>
          <w:p>
            <w:pPr>
              <w:spacing w:after="0"/>
              <w:rPr>
                <w:sz w:val="23"/>
                <w:szCs w:val="23"/>
                <w:color w:val="auto"/>
              </w:rPr>
            </w:pPr>
          </w:p>
        </w:tc>
        <w:tc>
          <w:tcPr>
            <w:tcW w:w="198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b w:val="1"/>
                <w:bCs w:val="1"/>
                <w:color w:val="auto"/>
              </w:rPr>
              <w:t>Cash Generation</w:t>
            </w: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9"/>
                <w:szCs w:val="19"/>
                <w:color w:val="auto"/>
              </w:rPr>
            </w:pPr>
          </w:p>
        </w:tc>
        <w:tc>
          <w:tcPr>
            <w:tcW w:w="19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Trailing Twelve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gridSpan w:val="3"/>
            <w:vMerge w:val="continue"/>
          </w:tcPr>
          <w:p>
            <w:pPr>
              <w:spacing w:after="0"/>
              <w:rPr>
                <w:sz w:val="17"/>
                <w:szCs w:val="17"/>
                <w:color w:val="auto"/>
              </w:rPr>
            </w:pPr>
          </w:p>
        </w:tc>
        <w:tc>
          <w:tcPr>
            <w:tcW w:w="1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rPr>
              <w:t>Aug. 3, 2024</w:t>
            </w:r>
          </w:p>
        </w:tc>
        <w:tc>
          <w:tcPr>
            <w:tcW w:w="320" w:type="dxa"/>
            <w:vAlign w:val="bottom"/>
          </w:tcPr>
          <w:p>
            <w:pPr>
              <w:spacing w:after="0"/>
              <w:rPr>
                <w:sz w:val="17"/>
                <w:szCs w:val="17"/>
                <w:color w:val="auto"/>
              </w:rPr>
            </w:pPr>
          </w:p>
        </w:tc>
        <w:tc>
          <w:tcPr>
            <w:tcW w:w="1660" w:type="dxa"/>
            <w:vAlign w:val="bottom"/>
          </w:tcPr>
          <w:p>
            <w:pPr>
              <w:jc w:val="center"/>
              <w:ind w:right="230"/>
              <w:spacing w:after="0" w:line="182" w:lineRule="exact"/>
              <w:rPr>
                <w:sz w:val="20"/>
                <w:szCs w:val="20"/>
                <w:color w:val="auto"/>
              </w:rPr>
            </w:pPr>
            <w:r>
              <w:rPr>
                <w:rFonts w:ascii="Times New Roman" w:cs="Times New Roman" w:eastAsia="Times New Roman" w:hAnsi="Times New Roman"/>
                <w:sz w:val="18"/>
                <w:szCs w:val="18"/>
                <w:b w:val="1"/>
                <w:bCs w:val="1"/>
                <w:color w:val="auto"/>
                <w:w w:val="98"/>
              </w:rPr>
              <w:t>Aug. 3, 2024</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of revenue</w:t>
            </w: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3"/>
                <w:szCs w:val="23"/>
                <w:color w:val="auto"/>
                <w:vertAlign w:val="superscript"/>
              </w:rPr>
              <w:t>(2)</w:t>
            </w:r>
          </w:p>
        </w:tc>
        <w:tc>
          <w:tcPr>
            <w:tcW w:w="1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2,948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revenue</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gridSpan w:val="2"/>
          </w:tcPr>
          <w:p>
            <w:pPr>
              <w:spacing w:after="0"/>
              <w:rPr>
                <w:sz w:val="22"/>
                <w:szCs w:val="22"/>
                <w:color w:val="auto"/>
              </w:rPr>
            </w:pPr>
          </w:p>
        </w:tc>
        <w:tc>
          <w:tcPr>
            <w:tcW w:w="19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b w:val="1"/>
                <w:bCs w:val="1"/>
                <w:color w:val="auto"/>
              </w:rPr>
              <w:t>Cash Return</w:t>
            </w: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9"/>
                <w:szCs w:val="19"/>
                <w:color w:val="auto"/>
              </w:rPr>
            </w:pPr>
          </w:p>
        </w:tc>
        <w:tc>
          <w:tcPr>
            <w:tcW w:w="19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Trailing Twelve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gridSpan w:val="3"/>
            <w:vMerge w:val="continue"/>
          </w:tcPr>
          <w:p>
            <w:pPr>
              <w:spacing w:after="0"/>
              <w:rPr>
                <w:sz w:val="17"/>
                <w:szCs w:val="17"/>
                <w:color w:val="auto"/>
              </w:rPr>
            </w:pPr>
          </w:p>
        </w:tc>
        <w:tc>
          <w:tcPr>
            <w:tcW w:w="1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rPr>
              <w:t>Aug. 3, 2024</w:t>
            </w:r>
          </w:p>
        </w:tc>
        <w:tc>
          <w:tcPr>
            <w:tcW w:w="320" w:type="dxa"/>
            <w:vAlign w:val="bottom"/>
          </w:tcPr>
          <w:p>
            <w:pPr>
              <w:spacing w:after="0"/>
              <w:rPr>
                <w:sz w:val="17"/>
                <w:szCs w:val="17"/>
                <w:color w:val="auto"/>
              </w:rPr>
            </w:pPr>
          </w:p>
        </w:tc>
        <w:tc>
          <w:tcPr>
            <w:tcW w:w="1660" w:type="dxa"/>
            <w:vAlign w:val="bottom"/>
          </w:tcPr>
          <w:p>
            <w:pPr>
              <w:jc w:val="center"/>
              <w:ind w:right="230"/>
              <w:spacing w:after="0" w:line="182" w:lineRule="exact"/>
              <w:rPr>
                <w:sz w:val="20"/>
                <w:szCs w:val="20"/>
                <w:color w:val="auto"/>
              </w:rPr>
            </w:pPr>
            <w:r>
              <w:rPr>
                <w:rFonts w:ascii="Times New Roman" w:cs="Times New Roman" w:eastAsia="Times New Roman" w:hAnsi="Times New Roman"/>
                <w:sz w:val="18"/>
                <w:szCs w:val="18"/>
                <w:b w:val="1"/>
                <w:bCs w:val="1"/>
                <w:color w:val="auto"/>
                <w:w w:val="98"/>
              </w:rPr>
              <w:t>Aug. 3, 2024</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paid</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Stock repurchases</w:t>
            </w:r>
          </w:p>
        </w:tc>
        <w:tc>
          <w:tcPr>
            <w:tcW w:w="18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returned</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(2,757)</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280" w:hanging="254"/>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and/or computation of the individual amounts may not equal the total due to rounding.</w:t>
      </w:r>
    </w:p>
    <w:p>
      <w:pPr>
        <w:spacing w:after="0" w:line="27" w:lineRule="exact"/>
        <w:rPr>
          <w:rFonts w:ascii="Times New Roman" w:cs="Times New Roman" w:eastAsia="Times New Roman" w:hAnsi="Times New Roman"/>
          <w:sz w:val="18"/>
          <w:szCs w:val="18"/>
          <w:color w:val="auto"/>
        </w:rPr>
      </w:pPr>
    </w:p>
    <w:p>
      <w:pPr>
        <w:ind w:left="20" w:right="500" w:firstLine="6"/>
        <w:spacing w:after="0" w:line="245" w:lineRule="auto"/>
        <w:tabs>
          <w:tab w:leader="none" w:pos="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Reconciliations of non-GAAP financial measures to their most directly comparable GAAP financial measures are provided in the financial tables included in this press release. See also the “Non-GAAP Financial Information” section for additional information.</w:t>
      </w:r>
    </w:p>
    <w:p>
      <w:pPr>
        <w:sectPr>
          <w:pgSz w:w="11900" w:h="16838" w:orient="portrait"/>
          <w:cols w:equalWidth="0" w:num="1">
            <w:col w:w="11240"/>
          </w:cols>
          <w:pgMar w:left="320" w:top="89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auto"/>
        </w:rPr>
        <w:t>Outlook for the Fourth Quarter of Fiscal Year 2024</w:t>
      </w:r>
    </w:p>
    <w:p>
      <w:pPr>
        <w:spacing w:after="0" w:line="251"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For the fourth quarter of fiscal 2024, we are forecasting revenue of $2.40 billion, +/- $100 million. At the midpoint of this revenue outlook, we expect reported operating margin of approximately 22.3%, +/-180 bps, and adjusted operating margin of approximately 41.0%, +/-100 bps. We are planning for reported EPS to be $0.85, +/-$0.10, and adjusted EPS to be $1.63, +/-$0.10.</w:t>
      </w:r>
    </w:p>
    <w:p>
      <w:pPr>
        <w:spacing w:after="0" w:line="20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Our fourth quarter fiscal 2024 outlook is based on current expectations and actual results may differ materially as a result of, among other things, the important factors discussed at the end of this release. These statements supersede all prior statements regarding our business outlook set forth in prior ADI news releases, and ADI disclaims any obligation to update these forward-looking statements.</w:t>
      </w:r>
    </w:p>
    <w:p>
      <w:pPr>
        <w:spacing w:after="0" w:line="20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2"/>
          <w:szCs w:val="22"/>
          <w:color w:val="auto"/>
        </w:rPr>
        <w:t>The adjusted results and adjusted anticipated results above are financial measures presented on a non-GAAP basis. Reconciliations of these non-GAAP financial measures to their most directly comparable GAAP financial measures are provided in the financial tables included in this release. See also the “Non-GAAP Financial Information” section for additional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Dividend Payment</w:t>
      </w:r>
    </w:p>
    <w:p>
      <w:pPr>
        <w:spacing w:after="0" w:line="264" w:lineRule="exact"/>
        <w:rPr>
          <w:sz w:val="20"/>
          <w:szCs w:val="20"/>
          <w:color w:val="auto"/>
        </w:rPr>
      </w:pPr>
    </w:p>
    <w:p>
      <w:pPr>
        <w:jc w:val="both"/>
        <w:ind w:right="760"/>
        <w:spacing w:after="0" w:line="295" w:lineRule="auto"/>
        <w:rPr>
          <w:sz w:val="20"/>
          <w:szCs w:val="20"/>
          <w:color w:val="auto"/>
        </w:rPr>
      </w:pPr>
      <w:r>
        <w:rPr>
          <w:rFonts w:ascii="Times New Roman" w:cs="Times New Roman" w:eastAsia="Times New Roman" w:hAnsi="Times New Roman"/>
          <w:sz w:val="21"/>
          <w:szCs w:val="21"/>
          <w:color w:val="auto"/>
        </w:rPr>
        <w:t>The ADI Board of Directors has declared a quarterly cash dividend of $0.92 per outstanding share of common stock. The dividend will be paid on September 17, 2024 to all shareholders of record at the close of business on September 3,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Conference Call Scheduled for Today, Wednesday, August 21, 2024 at 10:00 am ET</w:t>
      </w:r>
    </w:p>
    <w:p>
      <w:pPr>
        <w:spacing w:after="0" w:line="251"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22"/>
          <w:szCs w:val="22"/>
          <w:color w:val="auto"/>
        </w:rPr>
        <w:t>ADI will host a conference call to discuss our third quarter fiscal 2024 results and short-term outlook today, beginning at 10:00 am ET. Investors may join via webcast, accessible at investor.analog.com.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Non-GAAP Financial Information</w:t>
      </w:r>
    </w:p>
    <w:p>
      <w:pPr>
        <w:spacing w:after="0" w:line="25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This release includes non-GAAP financial measures that are not in accordance with, nor an alternative to, U.S. generally accepted accounting principles (GAAP) and may be different from non-GAAP measures presented by other companies. In addition, these non-GAAP measures are not based on any comprehensive set of accounting rules or principles. These non-GAAP measures have material limitations in that they do not reflect all of the amounts associated with the Company’s results of operations as determined in accordance with GAAP and should not be considered in isolation from, or as a substitute for, the Company’s financial results presented in accordance with GAAP. The Company’s use of non-GAAP measures, and the underlying methodology when including or excluding certain items, is not necessarily an indication of the results of operations that may be expected in the future, or that the Company will not, in fact, record such items in future periods. You are cautioned not to place undue reliance on these non-GAAP measures. Reconciliations of these non-GAAP financial measures to their most directly comparable GAAP financial measures are provided in the financial tables included in this release.</w:t>
      </w:r>
    </w:p>
    <w:p>
      <w:pPr>
        <w:spacing w:after="0" w:line="6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color w:val="auto"/>
        </w:rPr>
        <w:t>Management uses non-GAAP measures internally to evaluate the Company’s operating performance from continuing operations against past periods and to budget and allocate resources in future periods. These non-GAAP measures also assist management in evaluating the Company’s core business and trends across different reporting periods on a consistent basis. Management also uses these non-GAAP measures as primary performance measurements when communicating with analysts and investors regarding the Company’s earnings results and outlook and believes that the presentation of these non-GAAP measures is useful to investors because it provides investors with the operating results that management uses to</w:t>
      </w:r>
    </w:p>
    <w:p>
      <w:pPr>
        <w:sectPr>
          <w:pgSz w:w="11900" w:h="16838" w:orient="portrait"/>
          <w:cols w:equalWidth="0" w:num="1">
            <w:col w:w="11240"/>
          </w:cols>
          <w:pgMar w:left="320" w:top="891" w:right="339" w:bottom="1440" w:gutter="0" w:footer="0" w:header="0"/>
        </w:sectPr>
      </w:pPr>
    </w:p>
    <w:bookmarkStart w:id="6" w:name="page7"/>
    <w:bookmarkEnd w:id="6"/>
    <w:p>
      <w:pPr>
        <w:ind w:right="220"/>
        <w:spacing w:after="0" w:line="252" w:lineRule="auto"/>
        <w:rPr>
          <w:sz w:val="20"/>
          <w:szCs w:val="20"/>
          <w:color w:val="auto"/>
        </w:rPr>
      </w:pPr>
      <w:r>
        <w:rPr>
          <w:rFonts w:ascii="Times New Roman" w:cs="Times New Roman" w:eastAsia="Times New Roman" w:hAnsi="Times New Roman"/>
          <w:sz w:val="22"/>
          <w:szCs w:val="22"/>
          <w:color w:val="auto"/>
        </w:rPr>
        <w:t>manage the Company and enables investors and analysts to evaluate the Company’s core business. Management also believes that free cash flow, a non-GAAP liquidity measure, is useful both internally and to investors because it provides information about the amount of cash generated after capital expenditures that is then available to repay debt obligations, make investments and fund acquisitions, and for certain other activities.</w:t>
      </w:r>
    </w:p>
    <w:p>
      <w:pPr>
        <w:spacing w:after="0" w:line="58"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21"/>
          <w:szCs w:val="21"/>
          <w:color w:val="auto"/>
        </w:rPr>
        <w:t>The non-GAAP financial measures referenced by ADI in this release include: adjusted gross margin, adjusted gross margin percentage, adjusted operating expenses, adjusted operating expenses percentage, adjusted operating income, adjusted operating margin, adjusted nonoperating expense (income), adjusted income before income taxes, adjusted provision for income taxes, adjusted tax rate, adjusted diluted earnings per share (EPS), free cash flow, and free cash flow revenue percentage.</w:t>
      </w:r>
    </w:p>
    <w:p>
      <w:pPr>
        <w:spacing w:after="0" w:line="22" w:lineRule="exact"/>
        <w:rPr>
          <w:sz w:val="20"/>
          <w:szCs w:val="20"/>
          <w:color w:val="auto"/>
        </w:rPr>
      </w:pPr>
    </w:p>
    <w:p>
      <w:pPr>
        <w:ind w:right="300"/>
        <w:spacing w:after="0" w:line="235" w:lineRule="auto"/>
        <w:rPr>
          <w:sz w:val="20"/>
          <w:szCs w:val="20"/>
          <w:color w:val="auto"/>
        </w:rPr>
      </w:pPr>
      <w:r>
        <w:rPr>
          <w:rFonts w:ascii="Times New Roman" w:cs="Times New Roman" w:eastAsia="Times New Roman" w:hAnsi="Times New Roman"/>
          <w:sz w:val="22"/>
          <w:szCs w:val="22"/>
          <w:color w:val="auto"/>
        </w:rPr>
        <w:t xml:space="preserve">Adjusted gross margin is defined as gross margin, determined in accordance with GAAP, excluding certain </w:t>
      </w:r>
      <w:r>
        <w:rPr>
          <w:rFonts w:ascii="Times New Roman" w:cs="Times New Roman" w:eastAsia="Times New Roman" w:hAnsi="Times New Roman"/>
          <w:sz w:val="22"/>
          <w:szCs w:val="22"/>
          <w:i w:val="1"/>
          <w:iCs w:val="1"/>
          <w:color w:val="auto"/>
        </w:rPr>
        <w:t>acquisition related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which are described further below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Adjusted gross margin percentage represents adjusted gross margin divided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revenue.</w:t>
      </w:r>
    </w:p>
    <w:p>
      <w:pPr>
        <w:spacing w:after="0" w:line="71"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22"/>
          <w:szCs w:val="22"/>
          <w:color w:val="auto"/>
        </w:rPr>
        <w:t xml:space="preserve">Adjusted operating expenses is defined as operating expenses, determined in accordance with GAAP, excluding: certain </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acquisition related transaction costs</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special charges, net</w:t>
      </w: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color w:val="auto"/>
        </w:rPr>
        <w:t>, which are described further below.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Adjusted operating expenses percentage represents adjusted operating expenses divided by revenue.</w:t>
      </w:r>
    </w:p>
    <w:p>
      <w:pPr>
        <w:spacing w:after="0" w:line="6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Adjusted operating income is defined as operating income, determined in accordance with GAAP, excluding: </w:t>
      </w:r>
      <w:r>
        <w:rPr>
          <w:rFonts w:ascii="Times New Roman" w:cs="Times New Roman" w:eastAsia="Times New Roman" w:hAnsi="Times New Roman"/>
          <w:sz w:val="22"/>
          <w:szCs w:val="22"/>
          <w:i w:val="1"/>
          <w:iCs w:val="1"/>
          <w:color w:val="auto"/>
        </w:rPr>
        <w:t>acquisition related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acquisition related transaction costs</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special charges, net</w:t>
      </w: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color w:val="auto"/>
        </w:rPr>
        <w:t>, which are described further below. Adjusted operating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margin represents adjusted operating income divided by revenue.</w:t>
      </w:r>
    </w:p>
    <w:p>
      <w:pPr>
        <w:spacing w:after="0" w:line="71"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22"/>
          <w:szCs w:val="22"/>
          <w:color w:val="auto"/>
        </w:rPr>
        <w:t xml:space="preserve">Adjusted nonoperating expense (income) is defined as nonoperating expense (income), determined in accordance with GAAP, excluding: certain </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 which is described further below.</w:t>
      </w:r>
    </w:p>
    <w:p>
      <w:pPr>
        <w:spacing w:after="0" w:line="1" w:lineRule="exact"/>
        <w:rPr>
          <w:sz w:val="20"/>
          <w:szCs w:val="20"/>
          <w:color w:val="auto"/>
        </w:rPr>
      </w:pPr>
    </w:p>
    <w:p>
      <w:pPr>
        <w:ind w:right="320"/>
        <w:spacing w:after="0" w:line="227" w:lineRule="auto"/>
        <w:rPr>
          <w:sz w:val="20"/>
          <w:szCs w:val="20"/>
          <w:color w:val="auto"/>
        </w:rPr>
      </w:pPr>
      <w:r>
        <w:rPr>
          <w:rFonts w:ascii="Times New Roman" w:cs="Times New Roman" w:eastAsia="Times New Roman" w:hAnsi="Times New Roman"/>
          <w:sz w:val="22"/>
          <w:szCs w:val="22"/>
          <w:color w:val="auto"/>
        </w:rPr>
        <w:t xml:space="preserve">Adjusted income before income taxes is defined as income before income taxes, determined in accordance with GAAP, excluding: </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acquisition related transaction costs</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color w:val="auto"/>
        </w:rPr>
        <w:t>, and s</w:t>
      </w:r>
      <w:r>
        <w:rPr>
          <w:rFonts w:ascii="Times New Roman" w:cs="Times New Roman" w:eastAsia="Times New Roman" w:hAnsi="Times New Roman"/>
          <w:sz w:val="22"/>
          <w:szCs w:val="22"/>
          <w:i w:val="1"/>
          <w:iCs w:val="1"/>
          <w:color w:val="auto"/>
        </w:rPr>
        <w:t>pecial charges, net</w:t>
      </w: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color w:val="auto"/>
        </w:rPr>
        <w:t>, which are described further below.</w:t>
      </w:r>
    </w:p>
    <w:p>
      <w:pPr>
        <w:spacing w:after="0" w:line="57"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 xml:space="preserve">Adjusted provision for income taxes is defined as provision for income taxes, determined in accordance with GAAP, excluding </w:t>
      </w:r>
      <w:r>
        <w:rPr>
          <w:rFonts w:ascii="Times New Roman" w:cs="Times New Roman" w:eastAsia="Times New Roman" w:hAnsi="Times New Roman"/>
          <w:sz w:val="22"/>
          <w:szCs w:val="22"/>
          <w:i w:val="1"/>
          <w:iCs w:val="1"/>
          <w:color w:val="auto"/>
        </w:rPr>
        <w:t>tax related items</w:t>
      </w:r>
      <w:r>
        <w:rPr>
          <w:rFonts w:ascii="Times New Roman" w:cs="Times New Roman" w:eastAsia="Times New Roman" w:hAnsi="Times New Roman"/>
          <w:sz w:val="28"/>
          <w:szCs w:val="28"/>
          <w:i w:val="1"/>
          <w:iCs w:val="1"/>
          <w:color w:val="auto"/>
          <w:vertAlign w:val="superscript"/>
        </w:rPr>
        <w:t>4</w:t>
      </w:r>
      <w:r>
        <w:rPr>
          <w:rFonts w:ascii="Times New Roman" w:cs="Times New Roman" w:eastAsia="Times New Roman" w:hAnsi="Times New Roman"/>
          <w:sz w:val="22"/>
          <w:szCs w:val="22"/>
          <w:color w:val="auto"/>
        </w:rPr>
        <w:t>, which are described further below. Adjusted tax rate represents adjusted provision for income taxes divided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adjusted income before income taxes.</w:t>
      </w:r>
    </w:p>
    <w:p>
      <w:pPr>
        <w:spacing w:after="0" w:line="63"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1"/>
          <w:szCs w:val="21"/>
          <w:color w:val="auto"/>
        </w:rPr>
        <w:t xml:space="preserve">Adjusted diluted EPS is defined as diluted EPS, determined in accordance with GAAP, excluding: </w:t>
      </w:r>
      <w:r>
        <w:rPr>
          <w:rFonts w:ascii="Times New Roman" w:cs="Times New Roman" w:eastAsia="Times New Roman" w:hAnsi="Times New Roman"/>
          <w:sz w:val="21"/>
          <w:szCs w:val="21"/>
          <w:i w:val="1"/>
          <w:iCs w:val="1"/>
          <w:color w:val="auto"/>
        </w:rPr>
        <w:t>acquisition related expenses</w:t>
      </w:r>
      <w:r>
        <w:rPr>
          <w:rFonts w:ascii="Times New Roman" w:cs="Times New Roman" w:eastAsia="Times New Roman" w:hAnsi="Times New Roman"/>
          <w:sz w:val="27"/>
          <w:szCs w:val="27"/>
          <w:i w:val="1"/>
          <w:iCs w:val="1"/>
          <w:color w:val="auto"/>
          <w:vertAlign w:val="superscript"/>
        </w:rPr>
        <w:t>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acquisition related transaction costs</w:t>
      </w:r>
      <w:r>
        <w:rPr>
          <w:rFonts w:ascii="Times New Roman" w:cs="Times New Roman" w:eastAsia="Times New Roman" w:hAnsi="Times New Roman"/>
          <w:sz w:val="27"/>
          <w:szCs w:val="27"/>
          <w:i w:val="1"/>
          <w:iCs w:val="1"/>
          <w:color w:val="auto"/>
          <w:vertAlign w:val="superscript"/>
        </w:rPr>
        <w:t>2</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special charges, net</w:t>
      </w:r>
      <w:r>
        <w:rPr>
          <w:rFonts w:ascii="Times New Roman" w:cs="Times New Roman" w:eastAsia="Times New Roman" w:hAnsi="Times New Roman"/>
          <w:sz w:val="27"/>
          <w:szCs w:val="27"/>
          <w:i w:val="1"/>
          <w:iCs w:val="1"/>
          <w:color w:val="auto"/>
          <w:vertAlign w:val="superscript"/>
        </w:rPr>
        <w:t>3</w:t>
      </w:r>
      <w:r>
        <w:rPr>
          <w:rFonts w:ascii="Times New Roman" w:cs="Times New Roman" w:eastAsia="Times New Roman" w:hAnsi="Times New Roman"/>
          <w:sz w:val="21"/>
          <w:szCs w:val="21"/>
          <w:color w:val="auto"/>
        </w:rPr>
        <w:t>, and</w:t>
      </w:r>
      <w:r>
        <w:rPr>
          <w:rFonts w:ascii="Times New Roman" w:cs="Times New Roman" w:eastAsia="Times New Roman" w:hAnsi="Times New Roman"/>
          <w:sz w:val="21"/>
          <w:szCs w:val="21"/>
          <w:i w:val="1"/>
          <w:iCs w:val="1"/>
          <w:color w:val="auto"/>
        </w:rPr>
        <w:t xml:space="preserve"> tax related items</w:t>
      </w:r>
      <w:r>
        <w:rPr>
          <w:rFonts w:ascii="Times New Roman" w:cs="Times New Roman" w:eastAsia="Times New Roman" w:hAnsi="Times New Roman"/>
          <w:sz w:val="27"/>
          <w:szCs w:val="27"/>
          <w:i w:val="1"/>
          <w:iCs w:val="1"/>
          <w:color w:val="auto"/>
          <w:vertAlign w:val="superscript"/>
        </w:rPr>
        <w:t>4</w:t>
      </w:r>
      <w:r>
        <w:rPr>
          <w:rFonts w:ascii="Times New Roman" w:cs="Times New Roman" w:eastAsia="Times New Roman" w:hAnsi="Times New Roman"/>
          <w:sz w:val="21"/>
          <w:szCs w:val="21"/>
          <w:color w:val="auto"/>
        </w:rPr>
        <w:t>, which are described further below.</w:t>
      </w:r>
    </w:p>
    <w:p>
      <w:pPr>
        <w:spacing w:after="0" w:line="1"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22"/>
          <w:szCs w:val="22"/>
          <w:color w:val="auto"/>
        </w:rPr>
        <w:t>Free cash flow is defined as net cash provided by operating activities, determined in accordance with GAAP, less additions to property, plant and equipment, net. Free cash flow revenue percentage represents free cash flow divided by revenue.</w:t>
      </w:r>
    </w:p>
    <w:p>
      <w:pPr>
        <w:spacing w:after="0" w:line="44" w:lineRule="exact"/>
        <w:rPr>
          <w:sz w:val="20"/>
          <w:szCs w:val="20"/>
          <w:color w:val="auto"/>
        </w:rPr>
      </w:pPr>
    </w:p>
    <w:p>
      <w:pPr>
        <w:ind w:left="660" w:right="20"/>
        <w:spacing w:after="0" w:line="252" w:lineRule="auto"/>
        <w:rPr>
          <w:sz w:val="20"/>
          <w:szCs w:val="20"/>
          <w:color w:val="auto"/>
        </w:rPr>
      </w:pPr>
      <w:r>
        <w:rPr>
          <w:rFonts w:ascii="Times New Roman" w:cs="Times New Roman" w:eastAsia="Times New Roman" w:hAnsi="Times New Roman"/>
          <w:sz w:val="27"/>
          <w:szCs w:val="27"/>
          <w:i w:val="1"/>
          <w:iCs w:val="1"/>
          <w:color w:val="auto"/>
          <w:vertAlign w:val="superscript"/>
        </w:rPr>
        <w:t>1</w:t>
      </w:r>
      <w:r>
        <w:rPr>
          <w:rFonts w:ascii="Times New Roman" w:cs="Times New Roman" w:eastAsia="Times New Roman" w:hAnsi="Times New Roman"/>
          <w:sz w:val="21"/>
          <w:szCs w:val="21"/>
          <w:i w:val="1"/>
          <w:iCs w:val="1"/>
          <w:color w:val="auto"/>
        </w:rPr>
        <w:t>Acquisition Related Expenses</w:t>
      </w:r>
      <w:r>
        <w:rPr>
          <w:rFonts w:ascii="Times New Roman" w:cs="Times New Roman" w:eastAsia="Times New Roman" w:hAnsi="Times New Roman"/>
          <w:sz w:val="21"/>
          <w:szCs w:val="21"/>
          <w:color w:val="auto"/>
        </w:rPr>
        <w:t>: Expenses incurred as a result of current and prior period acquisitions and primarily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include expenses associated with the fair value adjustments to debt, inventory, property, plant and equipment and amortization of acquisition related intangibles, which include acquired intangibles such as purchased technology and customer relationships. Expenses also include fair value adjustments associated with the replacement of share-based awards related to the Maxim Integrated Products, Inc. (Maxim) acquisition. We excluded these costs from our non-GAAP measures because they relate to specific transactions and are not reflective of our ongoing financial performance.</w:t>
      </w:r>
    </w:p>
    <w:p>
      <w:pPr>
        <w:sectPr>
          <w:pgSz w:w="11900" w:h="16838" w:orient="portrait"/>
          <w:cols w:equalWidth="0" w:num="1">
            <w:col w:w="11220"/>
          </w:cols>
          <w:pgMar w:left="320" w:top="990" w:right="359" w:bottom="1440" w:gutter="0" w:footer="0" w:header="0"/>
        </w:sectPr>
      </w:pPr>
    </w:p>
    <w:bookmarkStart w:id="7" w:name="page8"/>
    <w:bookmarkEnd w:id="7"/>
    <w:p>
      <w:pPr>
        <w:ind w:left="660" w:right="200"/>
        <w:spacing w:after="0" w:line="232" w:lineRule="auto"/>
        <w:rPr>
          <w:sz w:val="20"/>
          <w:szCs w:val="20"/>
          <w:color w:val="auto"/>
        </w:rPr>
      </w:pP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i w:val="1"/>
          <w:iCs w:val="1"/>
          <w:color w:val="auto"/>
        </w:rPr>
        <w:t>Acquisition Related Transaction Costs</w:t>
      </w:r>
      <w:r>
        <w:rPr>
          <w:rFonts w:ascii="Times New Roman" w:cs="Times New Roman" w:eastAsia="Times New Roman" w:hAnsi="Times New Roman"/>
          <w:sz w:val="22"/>
          <w:szCs w:val="22"/>
          <w:color w:val="auto"/>
        </w:rPr>
        <w:t>: Costs directly related to the Maxim acquisition, including legal, accounting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professional fees as well as integration-related costs. We excluded these costs from our non-GAAP measures because they relate to a specific transaction and are not reflective of our ongoing financial performance.</w:t>
      </w:r>
    </w:p>
    <w:p>
      <w:pPr>
        <w:spacing w:after="0" w:line="64" w:lineRule="exact"/>
        <w:rPr>
          <w:sz w:val="20"/>
          <w:szCs w:val="20"/>
          <w:color w:val="auto"/>
        </w:rPr>
      </w:pPr>
    </w:p>
    <w:p>
      <w:pPr>
        <w:ind w:left="660" w:right="80"/>
        <w:spacing w:after="0" w:line="239" w:lineRule="auto"/>
        <w:rPr>
          <w:sz w:val="20"/>
          <w:szCs w:val="20"/>
          <w:color w:val="auto"/>
        </w:rPr>
      </w:pP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i w:val="1"/>
          <w:iCs w:val="1"/>
          <w:color w:val="auto"/>
        </w:rPr>
        <w:t>Special Charges, net</w:t>
      </w:r>
      <w:r>
        <w:rPr>
          <w:rFonts w:ascii="Times New Roman" w:cs="Times New Roman" w:eastAsia="Times New Roman" w:hAnsi="Times New Roman"/>
          <w:sz w:val="22"/>
          <w:szCs w:val="22"/>
          <w:color w:val="auto"/>
        </w:rPr>
        <w:t>: Expenses, net, incurred as part of the integration of Maxim, in connection with facility closures,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consolidation of manufacturing facilities, severance, other accelerated stock-based compensation expense and other cost reduction efforts or reorganizational initiatives. We excluded these expenses from our non-GAAP measures because apart from ongoing expense savings as a result of such items, these expenses have no direct correlation to the operation of our business in the future.</w:t>
      </w:r>
    </w:p>
    <w:p>
      <w:pPr>
        <w:spacing w:after="0" w:line="52" w:lineRule="exact"/>
        <w:rPr>
          <w:sz w:val="20"/>
          <w:szCs w:val="20"/>
          <w:color w:val="auto"/>
        </w:rPr>
      </w:pPr>
    </w:p>
    <w:p>
      <w:pPr>
        <w:ind w:left="660" w:right="20"/>
        <w:spacing w:after="0" w:line="237" w:lineRule="auto"/>
        <w:rPr>
          <w:sz w:val="20"/>
          <w:szCs w:val="20"/>
          <w:color w:val="auto"/>
        </w:rPr>
      </w:pPr>
      <w:r>
        <w:rPr>
          <w:rFonts w:ascii="Times New Roman" w:cs="Times New Roman" w:eastAsia="Times New Roman" w:hAnsi="Times New Roman"/>
          <w:sz w:val="28"/>
          <w:szCs w:val="28"/>
          <w:i w:val="1"/>
          <w:iCs w:val="1"/>
          <w:color w:val="auto"/>
          <w:vertAlign w:val="superscript"/>
        </w:rPr>
        <w:t>4</w:t>
      </w:r>
      <w:r>
        <w:rPr>
          <w:rFonts w:ascii="Times New Roman" w:cs="Times New Roman" w:eastAsia="Times New Roman" w:hAnsi="Times New Roman"/>
          <w:sz w:val="22"/>
          <w:szCs w:val="22"/>
          <w:i w:val="1"/>
          <w:iCs w:val="1"/>
          <w:color w:val="auto"/>
        </w:rPr>
        <w:t>Tax Related Items</w:t>
      </w:r>
      <w:r>
        <w:rPr>
          <w:rFonts w:ascii="Times New Roman" w:cs="Times New Roman" w:eastAsia="Times New Roman" w:hAnsi="Times New Roman"/>
          <w:sz w:val="22"/>
          <w:szCs w:val="22"/>
          <w:color w:val="auto"/>
        </w:rPr>
        <w:t>: Income tax effect of the non-GAAP items discussed above, an income tax benefit from a discrete item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related to a federal corporate income tax relief claim and certain other income tax benefits associated with prior periods. We excluded the income tax effect of these tax related items from our non-GAAP measures because they are not associated with the tax expense on our current operating results.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Analog Devices, Inc.</w:t>
      </w:r>
    </w:p>
    <w:p>
      <w:pPr>
        <w:spacing w:after="0" w:line="10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2"/>
          <w:szCs w:val="22"/>
          <w:color w:val="auto"/>
        </w:rPr>
        <w:t>Analog Devices, Inc. (NASDAQ: ADI) is a global semiconductor leader that bridges the physical and digital worlds to enable breakthroughs at the Intelligent Edge. ADI combines analog, digital, and software technologies into solutions that help drive advancements in digitized factories, mobility, and digital healthcare, combat climate change, and reliably connect humans and the world. With revenue of more than $12 billion in FY23 and approximately 26,000 people globally working alongside 125,000 global customers, ADI ensures today’s innovators stay Ahead of What’s Possible. Learn more at www.analog.com and on LinkedIn and Twitter (X).</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 Looking Statements</w:t>
      </w:r>
    </w:p>
    <w:p>
      <w:pPr>
        <w:spacing w:after="0" w:line="7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i w:val="1"/>
          <w:iCs w:val="1"/>
          <w:color w:val="auto"/>
        </w:rPr>
        <w:t>This press release contains forward-looking statements, which address a variety of subjects including, for example, our statements regarding financial performance; customer inventory rationalization; economic uncertainty, geopolitical conditions, demand and other market conditions, business cycles, and supply chains; capital expenditures and investments; expected revenue, operating margin, nonoperating expenses, tax rate, earnings per share, and other financial results; expected market and technology trends and acceleration of those trends; market size, market share gains, market position, and growth opportunities; expected product solutions, offerings, technologies, capabilities, and applications, including those that may incorporate, or be based upon, software or artificial intelligence technology; the value and importance of, and other benefits related to, our product solutions, offerings, and technologies to our customers, including those that may incorporate, or be based upon, software or artificial intelligence technology; future dividends and share repurchases; and other future events.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economic, political, legal and regulatory uncertainty or conflicts; changes in demand for semiconductor products; manufacturing delays, product and raw materials availability and supply chain disruptions; products that may be diverted from our authorized distribution channels; changes in export classifications, import and export regulations or duties and tariffs; our development of technologies and research and development investments; our future liquidity, capital needs and capital expenditures; our ability to compete</w:t>
      </w:r>
    </w:p>
    <w:p>
      <w:pPr>
        <w:sectPr>
          <w:pgSz w:w="11900" w:h="16838" w:orient="portrait"/>
          <w:cols w:equalWidth="0" w:num="1">
            <w:col w:w="11240"/>
          </w:cols>
          <w:pgMar w:left="320" w:top="982" w:right="339" w:bottom="1440" w:gutter="0" w:footer="0" w:header="0"/>
        </w:sectPr>
      </w:pPr>
    </w:p>
    <w:bookmarkStart w:id="8" w:name="page9"/>
    <w:bookmarkEnd w:id="8"/>
    <w:p>
      <w:pPr>
        <w:spacing w:after="0" w:line="262" w:lineRule="auto"/>
        <w:rPr>
          <w:sz w:val="20"/>
          <w:szCs w:val="20"/>
          <w:color w:val="auto"/>
        </w:rPr>
      </w:pPr>
      <w:r>
        <w:rPr>
          <w:rFonts w:ascii="Times New Roman" w:cs="Times New Roman" w:eastAsia="Times New Roman" w:hAnsi="Times New Roman"/>
          <w:sz w:val="21"/>
          <w:szCs w:val="21"/>
          <w:i w:val="1"/>
          <w:iCs w:val="1"/>
          <w:color w:val="auto"/>
        </w:rPr>
        <w:t>successfully in the markets in which we operate; our ability to recruit and retain key personnel; risks related to acquisitions or other strategic transactions; security breaches or other cyber incidents; adverse results in litigation matters; reputational damage; changes in our estimates of our expected tax rates based on current tax law; risks related to our indebtedness; unanticipated difficulties or expenditures related to integrating Maxim Integrated Products, Inc.; the discretion of our Board of Directors to declare dividends and our ability to pay dividends in the future; factors impacting our ability to repurchase shares; and uncertainty as to the long-term value of our common stock. For additional information about factors that could cause actual results to differ materially from those described in the forward-looking statements, please refer to our filings with the Securities and Exchange Commission, including the risk factors contained in our most recent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54" w:lineRule="exact"/>
        <w:rPr>
          <w:sz w:val="20"/>
          <w:szCs w:val="20"/>
          <w:color w:val="auto"/>
        </w:rPr>
      </w:pPr>
    </w:p>
    <w:p>
      <w:pPr>
        <w:ind w:right="780"/>
        <w:spacing w:after="0" w:line="271" w:lineRule="auto"/>
        <w:rPr>
          <w:sz w:val="20"/>
          <w:szCs w:val="20"/>
          <w:color w:val="auto"/>
        </w:rPr>
      </w:pPr>
      <w:r>
        <w:rPr>
          <w:rFonts w:ascii="Times New Roman" w:cs="Times New Roman" w:eastAsia="Times New Roman" w:hAnsi="Times New Roman"/>
          <w:sz w:val="22"/>
          <w:szCs w:val="22"/>
          <w:color w:val="auto"/>
        </w:rPr>
        <w:t>Analog Devices and the Analog Devices logo are registered trademarks or trademarks of Analog Devices, Inc. All other trademarks mentioned in this document are the property of their respective owners.</w:t>
      </w:r>
    </w:p>
    <w:p>
      <w:pPr>
        <w:sectPr>
          <w:pgSz w:w="11900" w:h="16838" w:orient="portrait"/>
          <w:cols w:equalWidth="0" w:num="1">
            <w:col w:w="11160"/>
          </w:cols>
          <w:pgMar w:left="320" w:top="959" w:right="4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860" w:type="dxa"/>
            <w:vAlign w:val="bottom"/>
            <w:tcBorders>
              <w:top w:val="single" w:sz="8" w:color="auto"/>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880" w:type="dxa"/>
            <w:vAlign w:val="bottom"/>
            <w:tcBorders>
              <w:top w:val="single" w:sz="8" w:color="auto"/>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3"/>
        </w:trPr>
        <w:tc>
          <w:tcPr>
            <w:tcW w:w="5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 3, 2024</w:t>
            </w:r>
          </w:p>
        </w:tc>
        <w:tc>
          <w:tcPr>
            <w:tcW w:w="18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Jul. 29, 2023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 3, 2024</w:t>
            </w:r>
          </w:p>
        </w:tc>
        <w:tc>
          <w:tcPr>
            <w:tcW w:w="18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Jul. 29, 2023</w:t>
            </w: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2,312,209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3,076,495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6,983,952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9,589,055</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1,000,970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1,114,880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3,018,737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3,358,553</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1,311,239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1,961,615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3,965,215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6,230,502</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1,253,600</w:t>
            </w:r>
          </w:p>
        </w:tc>
      </w:tr>
      <w:tr>
        <w:trPr>
          <w:trHeight w:val="229"/>
        </w:trPr>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984,648</w:t>
            </w:r>
          </w:p>
        </w:tc>
      </w:tr>
      <w:tr>
        <w:trPr>
          <w:trHeight w:val="230"/>
        </w:trPr>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756,882</w:t>
            </w:r>
          </w:p>
        </w:tc>
      </w:tr>
      <w:tr>
        <w:trPr>
          <w:trHeight w:val="229"/>
        </w:trPr>
        <w:tc>
          <w:tcPr>
            <w:tcW w:w="50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Special charges, net</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46,675</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1,032,122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2,501,809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3,041,805</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1,463,406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3,188,697</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193,051</w:t>
            </w:r>
          </w:p>
        </w:tc>
      </w:tr>
      <w:tr>
        <w:trPr>
          <w:trHeight w:val="229"/>
        </w:trPr>
        <w:tc>
          <w:tcPr>
            <w:tcW w:w="5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(32,198)</w:t>
            </w:r>
          </w:p>
        </w:tc>
      </w:tr>
      <w:tr>
        <w:trPr>
          <w:trHeight w:val="230"/>
        </w:trPr>
        <w:tc>
          <w:tcPr>
            <w:tcW w:w="50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(8,373)</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202,394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152,480</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1,261,012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3,036,217</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220,068</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392,232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877,019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1,157,201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2,816,149</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5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basic</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503,951</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diluted</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507,804</w:t>
            </w:r>
          </w:p>
        </w:tc>
      </w:tr>
      <w:tr>
        <w:trPr>
          <w:trHeight w:val="257"/>
        </w:trPr>
        <w:tc>
          <w:tcPr>
            <w:tcW w:w="5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bl>
    <w:p>
      <w:pPr>
        <w:sectPr>
          <w:pgSz w:w="11900" w:h="16838" w:orient="portrait"/>
          <w:cols w:equalWidth="0" w:num="1">
            <w:col w:w="11240"/>
          </w:cols>
          <w:pgMar w:left="320" w:top="887"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Aug. 3, 2024</w:t>
            </w:r>
          </w:p>
        </w:tc>
        <w:tc>
          <w:tcPr>
            <w:tcW w:w="340" w:type="dxa"/>
            <w:vAlign w:val="bottom"/>
          </w:tcPr>
          <w:p>
            <w:pPr>
              <w:spacing w:after="0"/>
              <w:rPr>
                <w:sz w:val="20"/>
                <w:szCs w:val="20"/>
                <w:color w:val="auto"/>
              </w:rPr>
            </w:pP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Oct. 28, 2023</w:t>
            </w:r>
          </w:p>
        </w:tc>
      </w:tr>
      <w:tr>
        <w:trPr>
          <w:trHeight w:val="223"/>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2,545,699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958,061</w:t>
            </w: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1,127,158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1,469,734</w:t>
            </w:r>
          </w:p>
        </w:tc>
      </w:tr>
      <w:tr>
        <w:trPr>
          <w:trHeight w:val="22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1,427,936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1,642,214</w:t>
            </w:r>
          </w:p>
        </w:tc>
      </w:tr>
      <w:tr>
        <w:trPr>
          <w:trHeight w:val="229"/>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314,013</w:t>
            </w:r>
          </w:p>
        </w:tc>
      </w:tr>
      <w:tr>
        <w:trPr>
          <w:trHeight w:val="223"/>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5,442,936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4,384,022</w:t>
            </w: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3,395,748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3,219,157</w:t>
            </w:r>
          </w:p>
        </w:tc>
      </w:tr>
      <w:tr>
        <w:trPr>
          <w:trHeight w:val="23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26,909,775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26,913,134</w:t>
            </w: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9,997,707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11,311,957</w:t>
            </w:r>
          </w:p>
        </w:tc>
      </w:tr>
      <w:tr>
        <w:trPr>
          <w:trHeight w:val="23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2,105,430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2,223,272</w:t>
            </w:r>
          </w:p>
        </w:tc>
      </w:tr>
      <w:tr>
        <w:trPr>
          <w:trHeight w:val="229"/>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766,778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742,936</w:t>
            </w:r>
          </w:p>
        </w:tc>
      </w:tr>
      <w:tr>
        <w:trPr>
          <w:trHeight w:val="248"/>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48,618,374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48,794,478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1,779,935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2,154,695</w:t>
            </w: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Debt, current</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499,052</w:t>
            </w:r>
          </w:p>
        </w:tc>
      </w:tr>
      <w:tr>
        <w:trPr>
          <w:trHeight w:val="22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 notes</w:t>
            </w: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547,224</w:t>
            </w: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6,655,723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5,902,457</w:t>
            </w:r>
          </w:p>
        </w:tc>
      </w:tr>
      <w:tr>
        <w:trPr>
          <w:trHeight w:val="23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2,743,015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3,127,852</w:t>
            </w: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802,898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998,076</w:t>
            </w:r>
          </w:p>
        </w:tc>
      </w:tr>
      <w:tr>
        <w:trPr>
          <w:trHeight w:val="23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35,190,109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35,565,122</w:t>
            </w: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&amp; shareholders'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48,618,374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48,794,478</w:t>
            </w:r>
          </w:p>
        </w:tc>
      </w:tr>
      <w:tr>
        <w:trPr>
          <w:trHeight w:val="20"/>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60" w:top="887"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177165</wp:posOffset>
            </wp:positionV>
            <wp:extent cx="3985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284"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19685</wp:posOffset>
            </wp:positionV>
            <wp:extent cx="1954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6" w:lineRule="exact"/>
        <w:rPr>
          <w:sz w:val="20"/>
          <w:szCs w:val="20"/>
          <w:color w:val="auto"/>
        </w:rPr>
      </w:pPr>
    </w:p>
    <w:p>
      <w:pPr>
        <w:ind w:left="524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Aug. 3, 2024</w:t>
      </w:r>
      <w:r>
        <w:rPr>
          <w:sz w:val="20"/>
          <w:szCs w:val="20"/>
          <w:color w:val="auto"/>
        </w:rPr>
        <w:tab/>
      </w:r>
      <w:r>
        <w:rPr>
          <w:rFonts w:ascii="Times New Roman" w:cs="Times New Roman" w:eastAsia="Times New Roman" w:hAnsi="Times New Roman"/>
          <w:sz w:val="17"/>
          <w:szCs w:val="17"/>
          <w:b w:val="1"/>
          <w:bCs w:val="1"/>
          <w:color w:val="auto"/>
        </w:rPr>
        <w:t>Jul. 29, 2023</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19685</wp:posOffset>
            </wp:positionV>
            <wp:extent cx="1962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Aug. 3, 2024</w:t>
      </w:r>
      <w:r>
        <w:rPr>
          <w:sz w:val="20"/>
          <w:szCs w:val="20"/>
          <w:color w:val="auto"/>
        </w:rPr>
        <w:tab/>
      </w:r>
      <w:r>
        <w:rPr>
          <w:rFonts w:ascii="Times New Roman" w:cs="Times New Roman" w:eastAsia="Times New Roman" w:hAnsi="Times New Roman"/>
          <w:sz w:val="17"/>
          <w:szCs w:val="17"/>
          <w:b w:val="1"/>
          <w:bCs w:val="1"/>
          <w:color w:val="auto"/>
        </w:rPr>
        <w:t>Jul. 29, 2023</w:t>
      </w:r>
    </w:p>
    <w:p>
      <w:pPr>
        <w:spacing w:after="0" w:line="31" w:lineRule="exact"/>
        <w:rPr>
          <w:sz w:val="20"/>
          <w:szCs w:val="20"/>
          <w:color w:val="auto"/>
        </w:rPr>
      </w:pPr>
    </w:p>
    <w:p>
      <w:pPr>
        <w:sectPr>
          <w:pgSz w:w="11900" w:h="16838" w:orient="portrait"/>
          <w:cols w:equalWidth="0" w:num="2">
            <w:col w:w="7780" w:space="640"/>
            <w:col w:w="282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29"/>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2,816,149</w:t>
            </w:r>
          </w:p>
        </w:tc>
      </w:tr>
      <w:tr>
        <w:trPr>
          <w:trHeight w:val="176"/>
        </w:trPr>
        <w:tc>
          <w:tcPr>
            <w:tcW w:w="496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9"/>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4"/>
        </w:trPr>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265,530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251,785</w:t>
            </w:r>
          </w:p>
        </w:tc>
      </w:tr>
      <w:tr>
        <w:trPr>
          <w:trHeight w:val="229"/>
        </w:trPr>
        <w:tc>
          <w:tcPr>
            <w:tcW w:w="4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1,318,325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1,505,201</w:t>
            </w:r>
          </w:p>
        </w:tc>
      </w:tr>
      <w:tr>
        <w:trPr>
          <w:trHeight w:val="230"/>
        </w:trPr>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227,113</w:t>
            </w:r>
          </w:p>
        </w:tc>
      </w:tr>
      <w:tr>
        <w:trPr>
          <w:trHeight w:val="229"/>
        </w:trPr>
        <w:tc>
          <w:tcPr>
            <w:tcW w:w="4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(431,393)</w:t>
            </w:r>
          </w:p>
        </w:tc>
      </w:tr>
      <w:tr>
        <w:trPr>
          <w:trHeight w:val="229"/>
        </w:trPr>
        <w:tc>
          <w:tcPr>
            <w:tcW w:w="4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19,130</w:t>
            </w:r>
          </w:p>
        </w:tc>
      </w:tr>
      <w:tr>
        <w:trPr>
          <w:trHeight w:val="230"/>
        </w:trPr>
        <w:tc>
          <w:tcPr>
            <w:tcW w:w="49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(757,645)</w:t>
            </w:r>
          </w:p>
        </w:tc>
      </w:tr>
      <w:tr>
        <w:trPr>
          <w:trHeight w:val="223"/>
        </w:trPr>
        <w:tc>
          <w:tcPr>
            <w:tcW w:w="4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adjustments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462,795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1,644,511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814,191</w:t>
            </w: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855,027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1,142,454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2,801,712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3,630,340</w:t>
            </w:r>
          </w:p>
        </w:tc>
      </w:tr>
      <w:tr>
        <w:trPr>
          <w:trHeight w:val="20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Additions to property, plant and equipment,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(785,070)</w:t>
            </w:r>
          </w:p>
        </w:tc>
      </w:tr>
      <w:tr>
        <w:trPr>
          <w:trHeight w:val="229"/>
        </w:trPr>
        <w:tc>
          <w:tcPr>
            <w:tcW w:w="4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(787,324)</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debt</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Early termination of debt</w:t>
            </w:r>
          </w:p>
        </w:tc>
        <w:tc>
          <w:tcPr>
            <w:tcW w:w="3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(65,688)</w:t>
            </w:r>
          </w:p>
        </w:tc>
      </w:tr>
      <w:tr>
        <w:trPr>
          <w:trHeight w:val="23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commercial paper notes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2,326,091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2,392,874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7,709,492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2,646,509</w:t>
            </w:r>
          </w:p>
        </w:tc>
      </w:tr>
      <w:tr>
        <w:trPr>
          <w:trHeight w:val="230"/>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of commercial paper notes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(2,326,883)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(2,101,799)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(7,709,273)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(2,101,799)</w:t>
            </w:r>
          </w:p>
        </w:tc>
      </w:tr>
      <w:tr>
        <w:trPr>
          <w:trHeight w:val="23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(2,494,018)</w:t>
            </w:r>
          </w:p>
        </w:tc>
      </w:tr>
      <w:tr>
        <w:trPr>
          <w:trHeight w:val="229"/>
        </w:trPr>
        <w:tc>
          <w:tcPr>
            <w:tcW w:w="4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payments to shareholders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(1,338,703)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(1,251,121)</w:t>
            </w:r>
          </w:p>
        </w:tc>
      </w:tr>
      <w:tr>
        <w:trPr>
          <w:trHeight w:val="230"/>
        </w:trPr>
        <w:tc>
          <w:tcPr>
            <w:tcW w:w="4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113,002</w:t>
            </w:r>
          </w:p>
        </w:tc>
      </w:tr>
      <w:tr>
        <w:trPr>
          <w:trHeight w:val="230"/>
        </w:trPr>
        <w:tc>
          <w:tcPr>
            <w:tcW w:w="4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(11,227)</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(516,624)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(844,070)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(3,164,342)</w:t>
            </w: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166,337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1,147,971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(321,326)</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1,939,695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1,177,609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958,061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1,470,572</w:t>
            </w: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2,106,032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1,149,246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2,106,032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1,149,246</w:t>
            </w:r>
          </w:p>
        </w:tc>
      </w:tr>
      <w:tr>
        <w:trPr>
          <w:trHeight w:val="21"/>
        </w:trPr>
        <w:tc>
          <w:tcPr>
            <w:tcW w:w="4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87"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REVENUE TRENDS BY END MARKET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4"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 can vary over time.</w:t>
      </w:r>
    </w:p>
    <w:p>
      <w:pPr>
        <w:spacing w:after="0" w:line="1"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When this occurs, we reclassify revenue by end market for prior periods. Such reclassifications typically do not materially change the sizing of, or the underlying trends of results within, each end market.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r>
      <w:tr>
        <w:trPr>
          <w:trHeight w:val="223"/>
        </w:trPr>
        <w:tc>
          <w:tcPr>
            <w:tcW w:w="2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July 29, 2023</w:t>
            </w:r>
          </w:p>
        </w:tc>
      </w:tr>
      <w:tr>
        <w:trPr>
          <w:trHeight w:val="263"/>
        </w:trPr>
        <w:tc>
          <w:tcPr>
            <w:tcW w:w="2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 of Revenue</w:t>
            </w:r>
            <w:r>
              <w:rPr>
                <w:rFonts w:ascii="Times New Roman" w:cs="Times New Roman" w:eastAsia="Times New Roman" w:hAnsi="Times New Roman"/>
                <w:sz w:val="23"/>
                <w:szCs w:val="23"/>
                <w:b w:val="1"/>
                <w:bCs w:val="1"/>
                <w:i w:val="1"/>
                <w:iCs w:val="1"/>
                <w:color w:val="auto"/>
                <w:vertAlign w:val="superscript"/>
              </w:rPr>
              <w:t>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Y/Y%</w:t>
            </w:r>
          </w:p>
        </w:tc>
        <w:tc>
          <w:tcPr>
            <w:tcW w:w="26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 of Revenue</w:t>
            </w:r>
            <w:r>
              <w:rPr>
                <w:rFonts w:ascii="Times New Roman" w:cs="Times New Roman" w:eastAsia="Times New Roman" w:hAnsi="Times New Roman"/>
                <w:sz w:val="23"/>
                <w:szCs w:val="23"/>
                <w:b w:val="1"/>
                <w:bCs w:val="1"/>
                <w:i w:val="1"/>
                <w:iCs w:val="1"/>
                <w:color w:val="auto"/>
                <w:vertAlign w:val="superscript"/>
              </w:rPr>
              <w:t>1</w:t>
            </w:r>
          </w:p>
        </w:tc>
      </w:tr>
      <w:tr>
        <w:trPr>
          <w:trHeight w:val="223"/>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1,058,704</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1,683,843</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55%</w:t>
            </w:r>
          </w:p>
        </w:tc>
      </w:tr>
      <w:tr>
        <w:trPr>
          <w:trHeight w:val="27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670,304</w:t>
            </w:r>
          </w:p>
        </w:tc>
        <w:tc>
          <w:tcPr>
            <w:tcW w:w="100" w:type="dxa"/>
            <w:vAlign w:val="bottom"/>
          </w:tcPr>
          <w:p>
            <w:pPr>
              <w:spacing w:after="0"/>
              <w:rPr>
                <w:sz w:val="23"/>
                <w:szCs w:val="23"/>
                <w:color w:val="auto"/>
              </w:rPr>
            </w:pPr>
          </w:p>
        </w:tc>
        <w:tc>
          <w:tcPr>
            <w:tcW w:w="16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29%</w:t>
            </w:r>
          </w:p>
        </w:tc>
        <w:tc>
          <w:tcPr>
            <w:tcW w:w="158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9"/>
              </w:rPr>
              <w:t>(8)%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727,315</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266,599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12%</w:t>
            </w:r>
          </w:p>
        </w:tc>
        <w:tc>
          <w:tcPr>
            <w:tcW w:w="158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7"/>
              </w:rPr>
              <w:t>(26)%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358,520</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r>
      <w:tr>
        <w:trPr>
          <w:trHeight w:val="23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316,602</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306,817</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43"/>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2,312,209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100%</w:t>
            </w: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3,076,495</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r>
      <w:tr>
        <w:trPr>
          <w:trHeight w:val="20"/>
        </w:trPr>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393"/>
        </w:trPr>
        <w:tc>
          <w:tcPr>
            <w:tcW w:w="2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r>
        <w:trPr>
          <w:trHeight w:val="223"/>
        </w:trPr>
        <w:tc>
          <w:tcPr>
            <w:tcW w:w="2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July 29, 2023</w:t>
            </w:r>
          </w:p>
        </w:tc>
      </w:tr>
      <w:tr>
        <w:trPr>
          <w:trHeight w:val="263"/>
        </w:trPr>
        <w:tc>
          <w:tcPr>
            <w:tcW w:w="2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 of Revenue</w:t>
            </w:r>
            <w:r>
              <w:rPr>
                <w:rFonts w:ascii="Times New Roman" w:cs="Times New Roman" w:eastAsia="Times New Roman" w:hAnsi="Times New Roman"/>
                <w:sz w:val="23"/>
                <w:szCs w:val="23"/>
                <w:b w:val="1"/>
                <w:bCs w:val="1"/>
                <w:i w:val="1"/>
                <w:iCs w:val="1"/>
                <w:color w:val="auto"/>
                <w:vertAlign w:val="superscript"/>
              </w:rPr>
              <w:t>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Y/Y %</w:t>
            </w:r>
          </w:p>
        </w:tc>
        <w:tc>
          <w:tcPr>
            <w:tcW w:w="26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 of Revenue</w:t>
            </w:r>
            <w:r>
              <w:rPr>
                <w:rFonts w:ascii="Times New Roman" w:cs="Times New Roman" w:eastAsia="Times New Roman" w:hAnsi="Times New Roman"/>
                <w:sz w:val="23"/>
                <w:szCs w:val="23"/>
                <w:b w:val="1"/>
                <w:bCs w:val="1"/>
                <w:i w:val="1"/>
                <w:iCs w:val="1"/>
                <w:color w:val="auto"/>
                <w:vertAlign w:val="superscript"/>
              </w:rPr>
              <w:t>1</w:t>
            </w:r>
          </w:p>
        </w:tc>
      </w:tr>
      <w:tr>
        <w:trPr>
          <w:trHeight w:val="223"/>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3,252,757</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5,252,078</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55%</w:t>
            </w:r>
          </w:p>
        </w:tc>
      </w:tr>
      <w:tr>
        <w:trPr>
          <w:trHeight w:val="27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2,082,869</w:t>
            </w:r>
          </w:p>
        </w:tc>
        <w:tc>
          <w:tcPr>
            <w:tcW w:w="100" w:type="dxa"/>
            <w:vAlign w:val="bottom"/>
          </w:tcPr>
          <w:p>
            <w:pPr>
              <w:spacing w:after="0"/>
              <w:rPr>
                <w:sz w:val="23"/>
                <w:szCs w:val="23"/>
                <w:color w:val="auto"/>
              </w:rPr>
            </w:pPr>
          </w:p>
        </w:tc>
        <w:tc>
          <w:tcPr>
            <w:tcW w:w="16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30%</w:t>
            </w:r>
          </w:p>
        </w:tc>
        <w:tc>
          <w:tcPr>
            <w:tcW w:w="158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9"/>
              </w:rPr>
              <w:t>(3)%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2,146,320</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w:t>
            </w: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12%</w:t>
            </w:r>
          </w:p>
        </w:tc>
        <w:tc>
          <w:tcPr>
            <w:tcW w:w="158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7"/>
              </w:rPr>
              <w:t>(36)%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1,273,265</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r>
      <w:tr>
        <w:trPr>
          <w:trHeight w:val="23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837,176</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CCEEFF"/>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917,392</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4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6,983,952</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100%</w:t>
            </w:r>
          </w:p>
        </w:tc>
        <w:tc>
          <w:tcPr>
            <w:tcW w:w="158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(27)%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9,589,055</w:t>
            </w:r>
          </w:p>
        </w:tc>
        <w:tc>
          <w:tcPr>
            <w:tcW w:w="100" w:type="dxa"/>
            <w:vAlign w:val="bottom"/>
            <w:shd w:val="clear" w:color="auto" w:fill="CCEEFF"/>
          </w:tcPr>
          <w:p>
            <w:pPr>
              <w:spacing w:after="0"/>
              <w:rPr>
                <w:sz w:val="21"/>
                <w:szCs w:val="21"/>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The sum of the individual percentages may not equal the total due to rounding.</w:t>
      </w:r>
    </w:p>
    <w:p>
      <w:pPr>
        <w:sectPr>
          <w:pgSz w:w="11900" w:h="16838" w:orient="portrait"/>
          <w:cols w:equalWidth="0" w:num="1">
            <w:col w:w="11240"/>
          </w:cols>
          <w:pgMar w:left="320" w:top="88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GAAP TO NON-GAAP RESULTS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22860</wp:posOffset>
            </wp:positionV>
            <wp:extent cx="44919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p>
      <w:pPr>
        <w:spacing w:after="0" w:line="47"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21590</wp:posOffset>
            </wp:positionV>
            <wp:extent cx="22117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26" w:lineRule="exact"/>
        <w:rPr>
          <w:sz w:val="20"/>
          <w:szCs w:val="20"/>
          <w:color w:val="auto"/>
        </w:rPr>
      </w:pPr>
    </w:p>
    <w:p>
      <w:pPr>
        <w:ind w:left="4580"/>
        <w:spacing w:after="0"/>
        <w:tabs>
          <w:tab w:leader="none" w:pos="6340" w:val="left"/>
        </w:tabs>
        <w:rPr>
          <w:sz w:val="20"/>
          <w:szCs w:val="20"/>
          <w:color w:val="auto"/>
        </w:rPr>
      </w:pPr>
      <w:r>
        <w:rPr>
          <w:rFonts w:ascii="Times New Roman" w:cs="Times New Roman" w:eastAsia="Times New Roman" w:hAnsi="Times New Roman"/>
          <w:sz w:val="16"/>
          <w:szCs w:val="16"/>
          <w:b w:val="1"/>
          <w:bCs w:val="1"/>
          <w:color w:val="auto"/>
        </w:rPr>
        <w:t>Aug. 3, 2024</w:t>
      </w:r>
      <w:r>
        <w:rPr>
          <w:sz w:val="20"/>
          <w:szCs w:val="20"/>
          <w:color w:val="auto"/>
        </w:rPr>
        <w:tab/>
      </w:r>
      <w:r>
        <w:rPr>
          <w:rFonts w:ascii="Times New Roman" w:cs="Times New Roman" w:eastAsia="Times New Roman" w:hAnsi="Times New Roman"/>
          <w:sz w:val="16"/>
          <w:szCs w:val="16"/>
          <w:b w:val="1"/>
          <w:bCs w:val="1"/>
          <w:color w:val="auto"/>
        </w:rPr>
        <w:t>Jul. 29, 2023</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b w:val="1"/>
          <w:bCs w:val="1"/>
          <w:color w:val="242424"/>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21590</wp:posOffset>
            </wp:positionV>
            <wp:extent cx="22199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26"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6"/>
          <w:szCs w:val="16"/>
          <w:b w:val="1"/>
          <w:bCs w:val="1"/>
          <w:color w:val="auto"/>
        </w:rPr>
        <w:t>Aug. 3, 2024</w:t>
      </w:r>
      <w:r>
        <w:rPr>
          <w:sz w:val="20"/>
          <w:szCs w:val="20"/>
          <w:color w:val="auto"/>
        </w:rPr>
        <w:tab/>
      </w:r>
      <w:r>
        <w:rPr>
          <w:rFonts w:ascii="Times New Roman" w:cs="Times New Roman" w:eastAsia="Times New Roman" w:hAnsi="Times New Roman"/>
          <w:sz w:val="16"/>
          <w:szCs w:val="16"/>
          <w:b w:val="1"/>
          <w:bCs w:val="1"/>
          <w:color w:val="auto"/>
        </w:rPr>
        <w:t>Jul. 29, 2023</w:t>
      </w:r>
    </w:p>
    <w:p>
      <w:pPr>
        <w:spacing w:after="0" w:line="28" w:lineRule="exact"/>
        <w:rPr>
          <w:sz w:val="20"/>
          <w:szCs w:val="20"/>
          <w:color w:val="auto"/>
        </w:rPr>
      </w:pPr>
    </w:p>
    <w:p>
      <w:pPr>
        <w:sectPr>
          <w:pgSz w:w="11900" w:h="16838" w:orient="portrait"/>
          <w:cols w:equalWidth="0" w:num="2">
            <w:col w:w="7440" w:space="720"/>
            <w:col w:w="3080"/>
          </w:cols>
          <w:pgMar w:left="320" w:top="684"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1,311,239</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1,961,615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3,965,215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6,230,502</w:t>
            </w:r>
          </w:p>
        </w:tc>
      </w:tr>
      <w:tr>
        <w:trPr>
          <w:trHeight w:val="230"/>
        </w:trPr>
        <w:tc>
          <w:tcPr>
            <w:tcW w:w="4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Gross margin percentage</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29"/>
        </w:trPr>
        <w:tc>
          <w:tcPr>
            <w:tcW w:w="4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259,296</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260,557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778,821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787,383</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gross margin</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1,570,535</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2,222,172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4,744,036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7,017,885</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Adjusted gross margin percentage</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73.2 %</w:t>
            </w:r>
          </w:p>
        </w:tc>
      </w:tr>
      <w:tr>
        <w:trPr>
          <w:trHeight w:val="257"/>
        </w:trPr>
        <w:tc>
          <w:tcPr>
            <w:tcW w:w="4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819,920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1,032,122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2,501,809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3,041,805</w:t>
            </w:r>
          </w:p>
        </w:tc>
      </w:tr>
      <w:tr>
        <w:trPr>
          <w:trHeight w:val="229"/>
        </w:trPr>
        <w:tc>
          <w:tcPr>
            <w:tcW w:w="4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Percent of revenue</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31.7 %</w:t>
            </w:r>
          </w:p>
        </w:tc>
      </w:tr>
      <w:tr>
        <w:trPr>
          <w:trHeight w:val="230"/>
        </w:trPr>
        <w:tc>
          <w:tcPr>
            <w:tcW w:w="4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(188,882)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(254,719)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(571,504)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(770,071)</w:t>
            </w:r>
          </w:p>
        </w:tc>
      </w:tr>
      <w:tr>
        <w:trPr>
          <w:trHeight w:val="229"/>
        </w:trPr>
        <w:tc>
          <w:tcPr>
            <w:tcW w:w="41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Acquisition related transaction costs</w:t>
            </w:r>
          </w:p>
        </w:tc>
        <w:tc>
          <w:tcPr>
            <w:tcW w:w="44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(7,069)</w:t>
            </w:r>
          </w:p>
        </w:tc>
      </w:tr>
      <w:tr>
        <w:trPr>
          <w:trHeight w:val="229"/>
        </w:trPr>
        <w:tc>
          <w:tcPr>
            <w:tcW w:w="4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Special charges, net</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(12,282)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(23,539)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(34,399)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(46,675)</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operating expenses</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618,756</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752,027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1,895,906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2,217,990</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Adjusted operating expenses percentage</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r>
      <w:tr>
        <w:trPr>
          <w:trHeight w:val="257"/>
        </w:trPr>
        <w:tc>
          <w:tcPr>
            <w:tcW w:w="4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491,319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929,493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1,463,406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3,188,697</w:t>
            </w:r>
          </w:p>
        </w:tc>
      </w:tr>
      <w:tr>
        <w:trPr>
          <w:trHeight w:val="230"/>
        </w:trPr>
        <w:tc>
          <w:tcPr>
            <w:tcW w:w="4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margin</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33.3 %</w:t>
            </w:r>
          </w:p>
        </w:tc>
      </w:tr>
      <w:tr>
        <w:trPr>
          <w:trHeight w:val="229"/>
        </w:trPr>
        <w:tc>
          <w:tcPr>
            <w:tcW w:w="4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448,178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515,276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1,350,325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1,557,454</w:t>
            </w:r>
          </w:p>
        </w:tc>
      </w:tr>
      <w:tr>
        <w:trPr>
          <w:trHeight w:val="229"/>
        </w:trPr>
        <w:tc>
          <w:tcPr>
            <w:tcW w:w="41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Acquisition related transaction costs</w:t>
            </w:r>
          </w:p>
        </w:tc>
        <w:tc>
          <w:tcPr>
            <w:tcW w:w="44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7,069</w:t>
            </w:r>
          </w:p>
        </w:tc>
      </w:tr>
      <w:tr>
        <w:trPr>
          <w:trHeight w:val="230"/>
        </w:trPr>
        <w:tc>
          <w:tcPr>
            <w:tcW w:w="4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Special charges, net</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12,282</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23,539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34,399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46,675</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951,779</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1,470,145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2,848,130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4,799,895</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Adjusted operating margin</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r>
      <w:tr>
        <w:trPr>
          <w:trHeight w:val="257"/>
        </w:trPr>
        <w:tc>
          <w:tcPr>
            <w:tcW w:w="4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Nonoperating expense (income)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68,328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54,672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202,394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152,480</w:t>
            </w:r>
          </w:p>
        </w:tc>
      </w:tr>
      <w:tr>
        <w:trPr>
          <w:trHeight w:val="229"/>
        </w:trPr>
        <w:tc>
          <w:tcPr>
            <w:tcW w:w="41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2,150</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6,450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11,593</w:t>
            </w: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nonoperating expense (income)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70,478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56,822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208,844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164,073</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422,991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874,821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1,261,012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3,036,217</w:t>
            </w:r>
          </w:p>
        </w:tc>
      </w:tr>
      <w:tr>
        <w:trPr>
          <w:trHeight w:val="229"/>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4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446,028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513,126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1,343,875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1,545,861</w:t>
            </w:r>
          </w:p>
        </w:tc>
      </w:tr>
      <w:tr>
        <w:trPr>
          <w:trHeight w:val="23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related transaction costs</w:t>
            </w:r>
          </w:p>
        </w:tc>
        <w:tc>
          <w:tcPr>
            <w:tcW w:w="4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7,069</w:t>
            </w:r>
          </w:p>
        </w:tc>
      </w:tr>
      <w:tr>
        <w:trPr>
          <w:trHeight w:val="230"/>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Special charges, net</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12,282</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23,539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34,399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46,675</w:t>
            </w: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income before income taxes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881,301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1,413,323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2,639,286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4,635,822</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30,759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103,811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220,068</w:t>
            </w: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30"/>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related items</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64,036</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160,500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188,995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317,591</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provision for income taxes</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94,795</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158,302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292,806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537,659</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tax rate</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70"/>
        </w:trPr>
        <w:tc>
          <w:tcPr>
            <w:tcW w:w="4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EPS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5.55</w:t>
            </w:r>
          </w:p>
        </w:tc>
      </w:tr>
      <w:tr>
        <w:trPr>
          <w:trHeight w:val="229"/>
        </w:trPr>
        <w:tc>
          <w:tcPr>
            <w:tcW w:w="41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4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3.04</w:t>
            </w:r>
          </w:p>
        </w:tc>
      </w:tr>
      <w:tr>
        <w:trPr>
          <w:trHeight w:val="230"/>
        </w:trPr>
        <w:tc>
          <w:tcPr>
            <w:tcW w:w="4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 related transaction costs</w:t>
            </w:r>
          </w:p>
        </w:tc>
        <w:tc>
          <w:tcPr>
            <w:tcW w:w="4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0.01</w:t>
            </w:r>
          </w:p>
        </w:tc>
      </w:tr>
      <w:tr>
        <w:trPr>
          <w:trHeight w:val="229"/>
        </w:trPr>
        <w:tc>
          <w:tcPr>
            <w:tcW w:w="41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Special charges, net</w:t>
            </w:r>
          </w:p>
        </w:tc>
        <w:tc>
          <w:tcPr>
            <w:tcW w:w="4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0.09</w:t>
            </w:r>
          </w:p>
        </w:tc>
      </w:tr>
      <w:tr>
        <w:trPr>
          <w:trHeight w:val="230"/>
        </w:trPr>
        <w:tc>
          <w:tcPr>
            <w:tcW w:w="4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Tax related items</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(0.63)</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diluted EPS*</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8.07</w:t>
            </w:r>
          </w:p>
        </w:tc>
      </w:tr>
      <w:tr>
        <w:trPr>
          <w:trHeight w:val="20"/>
        </w:trPr>
        <w:tc>
          <w:tcPr>
            <w:tcW w:w="4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sum of the individual per share amounts may not equal the total due to rounding.</w:t>
      </w:r>
    </w:p>
    <w:p>
      <w:pPr>
        <w:sectPr>
          <w:pgSz w:w="11900" w:h="16838" w:orient="portrait"/>
          <w:cols w:equalWidth="0" w:num="1">
            <w:col w:w="11240"/>
          </w:cols>
          <w:pgMar w:left="320" w:top="684"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CASH PROVIDED BY OPERATING ACTIVITIES TO FREE CASH FLOW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Trailing Twelve</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gridSpan w:val="5"/>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40" w:type="dxa"/>
            <w:vAlign w:val="bottom"/>
            <w:gridSpan w:val="5"/>
            <w:vMerge w:val="continue"/>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Aug. 3, 2024</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Aug. 3, 2024</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Feb. 3, 2024</w:t>
            </w: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Oct. 28, 2023</w:t>
            </w: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9,700,436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2,312,209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2,159,039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2,512,704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2,716,484</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3,989,006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855,027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807,853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1,138,832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1,187,294</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(1,041,446)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(153,886)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(188,189)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(222,978)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(476,393)</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2,947,560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701,141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619,664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915,854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710,901</w:t>
            </w:r>
          </w:p>
        </w:tc>
        <w:tc>
          <w:tcPr>
            <w:tcW w:w="0" w:type="dxa"/>
            <w:vAlign w:val="bottom"/>
          </w:tcPr>
          <w:p>
            <w:pPr>
              <w:spacing w:after="0"/>
              <w:rPr>
                <w:sz w:val="1"/>
                <w:szCs w:val="1"/>
                <w:color w:val="auto"/>
              </w:rPr>
            </w:pPr>
          </w:p>
        </w:tc>
      </w:t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bl>
    <w:p>
      <w:pPr>
        <w:sectPr>
          <w:pgSz w:w="11900" w:h="16838" w:orient="portrait"/>
          <w:cols w:equalWidth="0" w:num="1">
            <w:col w:w="11200"/>
          </w:cols>
          <w:pgMar w:left="340" w:top="887" w:right="3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PROJECTED GAAP TO NON-GAAP RESULTS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580" w:type="dxa"/>
            <w:vAlign w:val="bottom"/>
          </w:tcPr>
          <w:p>
            <w:pPr>
              <w:spacing w:after="0"/>
              <w:rPr>
                <w:sz w:val="21"/>
                <w:szCs w:val="21"/>
                <w:color w:val="auto"/>
              </w:rPr>
            </w:pPr>
          </w:p>
        </w:tc>
        <w:tc>
          <w:tcPr>
            <w:tcW w:w="6620" w:type="dxa"/>
            <w:vAlign w:val="bottom"/>
            <w:tcBorders>
              <w:top w:val="single" w:sz="8" w:color="auto"/>
              <w:bottom w:val="single" w:sz="8" w:color="auto"/>
            </w:tcBorders>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rPr>
              <w:t>Three Months Ending November 2, 2024</w:t>
            </w:r>
          </w:p>
        </w:tc>
      </w:tr>
      <w:tr>
        <w:trPr>
          <w:trHeight w:val="223"/>
        </w:trPr>
        <w:tc>
          <w:tcPr>
            <w:tcW w:w="4580" w:type="dxa"/>
            <w:vAlign w:val="bottom"/>
          </w:tcPr>
          <w:p>
            <w:pPr>
              <w:spacing w:after="0"/>
              <w:rPr>
                <w:sz w:val="19"/>
                <w:szCs w:val="19"/>
                <w:color w:val="auto"/>
              </w:rPr>
            </w:pPr>
          </w:p>
        </w:tc>
        <w:tc>
          <w:tcPr>
            <w:tcW w:w="3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 Billion</w:t>
            </w:r>
          </w:p>
        </w:tc>
        <w:tc>
          <w:tcPr>
            <w:tcW w:w="100" w:type="dxa"/>
            <w:vAlign w:val="bottom"/>
            <w:tcBorders>
              <w:top w:val="single" w:sz="8" w:color="CCEEFF"/>
            </w:tcBorders>
            <w:shd w:val="clear" w:color="auto" w:fill="CCEEFF"/>
          </w:tcPr>
          <w:p>
            <w:pPr>
              <w:spacing w:after="0"/>
              <w:rPr>
                <w:sz w:val="19"/>
                <w:szCs w:val="19"/>
                <w:color w:val="auto"/>
              </w:rPr>
            </w:pPr>
          </w:p>
        </w:tc>
        <w:tc>
          <w:tcPr>
            <w:tcW w:w="3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 Billion</w:t>
            </w:r>
          </w:p>
        </w:tc>
      </w:tr>
      <w:tr>
        <w:trPr>
          <w:trHeight w:val="229"/>
        </w:trPr>
        <w:tc>
          <w:tcPr>
            <w:tcW w:w="4580" w:type="dxa"/>
            <w:vAlign w:val="bottom"/>
          </w:tcPr>
          <w:p>
            <w:pPr>
              <w:spacing w:after="0"/>
              <w:rPr>
                <w:sz w:val="19"/>
                <w:szCs w:val="19"/>
                <w:color w:val="auto"/>
              </w:rPr>
            </w:pPr>
          </w:p>
        </w:tc>
        <w:tc>
          <w:tcPr>
            <w:tcW w:w="3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 $100 Million)</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$100 Million)</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22.3%</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41.0% (1)</w:t>
            </w:r>
          </w:p>
        </w:tc>
      </w:tr>
      <w:tr>
        <w:trPr>
          <w:trHeight w:val="229"/>
        </w:trPr>
        <w:tc>
          <w:tcPr>
            <w:tcW w:w="4580" w:type="dxa"/>
            <w:vAlign w:val="bottom"/>
          </w:tcPr>
          <w:p>
            <w:pPr>
              <w:spacing w:after="0"/>
              <w:rPr>
                <w:sz w:val="19"/>
                <w:szCs w:val="19"/>
                <w:color w:val="auto"/>
              </w:rPr>
            </w:pPr>
          </w:p>
        </w:tc>
        <w:tc>
          <w:tcPr>
            <w:tcW w:w="3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(+/-180 bps)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bps)</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expenses</w:t>
            </w:r>
          </w:p>
        </w:tc>
        <w:tc>
          <w:tcPr>
            <w:tcW w:w="3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 $60 Million</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$60 Million</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rate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 - 12%</w:t>
            </w:r>
          </w:p>
        </w:tc>
        <w:tc>
          <w:tcPr>
            <w:tcW w:w="10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 - 13% (2)</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$0.85</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$1.63 (3)</w:t>
            </w:r>
          </w:p>
        </w:tc>
      </w:tr>
      <w:tr>
        <w:trPr>
          <w:trHeight w:val="234"/>
        </w:trPr>
        <w:tc>
          <w:tcPr>
            <w:tcW w:w="458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$0.10)</w:t>
            </w:r>
          </w:p>
        </w:tc>
        <w:tc>
          <w:tcPr>
            <w:tcW w:w="1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$0.10)</w:t>
            </w:r>
          </w:p>
        </w:tc>
      </w:tr>
    </w:tbl>
    <w:p>
      <w:pPr>
        <w:spacing w:after="0" w:line="314" w:lineRule="exact"/>
        <w:rPr>
          <w:sz w:val="20"/>
          <w:szCs w:val="20"/>
          <w:color w:val="auto"/>
        </w:rPr>
      </w:pPr>
    </w:p>
    <w:p>
      <w:pPr>
        <w:ind w:right="180" w:firstLine="8"/>
        <w:spacing w:after="0" w:line="261"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$450 million of adjustments related to acquisition related expenses as previously defined in the Non-GAAP Financial Information section of this press release.</w:t>
      </w: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$59 million of tax effects associated with the adjustment for acquisition related expenses noted above.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$0.78 of adjustments related to the net impact of acquisition related expenses and the tax effects on those items.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more information, please contact: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Analog Devices,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Michael Lucarelli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Investor Relations and FP&amp;A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781-461-3282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investor.relations@analog.com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Analog Devices,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Ms. Ferda Millan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Global PR &amp; External Communications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Ferda.Millan@analog.com</w:t>
      </w: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2024-08-21T06:05:28Z</dcterms:created>
  <dcterms:modified xsi:type="dcterms:W3CDTF">2024-08-21T06:05:28Z</dcterms:modified>
</cp:coreProperties>
</file>