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Form 10-Q</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 w:lineRule="exact"/>
        <w:rPr>
          <w:sz w:val="20"/>
          <w:szCs w:val="20"/>
          <w:color w:val="auto"/>
        </w:rPr>
      </w:pPr>
    </w:p>
    <w:p>
      <w:pPr>
        <w:ind w:left="2860" w:hanging="1238"/>
        <w:spacing w:after="0"/>
        <w:tabs>
          <w:tab w:leader="none" w:pos="28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 (d) OF THE</w:t>
      </w:r>
    </w:p>
    <w:p>
      <w:pPr>
        <w:spacing w:after="0" w:line="16" w:lineRule="exact"/>
        <w:rPr>
          <w:rFonts w:ascii="MS PGothic" w:cs="MS PGothic" w:eastAsia="MS PGothic" w:hAnsi="MS PGothic"/>
          <w:sz w:val="18"/>
          <w:szCs w:val="18"/>
          <w:color w:val="auto"/>
          <w:highlight w:val="black"/>
        </w:rPr>
      </w:pPr>
    </w:p>
    <w:p>
      <w:pPr>
        <w:ind w:left="41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 2002</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60" w:hanging="1201"/>
        <w:spacing w:after="0"/>
        <w:tabs>
          <w:tab w:leader="none" w:pos="28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 (d) OF THE</w:t>
      </w:r>
    </w:p>
    <w:p>
      <w:pPr>
        <w:spacing w:after="0" w:line="23" w:lineRule="exact"/>
        <w:rPr>
          <w:rFonts w:ascii="Times New Roman" w:cs="Times New Roman" w:eastAsia="Times New Roman" w:hAnsi="Times New Roman"/>
          <w:sz w:val="18"/>
          <w:szCs w:val="18"/>
          <w:b w:val="1"/>
          <w:bCs w:val="1"/>
          <w:color w:val="auto"/>
        </w:rPr>
      </w:pPr>
    </w:p>
    <w:p>
      <w:pPr>
        <w:ind w:left="4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EXCHANGE ACT OF 1934</w:t>
      </w:r>
    </w:p>
    <w:p>
      <w:pPr>
        <w:spacing w:after="0" w:line="21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from_______________ to ________________</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No. 1-7819</w:t>
      </w:r>
    </w:p>
    <w:p>
      <w:pPr>
        <w:spacing w:after="0" w:line="1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0" w:lineRule="exact"/>
        <w:rPr>
          <w:sz w:val="20"/>
          <w:szCs w:val="20"/>
          <w:color w:val="auto"/>
        </w:rPr>
      </w:pPr>
    </w:p>
    <w:p>
      <w:pPr>
        <w:spacing w:after="0" w:line="246"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5740" w:type="dxa"/>
            <w:vAlign w:val="bottom"/>
          </w:tcPr>
          <w:p>
            <w:pPr>
              <w:jc w:val="center"/>
              <w:ind w:right="2892"/>
              <w:spacing w:after="0"/>
              <w:rPr>
                <w:sz w:val="20"/>
                <w:szCs w:val="20"/>
                <w:color w:val="auto"/>
              </w:rPr>
            </w:pPr>
            <w:r>
              <w:rPr>
                <w:rFonts w:ascii="Times New Roman" w:cs="Times New Roman" w:eastAsia="Times New Roman" w:hAnsi="Times New Roman"/>
                <w:sz w:val="18"/>
                <w:szCs w:val="18"/>
                <w:b w:val="1"/>
                <w:bCs w:val="1"/>
                <w:color w:val="auto"/>
                <w:w w:val="97"/>
              </w:rPr>
              <w:t>Massachusetts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04-2348234</w:t>
            </w:r>
          </w:p>
        </w:tc>
      </w:tr>
      <w:tr>
        <w:trPr>
          <w:trHeight w:val="216"/>
        </w:trPr>
        <w:tc>
          <w:tcPr>
            <w:tcW w:w="5740" w:type="dxa"/>
            <w:vAlign w:val="bottom"/>
          </w:tcPr>
          <w:p>
            <w:pPr>
              <w:jc w:val="center"/>
              <w:ind w:right="2912"/>
              <w:spacing w:after="0"/>
              <w:rPr>
                <w:sz w:val="20"/>
                <w:szCs w:val="20"/>
                <w:color w:val="auto"/>
              </w:rPr>
            </w:pPr>
            <w:r>
              <w:rPr>
                <w:rFonts w:ascii="Times New Roman" w:cs="Times New Roman" w:eastAsia="Times New Roman" w:hAnsi="Times New Roman"/>
                <w:sz w:val="18"/>
                <w:szCs w:val="18"/>
                <w:i w:val="1"/>
                <w:iCs w:val="1"/>
                <w:color w:val="auto"/>
                <w:w w:val="97"/>
              </w:rPr>
              <w:t>(State or other jurisdiction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(I.R.S. Employer</w:t>
            </w:r>
          </w:p>
        </w:tc>
      </w:tr>
      <w:tr>
        <w:trPr>
          <w:trHeight w:val="230"/>
        </w:trPr>
        <w:tc>
          <w:tcPr>
            <w:tcW w:w="5740" w:type="dxa"/>
            <w:vAlign w:val="bottom"/>
          </w:tcPr>
          <w:p>
            <w:pPr>
              <w:jc w:val="center"/>
              <w:ind w:right="2892"/>
              <w:spacing w:after="0"/>
              <w:rPr>
                <w:sz w:val="20"/>
                <w:szCs w:val="20"/>
                <w:color w:val="auto"/>
              </w:rPr>
            </w:pPr>
            <w:r>
              <w:rPr>
                <w:rFonts w:ascii="Times New Roman" w:cs="Times New Roman" w:eastAsia="Times New Roman" w:hAnsi="Times New Roman"/>
                <w:sz w:val="18"/>
                <w:szCs w:val="18"/>
                <w:i w:val="1"/>
                <w:iCs w:val="1"/>
                <w:color w:val="auto"/>
                <w:w w:val="96"/>
              </w:rPr>
              <w:t>incorporation or organization)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Identification No.)</w:t>
            </w:r>
          </w:p>
        </w:tc>
      </w:tr>
      <w:tr>
        <w:trPr>
          <w:trHeight w:val="418"/>
        </w:trPr>
        <w:tc>
          <w:tcPr>
            <w:tcW w:w="5740" w:type="dxa"/>
            <w:vAlign w:val="bottom"/>
          </w:tcPr>
          <w:p>
            <w:pPr>
              <w:jc w:val="center"/>
              <w:ind w:right="2912"/>
              <w:spacing w:after="0"/>
              <w:rPr>
                <w:sz w:val="20"/>
                <w:szCs w:val="20"/>
                <w:color w:val="auto"/>
              </w:rPr>
            </w:pPr>
            <w:r>
              <w:rPr>
                <w:rFonts w:ascii="Times New Roman" w:cs="Times New Roman" w:eastAsia="Times New Roman" w:hAnsi="Times New Roman"/>
                <w:sz w:val="18"/>
                <w:szCs w:val="18"/>
                <w:b w:val="1"/>
                <w:bCs w:val="1"/>
                <w:color w:val="auto"/>
                <w:w w:val="96"/>
              </w:rPr>
              <w:t>One Technology Way, Norwood, MA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02062-9106</w:t>
            </w:r>
          </w:p>
        </w:tc>
      </w:tr>
      <w:tr>
        <w:trPr>
          <w:trHeight w:val="230"/>
        </w:trPr>
        <w:tc>
          <w:tcPr>
            <w:tcW w:w="5740" w:type="dxa"/>
            <w:vAlign w:val="bottom"/>
          </w:tcPr>
          <w:p>
            <w:pPr>
              <w:jc w:val="center"/>
              <w:ind w:right="2912"/>
              <w:spacing w:after="0"/>
              <w:rPr>
                <w:sz w:val="20"/>
                <w:szCs w:val="20"/>
                <w:color w:val="auto"/>
              </w:rPr>
            </w:pPr>
            <w:r>
              <w:rPr>
                <w:rFonts w:ascii="Times New Roman" w:cs="Times New Roman" w:eastAsia="Times New Roman" w:hAnsi="Times New Roman"/>
                <w:sz w:val="18"/>
                <w:szCs w:val="18"/>
                <w:i w:val="1"/>
                <w:iCs w:val="1"/>
                <w:color w:val="auto"/>
                <w:w w:val="97"/>
              </w:rPr>
              <w:t>(Address of principal executive offices)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(Zip Code)</w:t>
            </w:r>
          </w:p>
        </w:tc>
      </w:tr>
      <w:tr>
        <w:trPr>
          <w:trHeight w:val="418"/>
        </w:trPr>
        <w:tc>
          <w:tcPr>
            <w:tcW w:w="5740" w:type="dxa"/>
            <w:vAlign w:val="bottom"/>
          </w:tcPr>
          <w:p>
            <w:pPr>
              <w:jc w:val="right"/>
              <w:ind w:right="1312"/>
              <w:spacing w:after="0"/>
              <w:rPr>
                <w:sz w:val="20"/>
                <w:szCs w:val="20"/>
                <w:color w:val="auto"/>
              </w:rPr>
            </w:pPr>
            <w:r>
              <w:rPr>
                <w:rFonts w:ascii="Times New Roman" w:cs="Times New Roman" w:eastAsia="Times New Roman" w:hAnsi="Times New Roman"/>
                <w:sz w:val="18"/>
                <w:szCs w:val="18"/>
                <w:b w:val="1"/>
                <w:bCs w:val="1"/>
                <w:color w:val="auto"/>
              </w:rPr>
              <w:t>(781) 329-4700</w:t>
            </w:r>
          </w:p>
        </w:tc>
        <w:tc>
          <w:tcPr>
            <w:tcW w:w="1380" w:type="dxa"/>
            <w:vAlign w:val="bottom"/>
          </w:tcPr>
          <w:p>
            <w:pPr>
              <w:spacing w:after="0"/>
              <w:rPr>
                <w:sz w:val="24"/>
                <w:szCs w:val="24"/>
                <w:color w:val="auto"/>
              </w:rPr>
            </w:pPr>
          </w:p>
        </w:tc>
      </w:tr>
      <w:tr>
        <w:trPr>
          <w:trHeight w:val="230"/>
        </w:trPr>
        <w:tc>
          <w:tcPr>
            <w:tcW w:w="5740" w:type="dxa"/>
            <w:vAlign w:val="bottom"/>
          </w:tcPr>
          <w:p>
            <w:pPr>
              <w:jc w:val="center"/>
              <w:ind w:left="1772"/>
              <w:spacing w:after="0"/>
              <w:rPr>
                <w:sz w:val="20"/>
                <w:szCs w:val="20"/>
                <w:color w:val="auto"/>
              </w:rPr>
            </w:pPr>
            <w:r>
              <w:rPr>
                <w:rFonts w:ascii="Times New Roman" w:cs="Times New Roman" w:eastAsia="Times New Roman" w:hAnsi="Times New Roman"/>
                <w:sz w:val="18"/>
                <w:szCs w:val="18"/>
                <w:i w:val="1"/>
                <w:iCs w:val="1"/>
                <w:color w:val="auto"/>
                <w:w w:val="96"/>
              </w:rPr>
              <w:t>(Registrant’s telephone number, including area code)</w:t>
            </w:r>
          </w:p>
        </w:tc>
        <w:tc>
          <w:tcPr>
            <w:tcW w:w="1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275590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22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number of shares outstanding of each of the issuer’s classes of Common Stock as of February 2, 2002 was 364,982,102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 FINANCIAL STATEMENTS</w:t>
        </w:r>
      </w:hyperlink>
    </w:p>
    <w:p>
      <w:pPr>
        <w:spacing w:after="0" w:line="14" w:lineRule="exact"/>
        <w:rPr>
          <w:sz w:val="20"/>
          <w:szCs w:val="20"/>
          <w:color w:val="auto"/>
        </w:rPr>
      </w:pPr>
    </w:p>
    <w:p>
      <w:pPr>
        <w:ind w:left="320" w:right="2599"/>
        <w:spacing w:after="0" w:line="230" w:lineRule="auto"/>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CONDENSED CONSOLIDATED STATEMENTS OF INCOME</w:t>
        </w:r>
      </w:hyperlink>
      <w:r>
        <w:rPr>
          <w:rFonts w:ascii="Times New Roman" w:cs="Times New Roman" w:eastAsia="Times New Roman" w:hAnsi="Times New Roman"/>
          <w:sz w:val="22"/>
          <w:szCs w:val="22"/>
          <w:u w:val="single" w:color="auto"/>
          <w:color w:val="0000EE"/>
        </w:rPr>
        <w:t xml:space="preserve"> </w:t>
      </w:r>
      <w:hyperlink w:anchor="page5">
        <w:r>
          <w:rPr>
            <w:rFonts w:ascii="Times New Roman" w:cs="Times New Roman" w:eastAsia="Times New Roman" w:hAnsi="Times New Roman"/>
            <w:sz w:val="22"/>
            <w:szCs w:val="22"/>
            <w:u w:val="single" w:color="auto"/>
            <w:color w:val="0000EE"/>
          </w:rPr>
          <w:t>CONDENSED CONSOLIDATED BALANCE SHEETS</w:t>
        </w:r>
      </w:hyperlink>
      <w:r>
        <w:rPr>
          <w:rFonts w:ascii="Times New Roman" w:cs="Times New Roman" w:eastAsia="Times New Roman" w:hAnsi="Times New Roman"/>
          <w:sz w:val="22"/>
          <w:szCs w:val="22"/>
          <w:u w:val="single" w:color="auto"/>
          <w:color w:val="0000EE"/>
        </w:rPr>
        <w:t xml:space="preserve"> </w:t>
      </w:r>
      <w:hyperlink w:anchor="page6">
        <w:r>
          <w:rPr>
            <w:rFonts w:ascii="Times New Roman" w:cs="Times New Roman" w:eastAsia="Times New Roman" w:hAnsi="Times New Roman"/>
            <w:sz w:val="22"/>
            <w:szCs w:val="22"/>
            <w:u w:val="single" w:color="auto"/>
            <w:color w:val="0000EE"/>
          </w:rPr>
          <w:t>CONDENSED CONSOLIDATED BALANCE SHEETS</w:t>
        </w:r>
      </w:hyperlink>
      <w:r>
        <w:rPr>
          <w:rFonts w:ascii="Times New Roman" w:cs="Times New Roman" w:eastAsia="Times New Roman" w:hAnsi="Times New Roman"/>
          <w:sz w:val="22"/>
          <w:szCs w:val="22"/>
          <w:u w:val="single" w:color="auto"/>
          <w:color w:val="0000EE"/>
        </w:rPr>
        <w:t xml:space="preserve"> </w:t>
      </w:r>
      <w:hyperlink w:anchor="page7">
        <w:r>
          <w:rPr>
            <w:rFonts w:ascii="Times New Roman" w:cs="Times New Roman" w:eastAsia="Times New Roman" w:hAnsi="Times New Roman"/>
            <w:sz w:val="22"/>
            <w:szCs w:val="22"/>
            <w:u w:val="single" w:color="auto"/>
            <w:color w:val="0000EE"/>
          </w:rPr>
          <w:t>CONDENSED CONSOLIDATED STATEMENTS OF CASH FLOWS</w:t>
        </w:r>
      </w:hyperlink>
      <w:r>
        <w:rPr>
          <w:rFonts w:ascii="Times New Roman" w:cs="Times New Roman" w:eastAsia="Times New Roman" w:hAnsi="Times New Roman"/>
          <w:sz w:val="22"/>
          <w:szCs w:val="22"/>
          <w:u w:val="single" w:color="auto"/>
          <w:color w:val="0000EE"/>
        </w:rPr>
        <w:t xml:space="preserve"> </w:t>
      </w:r>
      <w:hyperlink w:anchor="page8">
        <w:r>
          <w:rPr>
            <w:rFonts w:ascii="Times New Roman" w:cs="Times New Roman" w:eastAsia="Times New Roman" w:hAnsi="Times New Roman"/>
            <w:sz w:val="22"/>
            <w:szCs w:val="22"/>
            <w:u w:val="single" w:color="auto"/>
            <w:color w:val="0000EE"/>
          </w:rPr>
          <w:t>NOTES TO CONDENSED CONSOLIDATED FINANCIAL STATEMENTS</w:t>
        </w:r>
      </w:hyperlink>
    </w:p>
    <w:p>
      <w:pPr>
        <w:spacing w:after="0" w:line="233" w:lineRule="auto"/>
        <w:rPr>
          <w:rFonts w:ascii="Times New Roman" w:cs="Times New Roman" w:eastAsia="Times New Roman" w:hAnsi="Times New Roman"/>
          <w:sz w:val="22"/>
          <w:szCs w:val="22"/>
          <w:u w:val="single" w:color="auto"/>
          <w:color w:val="0000EE"/>
        </w:rPr>
      </w:pPr>
      <w:hyperlink w:anchor="page19">
        <w:r>
          <w:rPr>
            <w:rFonts w:ascii="Times New Roman" w:cs="Times New Roman" w:eastAsia="Times New Roman" w:hAnsi="Times New Roman"/>
            <w:sz w:val="22"/>
            <w:szCs w:val="22"/>
            <w:u w:val="single" w:color="auto"/>
            <w:color w:val="0000EE"/>
          </w:rPr>
          <w:t>PART II — OTHER INFORMATION</w:t>
        </w:r>
      </w:hyperlink>
    </w:p>
    <w:p>
      <w:pPr>
        <w:spacing w:after="0" w:line="231" w:lineRule="auto"/>
        <w:rPr>
          <w:rFonts w:ascii="Times New Roman" w:cs="Times New Roman" w:eastAsia="Times New Roman" w:hAnsi="Times New Roman"/>
          <w:sz w:val="22"/>
          <w:szCs w:val="22"/>
          <w:u w:val="single" w:color="auto"/>
          <w:color w:val="0000EE"/>
        </w:rPr>
      </w:pPr>
      <w:hyperlink w:anchor="page19">
        <w:r>
          <w:rPr>
            <w:rFonts w:ascii="Times New Roman" w:cs="Times New Roman" w:eastAsia="Times New Roman" w:hAnsi="Times New Roman"/>
            <w:sz w:val="22"/>
            <w:szCs w:val="22"/>
            <w:u w:val="single" w:color="auto"/>
            <w:color w:val="0000EE"/>
          </w:rPr>
          <w:t>ANALOG DEVICES, INC.</w:t>
        </w:r>
      </w:hyperlink>
    </w:p>
    <w:p>
      <w:pPr>
        <w:spacing w:after="0"/>
        <w:rPr>
          <w:rFonts w:ascii="Times New Roman" w:cs="Times New Roman" w:eastAsia="Times New Roman" w:hAnsi="Times New Roman"/>
          <w:sz w:val="22"/>
          <w:szCs w:val="22"/>
          <w:u w:val="single" w:color="auto"/>
          <w:color w:val="0000EE"/>
        </w:rPr>
      </w:pPr>
      <w:hyperlink w:anchor="page20">
        <w:r>
          <w:rPr>
            <w:rFonts w:ascii="Times New Roman" w:cs="Times New Roman" w:eastAsia="Times New Roman" w:hAnsi="Times New Roman"/>
            <w:sz w:val="22"/>
            <w:szCs w:val="22"/>
            <w:u w:val="single" w:color="auto"/>
            <w:color w:val="0000EE"/>
          </w:rPr>
          <w:t>SIGNATURES</w:t>
        </w:r>
      </w:hyperlink>
    </w:p>
    <w:p>
      <w:pPr>
        <w:spacing w:after="0" w:line="20" w:lineRule="exact"/>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PART I</w:t>
      </w:r>
    </w:p>
    <w:p>
      <w:pPr>
        <w:spacing w:after="0" w:line="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FINANCIAL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5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8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95"/>
        </w:trPr>
        <w:tc>
          <w:tcPr>
            <w:tcW w:w="5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263"/>
        </w:trPr>
        <w:tc>
          <w:tcPr>
            <w:tcW w:w="5320" w:type="dxa"/>
            <w:vAlign w:val="bottom"/>
          </w:tcPr>
          <w:p>
            <w:pPr>
              <w:spacing w:after="0"/>
              <w:rPr>
                <w:sz w:val="22"/>
                <w:szCs w:val="22"/>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February 2, 2002</w:t>
            </w:r>
          </w:p>
        </w:tc>
        <w:tc>
          <w:tcPr>
            <w:tcW w:w="340" w:type="dxa"/>
            <w:vAlign w:val="bottom"/>
          </w:tcPr>
          <w:p>
            <w:pPr>
              <w:spacing w:after="0"/>
              <w:rPr>
                <w:sz w:val="22"/>
                <w:szCs w:val="22"/>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February 3, 2001</w:t>
            </w:r>
          </w:p>
        </w:tc>
      </w:tr>
      <w:tr>
        <w:trPr>
          <w:trHeight w:val="95"/>
        </w:trPr>
        <w:tc>
          <w:tcPr>
            <w:tcW w:w="5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392,974</w:t>
            </w:r>
          </w:p>
        </w:tc>
        <w:tc>
          <w:tcPr>
            <w:tcW w:w="4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772,274</w:t>
            </w:r>
          </w:p>
        </w:tc>
        <w:tc>
          <w:tcPr>
            <w:tcW w:w="420" w:type="dxa"/>
            <w:vAlign w:val="bottom"/>
            <w:shd w:val="clear" w:color="auto" w:fill="EEEEEE"/>
          </w:tcPr>
          <w:p>
            <w:pPr>
              <w:spacing w:after="0"/>
              <w:rPr>
                <w:sz w:val="18"/>
                <w:szCs w:val="18"/>
                <w:color w:val="auto"/>
              </w:rPr>
            </w:pPr>
          </w:p>
        </w:tc>
      </w:tr>
      <w:tr>
        <w:trPr>
          <w:trHeight w:val="22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189,177</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320,020</w:t>
            </w:r>
          </w:p>
        </w:tc>
        <w:tc>
          <w:tcPr>
            <w:tcW w:w="420" w:type="dxa"/>
            <w:vAlign w:val="bottom"/>
          </w:tcPr>
          <w:p>
            <w:pPr>
              <w:spacing w:after="0"/>
              <w:rPr>
                <w:sz w:val="19"/>
                <w:szCs w:val="19"/>
                <w:color w:val="auto"/>
              </w:rPr>
            </w:pPr>
          </w:p>
        </w:tc>
      </w:tr>
      <w:tr>
        <w:trPr>
          <w:trHeight w:val="96"/>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203,797</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452,254</w:t>
            </w:r>
          </w:p>
        </w:tc>
        <w:tc>
          <w:tcPr>
            <w:tcW w:w="420" w:type="dxa"/>
            <w:vAlign w:val="bottom"/>
            <w:shd w:val="clear" w:color="auto" w:fill="EEEEEE"/>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32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104,709</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121,710</w:t>
            </w:r>
          </w:p>
        </w:tc>
        <w:tc>
          <w:tcPr>
            <w:tcW w:w="420" w:type="dxa"/>
            <w:vAlign w:val="bottom"/>
            <w:shd w:val="clear" w:color="auto" w:fill="EEEEEE"/>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Purchased in-process research and development</w:t>
            </w:r>
          </w:p>
        </w:tc>
        <w:tc>
          <w:tcPr>
            <w:tcW w:w="4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420" w:type="dxa"/>
            <w:vAlign w:val="bottom"/>
          </w:tcPr>
          <w:p>
            <w:pPr>
              <w:spacing w:after="0"/>
              <w:rPr>
                <w:sz w:val="18"/>
                <w:szCs w:val="18"/>
                <w:color w:val="auto"/>
              </w:rPr>
            </w:pPr>
          </w:p>
        </w:tc>
      </w:tr>
      <w:tr>
        <w:trPr>
          <w:trHeight w:val="216"/>
        </w:trPr>
        <w:tc>
          <w:tcPr>
            <w:tcW w:w="532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420" w:type="dxa"/>
            <w:vAlign w:val="bottom"/>
            <w:shd w:val="clear" w:color="auto" w:fill="EEEEEE"/>
          </w:tcPr>
          <w:p>
            <w:pPr>
              <w:spacing w:after="0"/>
              <w:rPr>
                <w:sz w:val="18"/>
                <w:szCs w:val="18"/>
                <w:color w:val="auto"/>
              </w:rPr>
            </w:pPr>
          </w:p>
        </w:tc>
      </w:tr>
      <w:tr>
        <w:trPr>
          <w:trHeight w:val="228"/>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58,358</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85,553</w:t>
            </w:r>
          </w:p>
        </w:tc>
        <w:tc>
          <w:tcPr>
            <w:tcW w:w="420" w:type="dxa"/>
            <w:vAlign w:val="bottom"/>
          </w:tcPr>
          <w:p>
            <w:pPr>
              <w:spacing w:after="0"/>
              <w:rPr>
                <w:sz w:val="19"/>
                <w:szCs w:val="19"/>
                <w:color w:val="auto"/>
              </w:rPr>
            </w:pPr>
          </w:p>
        </w:tc>
      </w:tr>
      <w:tr>
        <w:trPr>
          <w:trHeight w:val="96"/>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177,172</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227,069</w:t>
            </w:r>
          </w:p>
        </w:tc>
        <w:tc>
          <w:tcPr>
            <w:tcW w:w="420" w:type="dxa"/>
            <w:vAlign w:val="bottom"/>
            <w:shd w:val="clear" w:color="auto" w:fill="EEEEEE"/>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225,185</w:t>
            </w:r>
          </w:p>
        </w:tc>
        <w:tc>
          <w:tcPr>
            <w:tcW w:w="420" w:type="dxa"/>
            <w:vAlign w:val="bottom"/>
          </w:tcPr>
          <w:p>
            <w:pPr>
              <w:spacing w:after="0"/>
              <w:rPr>
                <w:sz w:val="18"/>
                <w:szCs w:val="18"/>
                <w:color w:val="auto"/>
              </w:rPr>
            </w:pPr>
          </w:p>
        </w:tc>
      </w:tr>
      <w:tr>
        <w:trPr>
          <w:trHeight w:val="216"/>
        </w:trPr>
        <w:tc>
          <w:tcPr>
            <w:tcW w:w="5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420" w:type="dxa"/>
            <w:vAlign w:val="bottom"/>
          </w:tcPr>
          <w:p>
            <w:pPr>
              <w:spacing w:after="0"/>
              <w:rPr>
                <w:sz w:val="18"/>
                <w:szCs w:val="18"/>
                <w:color w:val="auto"/>
              </w:rPr>
            </w:pPr>
          </w:p>
        </w:tc>
      </w:tr>
      <w:tr>
        <w:trPr>
          <w:trHeight w:val="216"/>
        </w:trPr>
        <w:tc>
          <w:tcPr>
            <w:tcW w:w="532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(20,359)</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(41,248)</w:t>
            </w:r>
          </w:p>
        </w:tc>
      </w:tr>
      <w:tr>
        <w:trPr>
          <w:trHeight w:val="228"/>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(1,091)</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(28,116)</w:t>
            </w:r>
          </w:p>
        </w:tc>
      </w:tr>
      <w:tr>
        <w:trPr>
          <w:trHeight w:val="96"/>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(7,667)</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(52,495)</w:t>
            </w:r>
          </w:p>
        </w:tc>
      </w:tr>
      <w:tr>
        <w:trPr>
          <w:trHeight w:val="108"/>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34,292</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277,680</w:t>
            </w:r>
          </w:p>
        </w:tc>
        <w:tc>
          <w:tcPr>
            <w:tcW w:w="420" w:type="dxa"/>
            <w:vAlign w:val="bottom"/>
          </w:tcPr>
          <w:p>
            <w:pPr>
              <w:spacing w:after="0"/>
              <w:rPr>
                <w:sz w:val="24"/>
                <w:szCs w:val="24"/>
                <w:color w:val="auto"/>
              </w:rPr>
            </w:pPr>
          </w:p>
        </w:tc>
      </w:tr>
      <w:tr>
        <w:trPr>
          <w:trHeight w:val="217"/>
        </w:trPr>
        <w:tc>
          <w:tcPr>
            <w:tcW w:w="5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87,303</w:t>
            </w:r>
          </w:p>
        </w:tc>
        <w:tc>
          <w:tcPr>
            <w:tcW w:w="420" w:type="dxa"/>
            <w:vAlign w:val="bottom"/>
            <w:shd w:val="clear" w:color="auto" w:fill="EEEEEE"/>
          </w:tcPr>
          <w:p>
            <w:pPr>
              <w:spacing w:after="0"/>
              <w:rPr>
                <w:sz w:val="18"/>
                <w:szCs w:val="18"/>
                <w:color w:val="auto"/>
              </w:rPr>
            </w:pPr>
          </w:p>
        </w:tc>
      </w:tr>
      <w:tr>
        <w:trPr>
          <w:trHeight w:val="108"/>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4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190,377</w:t>
            </w:r>
          </w:p>
        </w:tc>
        <w:tc>
          <w:tcPr>
            <w:tcW w:w="420" w:type="dxa"/>
            <w:vAlign w:val="bottom"/>
          </w:tcPr>
          <w:p>
            <w:pPr>
              <w:spacing w:after="0"/>
              <w:rPr>
                <w:sz w:val="24"/>
                <w:szCs w:val="24"/>
                <w:color w:val="auto"/>
              </w:rPr>
            </w:pPr>
          </w:p>
        </w:tc>
      </w:tr>
      <w:tr>
        <w:trPr>
          <w:trHeight w:val="107"/>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363,147</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357,070</w:t>
            </w:r>
          </w:p>
        </w:tc>
        <w:tc>
          <w:tcPr>
            <w:tcW w:w="420" w:type="dxa"/>
            <w:vAlign w:val="bottom"/>
            <w:shd w:val="clear" w:color="auto" w:fill="EEEEEE"/>
          </w:tcPr>
          <w:p>
            <w:pPr>
              <w:spacing w:after="0"/>
              <w:rPr>
                <w:sz w:val="18"/>
                <w:szCs w:val="18"/>
                <w:color w:val="auto"/>
              </w:rPr>
            </w:pPr>
          </w:p>
        </w:tc>
      </w:tr>
      <w:tr>
        <w:trPr>
          <w:trHeight w:val="105"/>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383,471</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383,392</w:t>
            </w:r>
          </w:p>
        </w:tc>
        <w:tc>
          <w:tcPr>
            <w:tcW w:w="420" w:type="dxa"/>
            <w:vAlign w:val="bottom"/>
          </w:tcPr>
          <w:p>
            <w:pPr>
              <w:spacing w:after="0"/>
              <w:rPr>
                <w:sz w:val="24"/>
                <w:szCs w:val="24"/>
                <w:color w:val="auto"/>
              </w:rPr>
            </w:pPr>
          </w:p>
        </w:tc>
      </w:tr>
      <w:tr>
        <w:trPr>
          <w:trHeight w:val="107"/>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20" w:type="dxa"/>
            <w:vAlign w:val="bottom"/>
            <w:shd w:val="clear" w:color="auto" w:fill="EEEEEE"/>
          </w:tcPr>
          <w:p>
            <w:pPr>
              <w:spacing w:after="0"/>
              <w:rPr>
                <w:sz w:val="18"/>
                <w:szCs w:val="18"/>
                <w:color w:val="auto"/>
              </w:rPr>
            </w:pPr>
          </w:p>
        </w:tc>
      </w:tr>
      <w:tr>
        <w:trPr>
          <w:trHeight w:val="105"/>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20" w:type="dxa"/>
            <w:vAlign w:val="bottom"/>
          </w:tcPr>
          <w:p>
            <w:pPr>
              <w:spacing w:after="0"/>
              <w:rPr>
                <w:sz w:val="24"/>
                <w:szCs w:val="24"/>
                <w:color w:val="auto"/>
              </w:rPr>
            </w:pPr>
          </w:p>
        </w:tc>
      </w:tr>
      <w:tr>
        <w:trPr>
          <w:trHeight w:val="107"/>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200" w:lineRule="exact"/>
        <w:rPr>
          <w:sz w:val="20"/>
          <w:szCs w:val="20"/>
          <w:color w:val="auto"/>
        </w:rPr>
      </w:pP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7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February 2, 2002</w:t>
            </w:r>
          </w:p>
        </w:tc>
        <w:tc>
          <w:tcPr>
            <w:tcW w:w="240" w:type="dxa"/>
            <w:vAlign w:val="bottom"/>
          </w:tcPr>
          <w:p>
            <w:pPr>
              <w:spacing w:after="0"/>
              <w:rPr>
                <w:sz w:val="15"/>
                <w:szCs w:val="15"/>
                <w:color w:val="auto"/>
              </w:rPr>
            </w:pPr>
          </w:p>
        </w:tc>
        <w:tc>
          <w:tcPr>
            <w:tcW w:w="17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November 3, 2001</w:t>
            </w:r>
          </w:p>
        </w:tc>
        <w:tc>
          <w:tcPr>
            <w:tcW w:w="240" w:type="dxa"/>
            <w:vAlign w:val="bottom"/>
          </w:tcPr>
          <w:p>
            <w:pPr>
              <w:spacing w:after="0"/>
              <w:rPr>
                <w:sz w:val="15"/>
                <w:szCs w:val="15"/>
                <w:color w:val="auto"/>
              </w:rPr>
            </w:pPr>
          </w:p>
        </w:tc>
        <w:tc>
          <w:tcPr>
            <w:tcW w:w="17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February 3,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$1,500,496</w:t>
            </w:r>
          </w:p>
        </w:tc>
        <w:tc>
          <w:tcPr>
            <w:tcW w:w="50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$1,364,949</w:t>
            </w:r>
          </w:p>
        </w:tc>
        <w:tc>
          <w:tcPr>
            <w:tcW w:w="5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$1,191,920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1,394,126</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1,428,278</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1,158,381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197,596</w:t>
            </w:r>
          </w:p>
        </w:tc>
        <w:tc>
          <w:tcPr>
            <w:tcW w:w="50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218,151</w:t>
            </w:r>
          </w:p>
        </w:tc>
        <w:tc>
          <w:tcPr>
            <w:tcW w:w="5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421,219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Raw materials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50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18,221</w:t>
            </w:r>
          </w:p>
        </w:tc>
        <w:tc>
          <w:tcPr>
            <w:tcW w:w="5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22,593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Work in process</w:t>
            </w: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171,115</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159,463</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197,992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Finished goods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53,368</w:t>
            </w:r>
          </w:p>
        </w:tc>
        <w:tc>
          <w:tcPr>
            <w:tcW w:w="50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69,168</w:t>
            </w:r>
          </w:p>
        </w:tc>
        <w:tc>
          <w:tcPr>
            <w:tcW w:w="50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136,491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241,107</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246,852</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357,076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50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139,418</w:t>
            </w:r>
          </w:p>
        </w:tc>
        <w:tc>
          <w:tcPr>
            <w:tcW w:w="5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34,003</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37,271</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29,378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3,497,328</w:t>
            </w:r>
          </w:p>
        </w:tc>
        <w:tc>
          <w:tcPr>
            <w:tcW w:w="50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3,434,919</w:t>
            </w:r>
          </w:p>
        </w:tc>
        <w:tc>
          <w:tcPr>
            <w:tcW w:w="50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3,270,974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Land and buildings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294,251</w:t>
            </w:r>
          </w:p>
        </w:tc>
        <w:tc>
          <w:tcPr>
            <w:tcW w:w="50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294,598</w:t>
            </w:r>
          </w:p>
        </w:tc>
        <w:tc>
          <w:tcPr>
            <w:tcW w:w="5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262,076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1,440,323</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1,447,639</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1,363,641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 equipment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94,125</w:t>
            </w:r>
          </w:p>
        </w:tc>
        <w:tc>
          <w:tcPr>
            <w:tcW w:w="50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92,792</w:t>
            </w:r>
          </w:p>
        </w:tc>
        <w:tc>
          <w:tcPr>
            <w:tcW w:w="5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91,091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130,522</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130,528</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128,063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1,959,221</w:t>
            </w:r>
          </w:p>
        </w:tc>
        <w:tc>
          <w:tcPr>
            <w:tcW w:w="50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1,965,557</w:t>
            </w:r>
          </w:p>
        </w:tc>
        <w:tc>
          <w:tcPr>
            <w:tcW w:w="50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1,844,871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1,082,381</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1,057,615</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964,443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876,840</w:t>
            </w:r>
          </w:p>
        </w:tc>
        <w:tc>
          <w:tcPr>
            <w:tcW w:w="50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907,942</w:t>
            </w:r>
          </w:p>
        </w:tc>
        <w:tc>
          <w:tcPr>
            <w:tcW w:w="50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880,428</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259,774</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246,505</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213,202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217,817</w:t>
            </w:r>
          </w:p>
        </w:tc>
        <w:tc>
          <w:tcPr>
            <w:tcW w:w="50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229,330</w:t>
            </w:r>
          </w:p>
        </w:tc>
        <w:tc>
          <w:tcPr>
            <w:tcW w:w="5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269,164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63,639</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66,167</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55,453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541,230</w:t>
            </w:r>
          </w:p>
        </w:tc>
        <w:tc>
          <w:tcPr>
            <w:tcW w:w="50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542,002</w:t>
            </w:r>
          </w:p>
        </w:tc>
        <w:tc>
          <w:tcPr>
            <w:tcW w:w="50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537,819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$4,915,398</w:t>
            </w:r>
          </w:p>
        </w:tc>
        <w:tc>
          <w:tcPr>
            <w:tcW w:w="500" w:type="dxa"/>
            <w:vAlign w:val="bottom"/>
            <w:shd w:val="clear" w:color="auto" w:fill="EEEEEE"/>
          </w:tcPr>
          <w:p>
            <w:pPr>
              <w:spacing w:after="0"/>
              <w:rPr>
                <w:sz w:val="18"/>
                <w:szCs w:val="18"/>
                <w:color w:val="auto"/>
              </w:rPr>
            </w:pPr>
          </w:p>
        </w:tc>
        <w:tc>
          <w:tcPr>
            <w:tcW w:w="1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$4,884,863</w:t>
            </w:r>
          </w:p>
        </w:tc>
        <w:tc>
          <w:tcPr>
            <w:tcW w:w="5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$4,689,221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except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February 2, 2002</w:t>
            </w:r>
          </w:p>
        </w:tc>
        <w:tc>
          <w:tcPr>
            <w:tcW w:w="260" w:type="dxa"/>
            <w:vAlign w:val="bottom"/>
          </w:tcPr>
          <w:p>
            <w:pPr>
              <w:spacing w:after="0"/>
              <w:rPr>
                <w:sz w:val="15"/>
                <w:szCs w:val="15"/>
                <w:color w:val="auto"/>
              </w:rPr>
            </w:pPr>
          </w:p>
        </w:tc>
        <w:tc>
          <w:tcPr>
            <w:tcW w:w="16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November 3, 2001</w:t>
            </w:r>
          </w:p>
        </w:tc>
        <w:tc>
          <w:tcPr>
            <w:tcW w:w="240" w:type="dxa"/>
            <w:vAlign w:val="bottom"/>
          </w:tcPr>
          <w:p>
            <w:pPr>
              <w:spacing w:after="0"/>
              <w:rPr>
                <w:sz w:val="15"/>
                <w:szCs w:val="15"/>
                <w:color w:val="auto"/>
              </w:rPr>
            </w:pPr>
          </w:p>
        </w:tc>
        <w:tc>
          <w:tcPr>
            <w:tcW w:w="15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February 3,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and current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portion of obligations under capital leases</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44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4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122,337</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142,011</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146,155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168,178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177,877</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179,755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510,325</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527,948</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663,262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debt and obligations under capital leases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1,201,244</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1"/>
              </w:rPr>
              <w:t>1,206,038</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1,210,858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51,345</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270,765</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256,506</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223,021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1,522,009</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1,513,889</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1,486,299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EEEEEE"/>
          </w:tcPr>
          <w:p>
            <w:pPr>
              <w:ind w:left="220"/>
              <w:spacing w:after="0" w:line="201" w:lineRule="exact"/>
              <w:rPr>
                <w:sz w:val="20"/>
                <w:szCs w:val="20"/>
                <w:color w:val="auto"/>
              </w:rPr>
            </w:pPr>
            <w:r>
              <w:rPr>
                <w:rFonts w:ascii="Times New Roman" w:cs="Times New Roman" w:eastAsia="Times New Roman" w:hAnsi="Times New Roman"/>
                <w:sz w:val="18"/>
                <w:szCs w:val="18"/>
                <w:color w:val="auto"/>
              </w:rPr>
              <w:t>Preferred stock, $1.00 par value, 471,934 shares authorized, none</w:t>
            </w:r>
          </w:p>
        </w:tc>
        <w:tc>
          <w:tcPr>
            <w:tcW w:w="4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116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Common stock, $.16 2/3 par value, 600,000,000 shares authorized,</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364,982,102 shares issued (363,353,954 in November 2001 and</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360,269,511 in February 2001)</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728,762</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713,427</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594,445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2,099,010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2,074,320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1,908,320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(2,424)</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2,886,180</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2,848,103</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2,565,241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4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Less 64,132 shares in treasury, at cost (103,630 in November 2001 and</w:t>
            </w:r>
          </w:p>
        </w:tc>
        <w:tc>
          <w:tcPr>
            <w:tcW w:w="4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467,114 in February 2001)</w:t>
            </w:r>
          </w:p>
        </w:tc>
        <w:tc>
          <w:tcPr>
            <w:tcW w:w="440" w:type="dxa"/>
            <w:vAlign w:val="bottom"/>
            <w:shd w:val="clear" w:color="auto" w:fill="EEEEEE"/>
          </w:tcPr>
          <w:p>
            <w:pPr>
              <w:spacing w:after="0"/>
              <w:rPr>
                <w:sz w:val="20"/>
                <w:szCs w:val="20"/>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4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4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25,581</w:t>
            </w:r>
          </w:p>
        </w:tc>
        <w:tc>
          <w:tcPr>
            <w:tcW w:w="4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2,883,064</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2,843,026</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2,539,660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4,915,398</w:t>
            </w:r>
          </w:p>
        </w:tc>
        <w:tc>
          <w:tcPr>
            <w:tcW w:w="44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1"/>
              </w:rPr>
              <w:t>4,884,863</w:t>
            </w:r>
          </w:p>
        </w:tc>
        <w:tc>
          <w:tcPr>
            <w:tcW w:w="4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4,689,221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5" w:right="5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200" w:lineRule="exact"/>
        <w:rPr>
          <w:sz w:val="20"/>
          <w:szCs w:val="20"/>
          <w:color w:val="auto"/>
        </w:rPr>
      </w:pP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40" w:type="dxa"/>
            <w:vAlign w:val="bottom"/>
          </w:tcPr>
          <w:p>
            <w:pPr>
              <w:spacing w:after="0"/>
              <w:rPr>
                <w:sz w:val="22"/>
                <w:szCs w:val="22"/>
                <w:color w:val="auto"/>
              </w:rPr>
            </w:pPr>
          </w:p>
        </w:tc>
        <w:tc>
          <w:tcPr>
            <w:tcW w:w="172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February 2, 2002</w:t>
            </w:r>
          </w:p>
        </w:tc>
        <w:tc>
          <w:tcPr>
            <w:tcW w:w="260" w:type="dxa"/>
            <w:vAlign w:val="bottom"/>
          </w:tcPr>
          <w:p>
            <w:pPr>
              <w:spacing w:after="0"/>
              <w:rPr>
                <w:sz w:val="22"/>
                <w:szCs w:val="22"/>
                <w:color w:val="auto"/>
              </w:rPr>
            </w:pP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February 3,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OPERATIONS</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operations: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5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190,377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56,633</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520" w:type="dxa"/>
            <w:vAlign w:val="bottom"/>
          </w:tcPr>
          <w:p>
            <w:pPr>
              <w:spacing w:after="0"/>
              <w:rPr>
                <w:sz w:val="18"/>
                <w:szCs w:val="18"/>
                <w:color w:val="auto"/>
              </w:rPr>
            </w:pPr>
          </w:p>
        </w:tc>
        <w:tc>
          <w:tcPr>
            <w:tcW w:w="12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480"/>
              <w:spacing w:after="0"/>
              <w:rPr>
                <w:sz w:val="20"/>
                <w:szCs w:val="20"/>
                <w:color w:val="auto"/>
              </w:rPr>
            </w:pPr>
            <w:r>
              <w:rPr>
                <w:rFonts w:ascii="Times New Roman" w:cs="Times New Roman" w:eastAsia="Times New Roman" w:hAnsi="Times New Roman"/>
                <w:sz w:val="18"/>
                <w:szCs w:val="18"/>
                <w:color w:val="auto"/>
              </w:rPr>
              <w:t>Write-off of purchased research and development</w:t>
            </w:r>
          </w:p>
        </w:tc>
        <w:tc>
          <w:tcPr>
            <w:tcW w:w="520" w:type="dxa"/>
            <w:vAlign w:val="bottom"/>
            <w:tcBorders>
              <w:right w:val="single" w:sz="8" w:color="EEEEEE"/>
            </w:tcBorders>
            <w:shd w:val="clear" w:color="auto" w:fill="EEEEEE"/>
          </w:tcPr>
          <w:p>
            <w:pPr>
              <w:spacing w:after="0"/>
              <w:rPr>
                <w:sz w:val="18"/>
                <w:szCs w:val="18"/>
                <w:color w:val="auto"/>
              </w:rPr>
            </w:pPr>
          </w:p>
        </w:tc>
        <w:tc>
          <w:tcPr>
            <w:tcW w:w="1200" w:type="dxa"/>
            <w:vAlign w:val="bottom"/>
            <w:gridSpan w:val="2"/>
            <w:shd w:val="clear" w:color="auto" w:fill="EEEEEE"/>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480"/>
              <w:spacing w:after="0"/>
              <w:rPr>
                <w:sz w:val="20"/>
                <w:szCs w:val="20"/>
                <w:color w:val="auto"/>
              </w:rPr>
            </w:pPr>
            <w:r>
              <w:rPr>
                <w:rFonts w:ascii="Times New Roman" w:cs="Times New Roman" w:eastAsia="Times New Roman" w:hAnsi="Times New Roman"/>
                <w:sz w:val="18"/>
                <w:szCs w:val="18"/>
                <w:color w:val="auto"/>
              </w:rPr>
              <w:t>Other non-cash expense</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15,840</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86,591</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62,940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6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INVESTMENTS</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investments: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Purchase of short-term investments available for sale</w:t>
            </w:r>
          </w:p>
        </w:tc>
        <w:tc>
          <w:tcPr>
            <w:tcW w:w="520" w:type="dxa"/>
            <w:vAlign w:val="bottom"/>
            <w:tcBorders>
              <w:right w:val="single" w:sz="8" w:color="EEEEEE"/>
            </w:tcBorders>
            <w:shd w:val="clear" w:color="auto" w:fill="EEEEEE"/>
          </w:tcPr>
          <w:p>
            <w:pPr>
              <w:spacing w:after="0"/>
              <w:rPr>
                <w:sz w:val="18"/>
                <w:szCs w:val="18"/>
                <w:color w:val="auto"/>
              </w:rPr>
            </w:pPr>
          </w:p>
        </w:tc>
        <w:tc>
          <w:tcPr>
            <w:tcW w:w="1200" w:type="dxa"/>
            <w:vAlign w:val="bottom"/>
            <w:gridSpan w:val="2"/>
            <w:shd w:val="clear" w:color="auto" w:fill="EEEEEE"/>
          </w:tcPr>
          <w:p>
            <w:pPr>
              <w:jc w:val="right"/>
              <w:ind w:right="392"/>
              <w:spacing w:after="0"/>
              <w:rPr>
                <w:sz w:val="20"/>
                <w:szCs w:val="20"/>
                <w:color w:val="auto"/>
              </w:rPr>
            </w:pPr>
            <w:r>
              <w:rPr>
                <w:rFonts w:ascii="Times New Roman" w:cs="Times New Roman" w:eastAsia="Times New Roman" w:hAnsi="Times New Roman"/>
                <w:sz w:val="18"/>
                <w:szCs w:val="18"/>
                <w:color w:val="auto"/>
              </w:rPr>
              <w:t>(821,338)</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(935,221)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 available for sale</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855,490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Payments for acquisitions, net of cash acquired</w:t>
            </w:r>
          </w:p>
        </w:tc>
        <w:tc>
          <w:tcPr>
            <w:tcW w:w="520" w:type="dxa"/>
            <w:vAlign w:val="bottom"/>
            <w:tcBorders>
              <w:right w:val="single" w:sz="8" w:color="EEEEEE"/>
            </w:tcBorders>
            <w:shd w:val="clear" w:color="auto" w:fill="EEEEEE"/>
          </w:tcPr>
          <w:p>
            <w:pPr>
              <w:spacing w:after="0"/>
              <w:rPr>
                <w:sz w:val="18"/>
                <w:szCs w:val="18"/>
                <w:color w:val="auto"/>
              </w:rPr>
            </w:pPr>
          </w:p>
        </w:tc>
        <w:tc>
          <w:tcPr>
            <w:tcW w:w="1200" w:type="dxa"/>
            <w:vAlign w:val="bottom"/>
            <w:gridSpan w:val="2"/>
            <w:shd w:val="clear" w:color="auto" w:fill="EEEEEE"/>
          </w:tcPr>
          <w:p>
            <w:pPr>
              <w:jc w:val="right"/>
              <w:ind w:right="392"/>
              <w:spacing w:after="0"/>
              <w:rPr>
                <w:sz w:val="20"/>
                <w:szCs w:val="20"/>
                <w:color w:val="auto"/>
              </w:rPr>
            </w:pPr>
            <w:r>
              <w:rPr>
                <w:rFonts w:ascii="Times New Roman" w:cs="Times New Roman" w:eastAsia="Times New Roman" w:hAnsi="Times New Roman"/>
                <w:sz w:val="18"/>
                <w:szCs w:val="18"/>
                <w:color w:val="auto"/>
              </w:rPr>
              <w:t>(2,623)</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(36,424)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520" w:type="dxa"/>
            <w:vAlign w:val="bottom"/>
          </w:tcPr>
          <w:p>
            <w:pPr>
              <w:spacing w:after="0"/>
              <w:rPr>
                <w:sz w:val="18"/>
                <w:szCs w:val="18"/>
                <w:color w:val="auto"/>
              </w:rPr>
            </w:pPr>
          </w:p>
        </w:tc>
        <w:tc>
          <w:tcPr>
            <w:tcW w:w="12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Additions to property, plant and equipment, net</w:t>
            </w:r>
          </w:p>
        </w:tc>
        <w:tc>
          <w:tcPr>
            <w:tcW w:w="520" w:type="dxa"/>
            <w:vAlign w:val="bottom"/>
            <w:tcBorders>
              <w:right w:val="single" w:sz="8" w:color="EEEEEE"/>
            </w:tcBorders>
            <w:shd w:val="clear" w:color="auto" w:fill="EEEEEE"/>
          </w:tcPr>
          <w:p>
            <w:pPr>
              <w:spacing w:after="0"/>
              <w:rPr>
                <w:sz w:val="18"/>
                <w:szCs w:val="18"/>
                <w:color w:val="auto"/>
              </w:rPr>
            </w:pPr>
          </w:p>
        </w:tc>
        <w:tc>
          <w:tcPr>
            <w:tcW w:w="1200" w:type="dxa"/>
            <w:vAlign w:val="bottom"/>
            <w:gridSpan w:val="2"/>
            <w:shd w:val="clear" w:color="auto" w:fill="EEEEEE"/>
          </w:tcPr>
          <w:p>
            <w:pPr>
              <w:jc w:val="right"/>
              <w:ind w:right="392"/>
              <w:spacing w:after="0"/>
              <w:rPr>
                <w:sz w:val="20"/>
                <w:szCs w:val="20"/>
                <w:color w:val="auto"/>
              </w:rPr>
            </w:pPr>
            <w:r>
              <w:rPr>
                <w:rFonts w:ascii="Times New Roman" w:cs="Times New Roman" w:eastAsia="Times New Roman" w:hAnsi="Times New Roman"/>
                <w:sz w:val="18"/>
                <w:szCs w:val="18"/>
                <w:color w:val="auto"/>
              </w:rPr>
              <w:t>(11,519)</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(138,945)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in other assets</w:t>
            </w:r>
          </w:p>
        </w:tc>
        <w:tc>
          <w:tcPr>
            <w:tcW w:w="520" w:type="dxa"/>
            <w:vAlign w:val="bottom"/>
          </w:tcPr>
          <w:p>
            <w:pPr>
              <w:spacing w:after="0"/>
              <w:rPr>
                <w:sz w:val="19"/>
                <w:szCs w:val="19"/>
                <w:color w:val="auto"/>
              </w:rPr>
            </w:pPr>
          </w:p>
        </w:tc>
        <w:tc>
          <w:tcPr>
            <w:tcW w:w="120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(used for) investments</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(776,998)</w:t>
            </w:r>
          </w:p>
        </w:tc>
        <w:tc>
          <w:tcPr>
            <w:tcW w:w="0" w:type="dxa"/>
            <w:vAlign w:val="bottom"/>
          </w:tcPr>
          <w:p>
            <w:pPr>
              <w:spacing w:after="0"/>
              <w:rPr>
                <w:sz w:val="1"/>
                <w:szCs w:val="1"/>
                <w:color w:val="auto"/>
              </w:rPr>
            </w:pPr>
          </w:p>
        </w:tc>
      </w:tr>
      <w:tr>
        <w:trPr>
          <w:trHeight w:val="108"/>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20" w:type="dxa"/>
            <w:vAlign w:val="bottom"/>
            <w:tcBorders>
              <w:right w:val="single" w:sz="8" w:color="EEEEEE"/>
            </w:tcBorders>
            <w:shd w:val="clear" w:color="auto" w:fill="EEEEEE"/>
          </w:tcPr>
          <w:p>
            <w:pPr>
              <w:spacing w:after="0"/>
              <w:rPr>
                <w:sz w:val="18"/>
                <w:szCs w:val="18"/>
                <w:color w:val="auto"/>
              </w:rPr>
            </w:pPr>
          </w:p>
        </w:tc>
        <w:tc>
          <w:tcPr>
            <w:tcW w:w="1200" w:type="dxa"/>
            <w:vAlign w:val="bottom"/>
            <w:gridSpan w:val="2"/>
            <w:shd w:val="clear" w:color="auto" w:fill="EEEEEE"/>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(21,831)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520" w:type="dxa"/>
            <w:vAlign w:val="bottom"/>
          </w:tcPr>
          <w:p>
            <w:pPr>
              <w:spacing w:after="0"/>
              <w:rPr>
                <w:sz w:val="18"/>
                <w:szCs w:val="18"/>
                <w:color w:val="auto"/>
              </w:rPr>
            </w:pPr>
          </w:p>
        </w:tc>
        <w:tc>
          <w:tcPr>
            <w:tcW w:w="120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(4,061)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Net decrease in variable rate borrowings</w:t>
            </w:r>
          </w:p>
        </w:tc>
        <w:tc>
          <w:tcPr>
            <w:tcW w:w="520" w:type="dxa"/>
            <w:vAlign w:val="bottom"/>
            <w:tcBorders>
              <w:right w:val="single" w:sz="8" w:color="EEEEEE"/>
            </w:tcBorders>
            <w:shd w:val="clear" w:color="auto" w:fill="EEEEEE"/>
          </w:tcPr>
          <w:p>
            <w:pPr>
              <w:spacing w:after="0"/>
              <w:rPr>
                <w:sz w:val="18"/>
                <w:szCs w:val="18"/>
                <w:color w:val="auto"/>
              </w:rPr>
            </w:pPr>
          </w:p>
        </w:tc>
        <w:tc>
          <w:tcPr>
            <w:tcW w:w="1200" w:type="dxa"/>
            <w:vAlign w:val="bottom"/>
            <w:gridSpan w:val="2"/>
            <w:shd w:val="clear" w:color="auto" w:fill="EEEEEE"/>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108"/>
        </w:trPr>
        <w:tc>
          <w:tcPr>
            <w:tcW w:w="656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(24,368)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520" w:type="dxa"/>
            <w:vAlign w:val="bottom"/>
            <w:tcBorders>
              <w:right w:val="single" w:sz="8" w:color="EEEEEE"/>
            </w:tcBorders>
            <w:shd w:val="clear" w:color="auto" w:fill="EEEEEE"/>
          </w:tcPr>
          <w:p>
            <w:pPr>
              <w:spacing w:after="0"/>
              <w:rPr>
                <w:sz w:val="18"/>
                <w:szCs w:val="18"/>
                <w:color w:val="auto"/>
              </w:rPr>
            </w:pPr>
          </w:p>
        </w:tc>
        <w:tc>
          <w:tcPr>
            <w:tcW w:w="1200" w:type="dxa"/>
            <w:vAlign w:val="bottom"/>
            <w:gridSpan w:val="2"/>
            <w:shd w:val="clear" w:color="auto" w:fill="EEEEEE"/>
          </w:tcPr>
          <w:p>
            <w:pPr>
              <w:jc w:val="right"/>
              <w:ind w:right="392"/>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6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135,547</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(544,501)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1"/>
              </w:rPr>
              <w:t>1,364,949</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1,736,421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6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1,500,496</w:t>
            </w:r>
          </w:p>
        </w:tc>
        <w:tc>
          <w:tcPr>
            <w:tcW w:w="5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1,191,920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FEBRUARY 2,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w:t>
      </w:r>
    </w:p>
    <w:p>
      <w:pPr>
        <w:spacing w:after="0" w:line="2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Note 1 — 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to Stockholders on Form 10-K for the fiscal year ended November 3, 2001 (2001 Annual Report).</w:t>
      </w:r>
    </w:p>
    <w:p>
      <w:pPr>
        <w:spacing w:after="0" w:line="18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Fiscal 2002 is a 52-week fiscal year. Fiscal 2001 was a 53-week fiscal year with the additional week occurring in the first quarter ended February 3, 2001.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Certain amounts reported in the previous year have been reclassified to conform to the fiscal 2002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Comprehensive Income</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Total comprehensive income, i.e., net income plus available-for-sale securities valuation adjustments, net gain or loss on derivative instruments designated as cash flow hedges and currency translation adjustments to stockholders’ equity, for the first quarters of fiscal 2002 and fiscal 2001 was $27 million and $190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Derivative Instruments and Hedging Agreements</w:t>
      </w:r>
    </w:p>
    <w:p>
      <w:pPr>
        <w:spacing w:after="0" w:line="225" w:lineRule="exact"/>
        <w:rPr>
          <w:sz w:val="20"/>
          <w:szCs w:val="20"/>
          <w:color w:val="auto"/>
        </w:rPr>
      </w:pPr>
    </w:p>
    <w:p>
      <w:pPr>
        <w:ind w:right="400"/>
        <w:spacing w:after="0" w:line="296" w:lineRule="auto"/>
        <w:rPr>
          <w:sz w:val="20"/>
          <w:szCs w:val="20"/>
          <w:color w:val="auto"/>
        </w:rPr>
      </w:pPr>
      <w:r>
        <w:rPr>
          <w:rFonts w:ascii="Times New Roman" w:cs="Times New Roman" w:eastAsia="Times New Roman" w:hAnsi="Times New Roman"/>
          <w:sz w:val="16"/>
          <w:szCs w:val="16"/>
          <w:color w:val="auto"/>
        </w:rPr>
        <w:t>Derivative financial instruments are accounted for in accordance with Statement of Financial Accounting Standard No. 133, (FAS 133), “Accounting for Derivative Instruments and Hedging Activities”. The Company recognizes all derivative financial instruments in the consolidated financial statements at fair value regardless of the purpose or intent for holding the instrument. Changes in the fair value of the derivative financial instruments are either recognized periodically in earnings or in stockholders’ equity as a component of other comprehensive income (OCI) depending on whether the derivative financial instrument qualifies for hedge accounting. Changes in fair values of derivatives not qualifying for hedge accounting are reported in earnings.</w:t>
      </w:r>
    </w:p>
    <w:p>
      <w:pPr>
        <w:spacing w:after="0" w:line="162"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The Company enters into forward foreign exchange contracts, foreign currency option contracts and currency swap agreements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Japanese yen and the Euro. These foreign exchange contracts are entered into to support product sales, purchases and financing transactions made in the normal course of business, and accordingly, are not speculative in nature.</w:t>
      </w:r>
    </w:p>
    <w:p>
      <w:pPr>
        <w:spacing w:after="0" w:line="15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Foreign Exchange Exposure Management — The Company has significant international sales and purchase transactions in foreign currencies and has a policy of hedging forecasted and actual foreign currency risk with forward foreign exchange contracts. The Company’s forward foreign exchange contracts are denominated in Japanese yen and the Euro and are for periods consistent with the terms of the underlying transactions, generally one year or less. Derivative instruments are employed to eliminate or minimize certain foreign currency exposures that can be identified and quantified. In accordance with FAS 133, hedges related to anticipated transactions are designated and documented at the inception of the respective hedge as cash flow hedges and evaluated for effectiveness monthly. As the terms of the forward contract and the underlying transaction are matched at inception, forward contract effectiveness is calculated by comparing the fair value of the contract to the change in the forward value of the anticipated transaction, with the effective portion of the gain or loss on the derivative instrument reported as a component of OCI in stockholders’ equity and reclassified into earnings in the same period during which the hedged transaction affects earnings. Any residual change in fair value of the instruments, or ineffectiveness, is recognized immediately in other expense. No ineffectiveness was recognized in the first quarter of fiscal 2002 or the first quarter of fiscal 2001.</w:t>
      </w:r>
    </w:p>
    <w:p>
      <w:pPr>
        <w:spacing w:after="0" w:line="19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Additionally, the Company enters into foreign currency forward contracts to hedge the gains and losses generated by the remeasurement of certain recorded assets and liabilities in a non-functional currency. Changes in the fair value of these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undesignated hedges are recognized in other expense immediately as an offset to the changes in the fair value of the asset or liability being hedged.</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Interest Rate Exposure Management — In January 2002, the Company entered in to an interest rate swap with an aggregate notional amount of $1,200 million. The swap is a derivative instrument as defined by FAS 133 and has been designated as a fair value hedge. The swap hedges the interest component of the fair value of the Company’s $1,200 million convertible subordinated notes due to changes in the LIBOR interest rate and has the effect of swapping the 4.75% fixed rate of the convertible subordinated notes into a floating rate based on LIBOR (currently 2.42%). The interest rate swap, as well as the convertible subordinated notes, matures on October 1, 2005. A derivative liability and a corresponding reduction to long-term debt of approximately $2.5 million were recorded for the fair market value of the swap at February 2, 2002. The interest rate swap was determined to be highly effective and no amount of ineffectiveness was recorded in earnings during the three months ended February 2, 2002.</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By using derivative financial instruments, the Company can expose itself, to a varying degree, to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to the Company exceed the obligations of the Company to the counterparties.</w:t>
      </w:r>
    </w:p>
    <w:p>
      <w:pPr>
        <w:spacing w:after="0" w:line="19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following table summarizes activity in other comprehensive income related to derivatives classified as cash flow hedges held by the Company during the period of November 3, 2001 through February 2, 2002:</w:t>
      </w:r>
    </w:p>
    <w:p>
      <w:pPr>
        <w:spacing w:after="0" w:line="200" w:lineRule="exact"/>
        <w:rPr>
          <w:sz w:val="20"/>
          <w:szCs w:val="20"/>
          <w:color w:val="auto"/>
        </w:rPr>
      </w:pP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Accumulated (gain) loss included in other comprehensive income as of November 3, 2001</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derivatives — (gain) loss</w:t>
            </w:r>
          </w:p>
        </w:tc>
        <w:tc>
          <w:tcPr>
            <w:tcW w:w="1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1,609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Reclassifications into earnings from other comprehensive income</w:t>
            </w:r>
          </w:p>
        </w:tc>
        <w:tc>
          <w:tcPr>
            <w:tcW w:w="14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r>
      <w:tr>
        <w:trPr>
          <w:trHeight w:val="108"/>
        </w:trPr>
        <w:tc>
          <w:tcPr>
            <w:tcW w:w="768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(gain) loss included in other comprehensive income as of February 2, 2002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76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accumulated loss that will be reclassified into earnings over the next twelve months is $0.8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Special Charge</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During fiscal 2001, the Company recorded special charges of approximately $47 million related to cost reduction actions taken in response to the current economic climate. The actions consisted of workforce reductions in manufacturing and, to a lesser extent, in selling, marketing and administrative areas as well as a decision to consolidate worldwide manufacturing operations and rationalize production planning and quality activities.</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cost reductions included severance and fringe benefit costs of $29.6 million for approximately 1,200 employees in the U.S., Europe, Asia and the Philippines of which approximately 880 of these employees have been terminated as of February 2, 2002. The special charge also included $11.6 million related to the abandonment of equipment resulting from the consolidation of worldwide manufacturing operations and $5.8 million of other charges primarily related to equipment and lease cancellation fees. The Company expects to complete these actions within the next nine months.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related to the above actions is as follows:</w:t>
      </w:r>
    </w:p>
    <w:p>
      <w:pPr>
        <w:spacing w:after="0" w:line="200" w:lineRule="exact"/>
        <w:rPr>
          <w:sz w:val="20"/>
          <w:szCs w:val="20"/>
          <w:color w:val="auto"/>
        </w:rPr>
      </w:pPr>
    </w:p>
    <w:p>
      <w:pPr>
        <w:spacing w:after="0" w:line="25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320" w:type="dxa"/>
            <w:vAlign w:val="bottom"/>
          </w:tcPr>
          <w:p>
            <w:pPr>
              <w:spacing w:after="0"/>
              <w:rPr>
                <w:sz w:val="13"/>
                <w:szCs w:val="13"/>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Abandonment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78"/>
        </w:trPr>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320" w:type="dxa"/>
            <w:vAlign w:val="bottom"/>
          </w:tcPr>
          <w:p>
            <w:pPr>
              <w:spacing w:after="0"/>
              <w:rPr>
                <w:sz w:val="15"/>
                <w:szCs w:val="15"/>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of Equipment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5"/>
        </w:trPr>
        <w:tc>
          <w:tcPr>
            <w:tcW w:w="2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r>
        <w:trPr>
          <w:trHeight w:val="102"/>
        </w:trPr>
        <w:tc>
          <w:tcPr>
            <w:tcW w:w="2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2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1020" w:type="dxa"/>
            <w:vAlign w:val="bottom"/>
            <w:tcBorders>
              <w:right w:val="single" w:sz="8" w:color="EEEEEE"/>
            </w:tcBorders>
            <w:gridSpan w:val="3"/>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w w:val="92"/>
              </w:rPr>
              <w:t>$29,636</w:t>
            </w:r>
          </w:p>
        </w:tc>
        <w:tc>
          <w:tcPr>
            <w:tcW w:w="2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$ 11,573</w:t>
            </w: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$ 5,798</w:t>
            </w:r>
          </w:p>
        </w:tc>
        <w:tc>
          <w:tcPr>
            <w:tcW w:w="2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$ 47,007</w:t>
            </w:r>
          </w:p>
        </w:tc>
        <w:tc>
          <w:tcPr>
            <w:tcW w:w="320" w:type="dxa"/>
            <w:vAlign w:val="bottom"/>
            <w:shd w:val="clear" w:color="auto" w:fill="EEEEEE"/>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(6,178)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(6,178)</w:t>
            </w:r>
          </w:p>
        </w:tc>
      </w:tr>
      <w:tr>
        <w:trPr>
          <w:trHeight w:val="216"/>
        </w:trPr>
        <w:tc>
          <w:tcPr>
            <w:tcW w:w="2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Non-cash impairment charge</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(11,573)</w:t>
            </w:r>
          </w:p>
        </w:tc>
        <w:tc>
          <w:tcPr>
            <w:tcW w:w="132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54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(14,073)</w:t>
            </w:r>
          </w:p>
        </w:tc>
      </w:tr>
      <w:tr>
        <w:trPr>
          <w:trHeight w:val="122"/>
        </w:trPr>
        <w:tc>
          <w:tcPr>
            <w:tcW w:w="2800" w:type="dxa"/>
            <w:vAlign w:val="bottom"/>
            <w:tcBorders>
              <w:bottom w:val="single" w:sz="8" w:color="EEEEEE"/>
            </w:tcBorders>
            <w:shd w:val="clear" w:color="auto" w:fill="EEEEEE"/>
          </w:tcPr>
          <w:p>
            <w:pPr>
              <w:spacing w:after="0"/>
              <w:rPr>
                <w:sz w:val="10"/>
                <w:szCs w:val="10"/>
                <w:color w:val="auto"/>
              </w:rPr>
            </w:pPr>
          </w:p>
        </w:tc>
        <w:tc>
          <w:tcPr>
            <w:tcW w:w="320" w:type="dxa"/>
            <w:vAlign w:val="bottom"/>
            <w:tcBorders>
              <w:bottom w:val="single" w:sz="8" w:color="EEEEEE"/>
            </w:tcBorders>
            <w:shd w:val="clear" w:color="auto" w:fill="EEEEEE"/>
          </w:tcPr>
          <w:p>
            <w:pPr>
              <w:spacing w:after="0"/>
              <w:rPr>
                <w:sz w:val="10"/>
                <w:szCs w:val="10"/>
                <w:color w:val="auto"/>
              </w:rPr>
            </w:pPr>
          </w:p>
        </w:tc>
        <w:tc>
          <w:tcPr>
            <w:tcW w:w="200" w:type="dxa"/>
            <w:vAlign w:val="bottom"/>
            <w:tcBorders>
              <w:bottom w:val="single" w:sz="8" w:color="EEEEEE"/>
            </w:tcBorders>
            <w:shd w:val="clear" w:color="auto" w:fill="EEEEEE"/>
          </w:tcPr>
          <w:p>
            <w:pPr>
              <w:spacing w:after="0"/>
              <w:rPr>
                <w:sz w:val="10"/>
                <w:szCs w:val="10"/>
                <w:color w:val="auto"/>
              </w:rPr>
            </w:pPr>
          </w:p>
        </w:tc>
        <w:tc>
          <w:tcPr>
            <w:tcW w:w="500" w:type="dxa"/>
            <w:vAlign w:val="bottom"/>
            <w:tcBorders>
              <w:bottom w:val="single" w:sz="8" w:color="808080"/>
              <w:right w:val="single" w:sz="8" w:color="EEEEEE"/>
            </w:tcBorders>
            <w:shd w:val="clear" w:color="auto" w:fill="EEEEEE"/>
          </w:tcPr>
          <w:p>
            <w:pPr>
              <w:spacing w:after="0"/>
              <w:rPr>
                <w:sz w:val="10"/>
                <w:szCs w:val="10"/>
                <w:color w:val="auto"/>
              </w:rPr>
            </w:pPr>
          </w:p>
        </w:tc>
        <w:tc>
          <w:tcPr>
            <w:tcW w:w="200" w:type="dxa"/>
            <w:vAlign w:val="bottom"/>
            <w:tcBorders>
              <w:bottom w:val="single" w:sz="8" w:color="EEEEEE"/>
            </w:tcBorders>
            <w:shd w:val="clear" w:color="auto" w:fill="EEEEEE"/>
          </w:tcPr>
          <w:p>
            <w:pPr>
              <w:spacing w:after="0"/>
              <w:rPr>
                <w:sz w:val="10"/>
                <w:szCs w:val="10"/>
                <w:color w:val="auto"/>
              </w:rPr>
            </w:pPr>
          </w:p>
        </w:tc>
        <w:tc>
          <w:tcPr>
            <w:tcW w:w="320" w:type="dxa"/>
            <w:vAlign w:val="bottom"/>
            <w:tcBorders>
              <w:bottom w:val="single" w:sz="8" w:color="EEEEEE"/>
            </w:tcBorders>
            <w:shd w:val="clear" w:color="auto" w:fill="EEEEEE"/>
          </w:tcPr>
          <w:p>
            <w:pPr>
              <w:spacing w:after="0"/>
              <w:rPr>
                <w:sz w:val="10"/>
                <w:szCs w:val="10"/>
                <w:color w:val="auto"/>
              </w:rPr>
            </w:pPr>
          </w:p>
        </w:tc>
        <w:tc>
          <w:tcPr>
            <w:tcW w:w="400" w:type="dxa"/>
            <w:vAlign w:val="bottom"/>
            <w:tcBorders>
              <w:bottom w:val="single" w:sz="8" w:color="EEEEEE"/>
            </w:tcBorders>
            <w:shd w:val="clear" w:color="auto" w:fill="EEEEEE"/>
          </w:tcPr>
          <w:p>
            <w:pPr>
              <w:spacing w:after="0"/>
              <w:rPr>
                <w:sz w:val="10"/>
                <w:szCs w:val="10"/>
                <w:color w:val="auto"/>
              </w:rPr>
            </w:pPr>
          </w:p>
        </w:tc>
        <w:tc>
          <w:tcPr>
            <w:tcW w:w="540" w:type="dxa"/>
            <w:vAlign w:val="bottom"/>
            <w:tcBorders>
              <w:bottom w:val="single" w:sz="8" w:color="808080"/>
            </w:tcBorders>
            <w:shd w:val="clear" w:color="auto" w:fill="EEEEEE"/>
          </w:tcPr>
          <w:p>
            <w:pPr>
              <w:spacing w:after="0"/>
              <w:rPr>
                <w:sz w:val="10"/>
                <w:szCs w:val="10"/>
                <w:color w:val="auto"/>
              </w:rPr>
            </w:pPr>
          </w:p>
        </w:tc>
        <w:tc>
          <w:tcPr>
            <w:tcW w:w="400" w:type="dxa"/>
            <w:vAlign w:val="bottom"/>
            <w:tcBorders>
              <w:bottom w:val="single" w:sz="8" w:color="EEEEEE"/>
            </w:tcBorders>
            <w:shd w:val="clear" w:color="auto" w:fill="EEEEEE"/>
          </w:tcPr>
          <w:p>
            <w:pPr>
              <w:spacing w:after="0"/>
              <w:rPr>
                <w:sz w:val="10"/>
                <w:szCs w:val="10"/>
                <w:color w:val="auto"/>
              </w:rPr>
            </w:pPr>
          </w:p>
        </w:tc>
        <w:tc>
          <w:tcPr>
            <w:tcW w:w="320" w:type="dxa"/>
            <w:vAlign w:val="bottom"/>
            <w:tcBorders>
              <w:bottom w:val="single" w:sz="8" w:color="EEEEEE"/>
            </w:tcBorders>
            <w:shd w:val="clear" w:color="auto" w:fill="EEEEEE"/>
          </w:tcPr>
          <w:p>
            <w:pPr>
              <w:spacing w:after="0"/>
              <w:rPr>
                <w:sz w:val="10"/>
                <w:szCs w:val="10"/>
                <w:color w:val="auto"/>
              </w:rPr>
            </w:pPr>
          </w:p>
        </w:tc>
        <w:tc>
          <w:tcPr>
            <w:tcW w:w="280" w:type="dxa"/>
            <w:vAlign w:val="bottom"/>
            <w:tcBorders>
              <w:bottom w:val="single" w:sz="8" w:color="EEEEEE"/>
            </w:tcBorders>
            <w:shd w:val="clear" w:color="auto" w:fill="EEEEEE"/>
          </w:tcPr>
          <w:p>
            <w:pPr>
              <w:spacing w:after="0"/>
              <w:rPr>
                <w:sz w:val="10"/>
                <w:szCs w:val="10"/>
                <w:color w:val="auto"/>
              </w:rPr>
            </w:pPr>
          </w:p>
        </w:tc>
        <w:tc>
          <w:tcPr>
            <w:tcW w:w="460" w:type="dxa"/>
            <w:vAlign w:val="bottom"/>
            <w:tcBorders>
              <w:bottom w:val="single" w:sz="8" w:color="808080"/>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340" w:type="dxa"/>
            <w:vAlign w:val="bottom"/>
            <w:tcBorders>
              <w:bottom w:val="single" w:sz="8" w:color="EEEEEE"/>
            </w:tcBorders>
            <w:shd w:val="clear" w:color="auto" w:fill="EEEEEE"/>
          </w:tcPr>
          <w:p>
            <w:pPr>
              <w:spacing w:after="0"/>
              <w:rPr>
                <w:sz w:val="10"/>
                <w:szCs w:val="10"/>
                <w:color w:val="auto"/>
              </w:rPr>
            </w:pPr>
          </w:p>
        </w:tc>
        <w:tc>
          <w:tcPr>
            <w:tcW w:w="340" w:type="dxa"/>
            <w:vAlign w:val="bottom"/>
            <w:tcBorders>
              <w:bottom w:val="single" w:sz="8" w:color="EEEEEE"/>
              <w:right w:val="single" w:sz="8" w:color="EEEEEE"/>
            </w:tcBorders>
            <w:shd w:val="clear" w:color="auto" w:fill="EEEEEE"/>
          </w:tcPr>
          <w:p>
            <w:pPr>
              <w:spacing w:after="0"/>
              <w:rPr>
                <w:sz w:val="10"/>
                <w:szCs w:val="10"/>
                <w:color w:val="auto"/>
              </w:rPr>
            </w:pPr>
          </w:p>
        </w:tc>
        <w:tc>
          <w:tcPr>
            <w:tcW w:w="540" w:type="dxa"/>
            <w:vAlign w:val="bottom"/>
            <w:tcBorders>
              <w:bottom w:val="single" w:sz="8" w:color="808080"/>
            </w:tcBorders>
            <w:shd w:val="clear" w:color="auto" w:fill="EEEEEE"/>
          </w:tcPr>
          <w:p>
            <w:pPr>
              <w:spacing w:after="0"/>
              <w:rPr>
                <w:sz w:val="10"/>
                <w:szCs w:val="10"/>
                <w:color w:val="auto"/>
              </w:rPr>
            </w:pPr>
          </w:p>
        </w:tc>
        <w:tc>
          <w:tcPr>
            <w:tcW w:w="320" w:type="dxa"/>
            <w:vAlign w:val="bottom"/>
            <w:tcBorders>
              <w:bottom w:val="single" w:sz="8" w:color="EEEEEE"/>
            </w:tcBorders>
            <w:shd w:val="clear" w:color="auto" w:fill="EEEEEE"/>
          </w:tcPr>
          <w:p>
            <w:pPr>
              <w:spacing w:after="0"/>
              <w:rPr>
                <w:sz w:val="10"/>
                <w:szCs w:val="10"/>
                <w:color w:val="auto"/>
              </w:rPr>
            </w:pPr>
          </w:p>
        </w:tc>
      </w:tr>
      <w:tr>
        <w:trPr>
          <w:trHeight w:val="75"/>
        </w:trPr>
        <w:tc>
          <w:tcPr>
            <w:tcW w:w="280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500" w:type="dxa"/>
            <w:vAlign w:val="bottom"/>
            <w:tcBorders>
              <w:right w:val="single" w:sz="8" w:color="EEEEEE"/>
            </w:tcBorders>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c>
          <w:tcPr>
            <w:tcW w:w="400" w:type="dxa"/>
            <w:vAlign w:val="bottom"/>
            <w:shd w:val="clear" w:color="auto" w:fill="EEEEEE"/>
          </w:tcPr>
          <w:p>
            <w:pPr>
              <w:spacing w:after="0"/>
              <w:rPr>
                <w:sz w:val="6"/>
                <w:szCs w:val="6"/>
                <w:color w:val="auto"/>
              </w:rPr>
            </w:pPr>
          </w:p>
        </w:tc>
        <w:tc>
          <w:tcPr>
            <w:tcW w:w="540" w:type="dxa"/>
            <w:vAlign w:val="bottom"/>
            <w:shd w:val="clear" w:color="auto" w:fill="EEEEEE"/>
          </w:tcPr>
          <w:p>
            <w:pPr>
              <w:spacing w:after="0"/>
              <w:rPr>
                <w:sz w:val="6"/>
                <w:szCs w:val="6"/>
                <w:color w:val="auto"/>
              </w:rPr>
            </w:pPr>
          </w:p>
        </w:tc>
        <w:tc>
          <w:tcPr>
            <w:tcW w:w="40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c>
          <w:tcPr>
            <w:tcW w:w="280" w:type="dxa"/>
            <w:vAlign w:val="bottom"/>
            <w:shd w:val="clear" w:color="auto" w:fill="EEEEEE"/>
          </w:tcPr>
          <w:p>
            <w:pPr>
              <w:spacing w:after="0"/>
              <w:rPr>
                <w:sz w:val="6"/>
                <w:szCs w:val="6"/>
                <w:color w:val="auto"/>
              </w:rPr>
            </w:pPr>
          </w:p>
        </w:tc>
        <w:tc>
          <w:tcPr>
            <w:tcW w:w="460" w:type="dxa"/>
            <w:vAlign w:val="bottom"/>
            <w:shd w:val="clear" w:color="auto" w:fill="EEEEEE"/>
          </w:tcPr>
          <w:p>
            <w:pPr>
              <w:spacing w:after="0"/>
              <w:rPr>
                <w:sz w:val="6"/>
                <w:szCs w:val="6"/>
                <w:color w:val="auto"/>
              </w:rPr>
            </w:pPr>
          </w:p>
        </w:tc>
        <w:tc>
          <w:tcPr>
            <w:tcW w:w="260" w:type="dxa"/>
            <w:vAlign w:val="bottom"/>
            <w:shd w:val="clear" w:color="auto" w:fill="EEEEEE"/>
          </w:tcPr>
          <w:p>
            <w:pPr>
              <w:spacing w:after="0"/>
              <w:rPr>
                <w:sz w:val="6"/>
                <w:szCs w:val="6"/>
                <w:color w:val="auto"/>
              </w:rPr>
            </w:pPr>
          </w:p>
        </w:tc>
        <w:tc>
          <w:tcPr>
            <w:tcW w:w="340" w:type="dxa"/>
            <w:vAlign w:val="bottom"/>
            <w:shd w:val="clear" w:color="auto" w:fill="EEEEEE"/>
          </w:tcPr>
          <w:p>
            <w:pPr>
              <w:spacing w:after="0"/>
              <w:rPr>
                <w:sz w:val="6"/>
                <w:szCs w:val="6"/>
                <w:color w:val="auto"/>
              </w:rPr>
            </w:pPr>
          </w:p>
        </w:tc>
        <w:tc>
          <w:tcPr>
            <w:tcW w:w="340" w:type="dxa"/>
            <w:vAlign w:val="bottom"/>
            <w:tcBorders>
              <w:right w:val="single" w:sz="8" w:color="EEEEEE"/>
            </w:tcBorders>
            <w:shd w:val="clear" w:color="auto" w:fill="EEEEEE"/>
          </w:tcPr>
          <w:p>
            <w:pPr>
              <w:spacing w:after="0"/>
              <w:rPr>
                <w:sz w:val="6"/>
                <w:szCs w:val="6"/>
                <w:color w:val="auto"/>
              </w:rPr>
            </w:pPr>
          </w:p>
        </w:tc>
        <w:tc>
          <w:tcPr>
            <w:tcW w:w="54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3, 2001</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2"/>
              </w:rPr>
              <w:t>$23,458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$ 26,756</w:t>
            </w:r>
          </w:p>
        </w:tc>
        <w:tc>
          <w:tcPr>
            <w:tcW w:w="320" w:type="dxa"/>
            <w:vAlign w:val="bottom"/>
          </w:tcPr>
          <w:p>
            <w:pPr>
              <w:spacing w:after="0"/>
              <w:rPr>
                <w:sz w:val="18"/>
                <w:szCs w:val="18"/>
                <w:color w:val="auto"/>
              </w:rPr>
            </w:pPr>
          </w:p>
        </w:tc>
      </w:tr>
      <w:tr>
        <w:trPr>
          <w:trHeight w:val="216"/>
        </w:trPr>
        <w:tc>
          <w:tcPr>
            <w:tcW w:w="2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22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(8,711)</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(8,711)</w:t>
            </w:r>
          </w:p>
        </w:tc>
      </w:tr>
      <w:tr>
        <w:trPr>
          <w:trHeight w:val="122"/>
        </w:trPr>
        <w:tc>
          <w:tcPr>
            <w:tcW w:w="2800" w:type="dxa"/>
            <w:vAlign w:val="bottom"/>
            <w:tcBorders>
              <w:bottom w:val="single" w:sz="8" w:color="EEEEEE"/>
            </w:tcBorders>
            <w:shd w:val="clear" w:color="auto" w:fill="EEEEEE"/>
          </w:tcPr>
          <w:p>
            <w:pPr>
              <w:spacing w:after="0"/>
              <w:rPr>
                <w:sz w:val="10"/>
                <w:szCs w:val="10"/>
                <w:color w:val="auto"/>
              </w:rPr>
            </w:pPr>
          </w:p>
        </w:tc>
        <w:tc>
          <w:tcPr>
            <w:tcW w:w="320" w:type="dxa"/>
            <w:vAlign w:val="bottom"/>
            <w:tcBorders>
              <w:bottom w:val="single" w:sz="8" w:color="EEEEEE"/>
            </w:tcBorders>
            <w:shd w:val="clear" w:color="auto" w:fill="EEEEEE"/>
          </w:tcPr>
          <w:p>
            <w:pPr>
              <w:spacing w:after="0"/>
              <w:rPr>
                <w:sz w:val="10"/>
                <w:szCs w:val="10"/>
                <w:color w:val="auto"/>
              </w:rPr>
            </w:pPr>
          </w:p>
        </w:tc>
        <w:tc>
          <w:tcPr>
            <w:tcW w:w="200" w:type="dxa"/>
            <w:vAlign w:val="bottom"/>
            <w:tcBorders>
              <w:bottom w:val="single" w:sz="8" w:color="EEEEEE"/>
            </w:tcBorders>
            <w:shd w:val="clear" w:color="auto" w:fill="EEEEEE"/>
          </w:tcPr>
          <w:p>
            <w:pPr>
              <w:spacing w:after="0"/>
              <w:rPr>
                <w:sz w:val="10"/>
                <w:szCs w:val="10"/>
                <w:color w:val="auto"/>
              </w:rPr>
            </w:pPr>
          </w:p>
        </w:tc>
        <w:tc>
          <w:tcPr>
            <w:tcW w:w="500" w:type="dxa"/>
            <w:vAlign w:val="bottom"/>
            <w:tcBorders>
              <w:bottom w:val="single" w:sz="8" w:color="808080"/>
              <w:right w:val="single" w:sz="8" w:color="EEEEEE"/>
            </w:tcBorders>
            <w:shd w:val="clear" w:color="auto" w:fill="EEEEEE"/>
          </w:tcPr>
          <w:p>
            <w:pPr>
              <w:spacing w:after="0"/>
              <w:rPr>
                <w:sz w:val="10"/>
                <w:szCs w:val="10"/>
                <w:color w:val="auto"/>
              </w:rPr>
            </w:pPr>
          </w:p>
        </w:tc>
        <w:tc>
          <w:tcPr>
            <w:tcW w:w="200" w:type="dxa"/>
            <w:vAlign w:val="bottom"/>
            <w:tcBorders>
              <w:bottom w:val="single" w:sz="8" w:color="EEEEEE"/>
            </w:tcBorders>
            <w:shd w:val="clear" w:color="auto" w:fill="EEEEEE"/>
          </w:tcPr>
          <w:p>
            <w:pPr>
              <w:spacing w:after="0"/>
              <w:rPr>
                <w:sz w:val="10"/>
                <w:szCs w:val="10"/>
                <w:color w:val="auto"/>
              </w:rPr>
            </w:pPr>
          </w:p>
        </w:tc>
        <w:tc>
          <w:tcPr>
            <w:tcW w:w="320" w:type="dxa"/>
            <w:vAlign w:val="bottom"/>
            <w:tcBorders>
              <w:bottom w:val="single" w:sz="8" w:color="EEEEEE"/>
            </w:tcBorders>
            <w:shd w:val="clear" w:color="auto" w:fill="EEEEEE"/>
          </w:tcPr>
          <w:p>
            <w:pPr>
              <w:spacing w:after="0"/>
              <w:rPr>
                <w:sz w:val="10"/>
                <w:szCs w:val="10"/>
                <w:color w:val="auto"/>
              </w:rPr>
            </w:pPr>
          </w:p>
        </w:tc>
        <w:tc>
          <w:tcPr>
            <w:tcW w:w="400" w:type="dxa"/>
            <w:vAlign w:val="bottom"/>
            <w:tcBorders>
              <w:bottom w:val="single" w:sz="8" w:color="EEEEEE"/>
            </w:tcBorders>
            <w:shd w:val="clear" w:color="auto" w:fill="EEEEEE"/>
          </w:tcPr>
          <w:p>
            <w:pPr>
              <w:spacing w:after="0"/>
              <w:rPr>
                <w:sz w:val="10"/>
                <w:szCs w:val="10"/>
                <w:color w:val="auto"/>
              </w:rPr>
            </w:pPr>
          </w:p>
        </w:tc>
        <w:tc>
          <w:tcPr>
            <w:tcW w:w="540" w:type="dxa"/>
            <w:vAlign w:val="bottom"/>
            <w:tcBorders>
              <w:bottom w:val="single" w:sz="8" w:color="808080"/>
            </w:tcBorders>
            <w:shd w:val="clear" w:color="auto" w:fill="EEEEEE"/>
          </w:tcPr>
          <w:p>
            <w:pPr>
              <w:spacing w:after="0"/>
              <w:rPr>
                <w:sz w:val="10"/>
                <w:szCs w:val="10"/>
                <w:color w:val="auto"/>
              </w:rPr>
            </w:pPr>
          </w:p>
        </w:tc>
        <w:tc>
          <w:tcPr>
            <w:tcW w:w="400" w:type="dxa"/>
            <w:vAlign w:val="bottom"/>
            <w:tcBorders>
              <w:bottom w:val="single" w:sz="8" w:color="EEEEEE"/>
            </w:tcBorders>
            <w:shd w:val="clear" w:color="auto" w:fill="EEEEEE"/>
          </w:tcPr>
          <w:p>
            <w:pPr>
              <w:spacing w:after="0"/>
              <w:rPr>
                <w:sz w:val="10"/>
                <w:szCs w:val="10"/>
                <w:color w:val="auto"/>
              </w:rPr>
            </w:pPr>
          </w:p>
        </w:tc>
        <w:tc>
          <w:tcPr>
            <w:tcW w:w="320" w:type="dxa"/>
            <w:vAlign w:val="bottom"/>
            <w:tcBorders>
              <w:bottom w:val="single" w:sz="8" w:color="EEEEEE"/>
            </w:tcBorders>
            <w:shd w:val="clear" w:color="auto" w:fill="EEEEEE"/>
          </w:tcPr>
          <w:p>
            <w:pPr>
              <w:spacing w:after="0"/>
              <w:rPr>
                <w:sz w:val="10"/>
                <w:szCs w:val="10"/>
                <w:color w:val="auto"/>
              </w:rPr>
            </w:pPr>
          </w:p>
        </w:tc>
        <w:tc>
          <w:tcPr>
            <w:tcW w:w="280" w:type="dxa"/>
            <w:vAlign w:val="bottom"/>
            <w:tcBorders>
              <w:bottom w:val="single" w:sz="8" w:color="EEEEEE"/>
            </w:tcBorders>
            <w:shd w:val="clear" w:color="auto" w:fill="EEEEEE"/>
          </w:tcPr>
          <w:p>
            <w:pPr>
              <w:spacing w:after="0"/>
              <w:rPr>
                <w:sz w:val="10"/>
                <w:szCs w:val="10"/>
                <w:color w:val="auto"/>
              </w:rPr>
            </w:pPr>
          </w:p>
        </w:tc>
        <w:tc>
          <w:tcPr>
            <w:tcW w:w="460" w:type="dxa"/>
            <w:vAlign w:val="bottom"/>
            <w:tcBorders>
              <w:bottom w:val="single" w:sz="8" w:color="808080"/>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340" w:type="dxa"/>
            <w:vAlign w:val="bottom"/>
            <w:tcBorders>
              <w:bottom w:val="single" w:sz="8" w:color="EEEEEE"/>
            </w:tcBorders>
            <w:shd w:val="clear" w:color="auto" w:fill="EEEEEE"/>
          </w:tcPr>
          <w:p>
            <w:pPr>
              <w:spacing w:after="0"/>
              <w:rPr>
                <w:sz w:val="10"/>
                <w:szCs w:val="10"/>
                <w:color w:val="auto"/>
              </w:rPr>
            </w:pPr>
          </w:p>
        </w:tc>
        <w:tc>
          <w:tcPr>
            <w:tcW w:w="340" w:type="dxa"/>
            <w:vAlign w:val="bottom"/>
            <w:tcBorders>
              <w:bottom w:val="single" w:sz="8" w:color="EEEEEE"/>
              <w:right w:val="single" w:sz="8" w:color="EEEEEE"/>
            </w:tcBorders>
            <w:shd w:val="clear" w:color="auto" w:fill="EEEEEE"/>
          </w:tcPr>
          <w:p>
            <w:pPr>
              <w:spacing w:after="0"/>
              <w:rPr>
                <w:sz w:val="10"/>
                <w:szCs w:val="10"/>
                <w:color w:val="auto"/>
              </w:rPr>
            </w:pPr>
          </w:p>
        </w:tc>
        <w:tc>
          <w:tcPr>
            <w:tcW w:w="540" w:type="dxa"/>
            <w:vAlign w:val="bottom"/>
            <w:tcBorders>
              <w:bottom w:val="single" w:sz="8" w:color="808080"/>
            </w:tcBorders>
            <w:shd w:val="clear" w:color="auto" w:fill="EEEEEE"/>
          </w:tcPr>
          <w:p>
            <w:pPr>
              <w:spacing w:after="0"/>
              <w:rPr>
                <w:sz w:val="10"/>
                <w:szCs w:val="10"/>
                <w:color w:val="auto"/>
              </w:rPr>
            </w:pPr>
          </w:p>
        </w:tc>
        <w:tc>
          <w:tcPr>
            <w:tcW w:w="320" w:type="dxa"/>
            <w:vAlign w:val="bottom"/>
            <w:tcBorders>
              <w:bottom w:val="single" w:sz="8" w:color="EEEEEE"/>
            </w:tcBorders>
            <w:shd w:val="clear" w:color="auto" w:fill="EEEEEE"/>
          </w:tcPr>
          <w:p>
            <w:pPr>
              <w:spacing w:after="0"/>
              <w:rPr>
                <w:sz w:val="10"/>
                <w:szCs w:val="10"/>
                <w:color w:val="auto"/>
              </w:rPr>
            </w:pPr>
          </w:p>
        </w:tc>
      </w:tr>
      <w:tr>
        <w:trPr>
          <w:trHeight w:val="75"/>
        </w:trPr>
        <w:tc>
          <w:tcPr>
            <w:tcW w:w="280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500" w:type="dxa"/>
            <w:vAlign w:val="bottom"/>
            <w:tcBorders>
              <w:right w:val="single" w:sz="8" w:color="EEEEEE"/>
            </w:tcBorders>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c>
          <w:tcPr>
            <w:tcW w:w="400" w:type="dxa"/>
            <w:vAlign w:val="bottom"/>
            <w:shd w:val="clear" w:color="auto" w:fill="EEEEEE"/>
          </w:tcPr>
          <w:p>
            <w:pPr>
              <w:spacing w:after="0"/>
              <w:rPr>
                <w:sz w:val="6"/>
                <w:szCs w:val="6"/>
                <w:color w:val="auto"/>
              </w:rPr>
            </w:pPr>
          </w:p>
        </w:tc>
        <w:tc>
          <w:tcPr>
            <w:tcW w:w="540" w:type="dxa"/>
            <w:vAlign w:val="bottom"/>
            <w:shd w:val="clear" w:color="auto" w:fill="EEEEEE"/>
          </w:tcPr>
          <w:p>
            <w:pPr>
              <w:spacing w:after="0"/>
              <w:rPr>
                <w:sz w:val="6"/>
                <w:szCs w:val="6"/>
                <w:color w:val="auto"/>
              </w:rPr>
            </w:pPr>
          </w:p>
        </w:tc>
        <w:tc>
          <w:tcPr>
            <w:tcW w:w="40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c>
          <w:tcPr>
            <w:tcW w:w="280" w:type="dxa"/>
            <w:vAlign w:val="bottom"/>
            <w:shd w:val="clear" w:color="auto" w:fill="EEEEEE"/>
          </w:tcPr>
          <w:p>
            <w:pPr>
              <w:spacing w:after="0"/>
              <w:rPr>
                <w:sz w:val="6"/>
                <w:szCs w:val="6"/>
                <w:color w:val="auto"/>
              </w:rPr>
            </w:pPr>
          </w:p>
        </w:tc>
        <w:tc>
          <w:tcPr>
            <w:tcW w:w="460" w:type="dxa"/>
            <w:vAlign w:val="bottom"/>
            <w:shd w:val="clear" w:color="auto" w:fill="EEEEEE"/>
          </w:tcPr>
          <w:p>
            <w:pPr>
              <w:spacing w:after="0"/>
              <w:rPr>
                <w:sz w:val="6"/>
                <w:szCs w:val="6"/>
                <w:color w:val="auto"/>
              </w:rPr>
            </w:pPr>
          </w:p>
        </w:tc>
        <w:tc>
          <w:tcPr>
            <w:tcW w:w="260" w:type="dxa"/>
            <w:vAlign w:val="bottom"/>
            <w:shd w:val="clear" w:color="auto" w:fill="EEEEEE"/>
          </w:tcPr>
          <w:p>
            <w:pPr>
              <w:spacing w:after="0"/>
              <w:rPr>
                <w:sz w:val="6"/>
                <w:szCs w:val="6"/>
                <w:color w:val="auto"/>
              </w:rPr>
            </w:pPr>
          </w:p>
        </w:tc>
        <w:tc>
          <w:tcPr>
            <w:tcW w:w="340" w:type="dxa"/>
            <w:vAlign w:val="bottom"/>
            <w:shd w:val="clear" w:color="auto" w:fill="EEEEEE"/>
          </w:tcPr>
          <w:p>
            <w:pPr>
              <w:spacing w:after="0"/>
              <w:rPr>
                <w:sz w:val="6"/>
                <w:szCs w:val="6"/>
                <w:color w:val="auto"/>
              </w:rPr>
            </w:pPr>
          </w:p>
        </w:tc>
        <w:tc>
          <w:tcPr>
            <w:tcW w:w="340" w:type="dxa"/>
            <w:vAlign w:val="bottom"/>
            <w:tcBorders>
              <w:right w:val="single" w:sz="8" w:color="EEEEEE"/>
            </w:tcBorders>
            <w:shd w:val="clear" w:color="auto" w:fill="EEEEEE"/>
          </w:tcPr>
          <w:p>
            <w:pPr>
              <w:spacing w:after="0"/>
              <w:rPr>
                <w:sz w:val="6"/>
                <w:szCs w:val="6"/>
                <w:color w:val="auto"/>
              </w:rPr>
            </w:pPr>
          </w:p>
        </w:tc>
        <w:tc>
          <w:tcPr>
            <w:tcW w:w="54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 2002</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2"/>
              </w:rPr>
              <w:t>$14,747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$ 18,045</w:t>
            </w:r>
          </w:p>
        </w:tc>
        <w:tc>
          <w:tcPr>
            <w:tcW w:w="320" w:type="dxa"/>
            <w:vAlign w:val="bottom"/>
          </w:tcPr>
          <w:p>
            <w:pPr>
              <w:spacing w:after="0"/>
              <w:rPr>
                <w:sz w:val="18"/>
                <w:szCs w:val="18"/>
                <w:color w:val="auto"/>
              </w:rPr>
            </w:pPr>
          </w:p>
        </w:tc>
      </w:tr>
      <w:tr>
        <w:trPr>
          <w:trHeight w:val="91"/>
        </w:trPr>
        <w:tc>
          <w:tcPr>
            <w:tcW w:w="2800" w:type="dxa"/>
            <w:vAlign w:val="bottom"/>
            <w:shd w:val="clear" w:color="auto" w:fill="EEEEEE"/>
          </w:tcPr>
          <w:p>
            <w:pPr>
              <w:spacing w:after="0"/>
              <w:rPr>
                <w:sz w:val="7"/>
                <w:szCs w:val="7"/>
                <w:color w:val="auto"/>
              </w:rPr>
            </w:pPr>
          </w:p>
        </w:tc>
        <w:tc>
          <w:tcPr>
            <w:tcW w:w="320" w:type="dxa"/>
            <w:vAlign w:val="bottom"/>
            <w:shd w:val="clear" w:color="auto" w:fill="EEEEEE"/>
          </w:tcPr>
          <w:p>
            <w:pPr>
              <w:spacing w:after="0"/>
              <w:rPr>
                <w:sz w:val="7"/>
                <w:szCs w:val="7"/>
                <w:color w:val="auto"/>
              </w:rPr>
            </w:pPr>
          </w:p>
        </w:tc>
        <w:tc>
          <w:tcPr>
            <w:tcW w:w="200" w:type="dxa"/>
            <w:vAlign w:val="bottom"/>
            <w:shd w:val="clear" w:color="auto" w:fill="EEEEEE"/>
          </w:tcPr>
          <w:p>
            <w:pPr>
              <w:spacing w:after="0"/>
              <w:rPr>
                <w:sz w:val="7"/>
                <w:szCs w:val="7"/>
                <w:color w:val="auto"/>
              </w:rPr>
            </w:pPr>
          </w:p>
        </w:tc>
        <w:tc>
          <w:tcPr>
            <w:tcW w:w="500" w:type="dxa"/>
            <w:vAlign w:val="bottom"/>
            <w:tcBorders>
              <w:right w:val="single" w:sz="8" w:color="EEEEEE"/>
            </w:tcBorders>
            <w:shd w:val="clear" w:color="auto" w:fill="EEEEEE"/>
          </w:tcPr>
          <w:p>
            <w:pPr>
              <w:spacing w:after="0"/>
              <w:rPr>
                <w:sz w:val="7"/>
                <w:szCs w:val="7"/>
                <w:color w:val="auto"/>
              </w:rPr>
            </w:pPr>
          </w:p>
        </w:tc>
        <w:tc>
          <w:tcPr>
            <w:tcW w:w="200" w:type="dxa"/>
            <w:vAlign w:val="bottom"/>
            <w:shd w:val="clear" w:color="auto" w:fill="EEEEEE"/>
          </w:tcPr>
          <w:p>
            <w:pPr>
              <w:spacing w:after="0"/>
              <w:rPr>
                <w:sz w:val="7"/>
                <w:szCs w:val="7"/>
                <w:color w:val="auto"/>
              </w:rPr>
            </w:pPr>
          </w:p>
        </w:tc>
        <w:tc>
          <w:tcPr>
            <w:tcW w:w="320" w:type="dxa"/>
            <w:vAlign w:val="bottom"/>
            <w:shd w:val="clear" w:color="auto" w:fill="EEEEEE"/>
          </w:tcPr>
          <w:p>
            <w:pPr>
              <w:spacing w:after="0"/>
              <w:rPr>
                <w:sz w:val="7"/>
                <w:szCs w:val="7"/>
                <w:color w:val="auto"/>
              </w:rPr>
            </w:pPr>
          </w:p>
        </w:tc>
        <w:tc>
          <w:tcPr>
            <w:tcW w:w="400" w:type="dxa"/>
            <w:vAlign w:val="bottom"/>
            <w:shd w:val="clear" w:color="auto" w:fill="EEEEEE"/>
          </w:tcPr>
          <w:p>
            <w:pPr>
              <w:spacing w:after="0"/>
              <w:rPr>
                <w:sz w:val="7"/>
                <w:szCs w:val="7"/>
                <w:color w:val="auto"/>
              </w:rPr>
            </w:pPr>
          </w:p>
        </w:tc>
        <w:tc>
          <w:tcPr>
            <w:tcW w:w="540" w:type="dxa"/>
            <w:vAlign w:val="bottom"/>
            <w:shd w:val="clear" w:color="auto" w:fill="EEEEEE"/>
          </w:tcPr>
          <w:p>
            <w:pPr>
              <w:spacing w:after="0"/>
              <w:rPr>
                <w:sz w:val="7"/>
                <w:szCs w:val="7"/>
                <w:color w:val="auto"/>
              </w:rPr>
            </w:pPr>
          </w:p>
        </w:tc>
        <w:tc>
          <w:tcPr>
            <w:tcW w:w="400" w:type="dxa"/>
            <w:vAlign w:val="bottom"/>
            <w:shd w:val="clear" w:color="auto" w:fill="EEEEEE"/>
          </w:tcPr>
          <w:p>
            <w:pPr>
              <w:spacing w:after="0"/>
              <w:rPr>
                <w:sz w:val="7"/>
                <w:szCs w:val="7"/>
                <w:color w:val="auto"/>
              </w:rPr>
            </w:pPr>
          </w:p>
        </w:tc>
        <w:tc>
          <w:tcPr>
            <w:tcW w:w="320" w:type="dxa"/>
            <w:vAlign w:val="bottom"/>
            <w:shd w:val="clear" w:color="auto" w:fill="EEEEEE"/>
          </w:tcPr>
          <w:p>
            <w:pPr>
              <w:spacing w:after="0"/>
              <w:rPr>
                <w:sz w:val="7"/>
                <w:szCs w:val="7"/>
                <w:color w:val="auto"/>
              </w:rPr>
            </w:pPr>
          </w:p>
        </w:tc>
        <w:tc>
          <w:tcPr>
            <w:tcW w:w="280" w:type="dxa"/>
            <w:vAlign w:val="bottom"/>
            <w:shd w:val="clear" w:color="auto" w:fill="EEEEEE"/>
          </w:tcPr>
          <w:p>
            <w:pPr>
              <w:spacing w:after="0"/>
              <w:rPr>
                <w:sz w:val="7"/>
                <w:szCs w:val="7"/>
                <w:color w:val="auto"/>
              </w:rPr>
            </w:pPr>
          </w:p>
        </w:tc>
        <w:tc>
          <w:tcPr>
            <w:tcW w:w="460" w:type="dxa"/>
            <w:vAlign w:val="bottom"/>
            <w:shd w:val="clear" w:color="auto" w:fill="EEEEEE"/>
          </w:tcPr>
          <w:p>
            <w:pPr>
              <w:spacing w:after="0"/>
              <w:rPr>
                <w:sz w:val="7"/>
                <w:szCs w:val="7"/>
                <w:color w:val="auto"/>
              </w:rPr>
            </w:pPr>
          </w:p>
        </w:tc>
        <w:tc>
          <w:tcPr>
            <w:tcW w:w="260" w:type="dxa"/>
            <w:vAlign w:val="bottom"/>
            <w:shd w:val="clear" w:color="auto" w:fill="EEEEEE"/>
          </w:tcPr>
          <w:p>
            <w:pPr>
              <w:spacing w:after="0"/>
              <w:rPr>
                <w:sz w:val="7"/>
                <w:szCs w:val="7"/>
                <w:color w:val="auto"/>
              </w:rPr>
            </w:pPr>
          </w:p>
        </w:tc>
        <w:tc>
          <w:tcPr>
            <w:tcW w:w="340" w:type="dxa"/>
            <w:vAlign w:val="bottom"/>
            <w:shd w:val="clear" w:color="auto" w:fill="EEEEEE"/>
          </w:tcPr>
          <w:p>
            <w:pPr>
              <w:spacing w:after="0"/>
              <w:rPr>
                <w:sz w:val="7"/>
                <w:szCs w:val="7"/>
                <w:color w:val="auto"/>
              </w:rPr>
            </w:pPr>
          </w:p>
        </w:tc>
        <w:tc>
          <w:tcPr>
            <w:tcW w:w="340" w:type="dxa"/>
            <w:vAlign w:val="bottom"/>
            <w:tcBorders>
              <w:right w:val="single" w:sz="8" w:color="EEEEEE"/>
            </w:tcBorders>
            <w:shd w:val="clear" w:color="auto" w:fill="EEEEEE"/>
          </w:tcPr>
          <w:p>
            <w:pPr>
              <w:spacing w:after="0"/>
              <w:rPr>
                <w:sz w:val="7"/>
                <w:szCs w:val="7"/>
                <w:color w:val="auto"/>
              </w:rPr>
            </w:pPr>
          </w:p>
        </w:tc>
        <w:tc>
          <w:tcPr>
            <w:tcW w:w="540" w:type="dxa"/>
            <w:vAlign w:val="bottom"/>
            <w:shd w:val="clear" w:color="auto" w:fill="EEEEEE"/>
          </w:tcPr>
          <w:p>
            <w:pPr>
              <w:spacing w:after="0"/>
              <w:rPr>
                <w:sz w:val="7"/>
                <w:szCs w:val="7"/>
                <w:color w:val="auto"/>
              </w:rPr>
            </w:pPr>
          </w:p>
        </w:tc>
        <w:tc>
          <w:tcPr>
            <w:tcW w:w="320" w:type="dxa"/>
            <w:vAlign w:val="bottom"/>
            <w:shd w:val="clear" w:color="auto" w:fill="EEEEEE"/>
          </w:tcPr>
          <w:p>
            <w:pPr>
              <w:spacing w:after="0"/>
              <w:rPr>
                <w:sz w:val="7"/>
                <w:szCs w:val="7"/>
                <w:color w:val="auto"/>
              </w:rPr>
            </w:pPr>
          </w:p>
        </w:tc>
      </w:tr>
      <w:tr>
        <w:trPr>
          <w:trHeight w:val="61"/>
        </w:trPr>
        <w:tc>
          <w:tcPr>
            <w:tcW w:w="28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r>
      <w:tr>
        <w:trPr>
          <w:trHeight w:val="78"/>
        </w:trPr>
        <w:tc>
          <w:tcPr>
            <w:tcW w:w="280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500" w:type="dxa"/>
            <w:vAlign w:val="bottom"/>
            <w:tcBorders>
              <w:right w:val="single" w:sz="8" w:color="EEEEEE"/>
            </w:tcBorders>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c>
          <w:tcPr>
            <w:tcW w:w="400" w:type="dxa"/>
            <w:vAlign w:val="bottom"/>
            <w:shd w:val="clear" w:color="auto" w:fill="EEEEEE"/>
          </w:tcPr>
          <w:p>
            <w:pPr>
              <w:spacing w:after="0"/>
              <w:rPr>
                <w:sz w:val="6"/>
                <w:szCs w:val="6"/>
                <w:color w:val="auto"/>
              </w:rPr>
            </w:pPr>
          </w:p>
        </w:tc>
        <w:tc>
          <w:tcPr>
            <w:tcW w:w="540" w:type="dxa"/>
            <w:vAlign w:val="bottom"/>
            <w:shd w:val="clear" w:color="auto" w:fill="EEEEEE"/>
          </w:tcPr>
          <w:p>
            <w:pPr>
              <w:spacing w:after="0"/>
              <w:rPr>
                <w:sz w:val="6"/>
                <w:szCs w:val="6"/>
                <w:color w:val="auto"/>
              </w:rPr>
            </w:pPr>
          </w:p>
        </w:tc>
        <w:tc>
          <w:tcPr>
            <w:tcW w:w="40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c>
          <w:tcPr>
            <w:tcW w:w="280" w:type="dxa"/>
            <w:vAlign w:val="bottom"/>
            <w:shd w:val="clear" w:color="auto" w:fill="EEEEEE"/>
          </w:tcPr>
          <w:p>
            <w:pPr>
              <w:spacing w:after="0"/>
              <w:rPr>
                <w:sz w:val="6"/>
                <w:szCs w:val="6"/>
                <w:color w:val="auto"/>
              </w:rPr>
            </w:pPr>
          </w:p>
        </w:tc>
        <w:tc>
          <w:tcPr>
            <w:tcW w:w="460" w:type="dxa"/>
            <w:vAlign w:val="bottom"/>
            <w:shd w:val="clear" w:color="auto" w:fill="EEEEEE"/>
          </w:tcPr>
          <w:p>
            <w:pPr>
              <w:spacing w:after="0"/>
              <w:rPr>
                <w:sz w:val="6"/>
                <w:szCs w:val="6"/>
                <w:color w:val="auto"/>
              </w:rPr>
            </w:pPr>
          </w:p>
        </w:tc>
        <w:tc>
          <w:tcPr>
            <w:tcW w:w="260" w:type="dxa"/>
            <w:vAlign w:val="bottom"/>
            <w:shd w:val="clear" w:color="auto" w:fill="EEEEEE"/>
          </w:tcPr>
          <w:p>
            <w:pPr>
              <w:spacing w:after="0"/>
              <w:rPr>
                <w:sz w:val="6"/>
                <w:szCs w:val="6"/>
                <w:color w:val="auto"/>
              </w:rPr>
            </w:pPr>
          </w:p>
        </w:tc>
        <w:tc>
          <w:tcPr>
            <w:tcW w:w="340" w:type="dxa"/>
            <w:vAlign w:val="bottom"/>
            <w:shd w:val="clear" w:color="auto" w:fill="EEEEEE"/>
          </w:tcPr>
          <w:p>
            <w:pPr>
              <w:spacing w:after="0"/>
              <w:rPr>
                <w:sz w:val="6"/>
                <w:szCs w:val="6"/>
                <w:color w:val="auto"/>
              </w:rPr>
            </w:pPr>
          </w:p>
        </w:tc>
        <w:tc>
          <w:tcPr>
            <w:tcW w:w="340" w:type="dxa"/>
            <w:vAlign w:val="bottom"/>
            <w:tcBorders>
              <w:right w:val="single" w:sz="8" w:color="EEEEEE"/>
            </w:tcBorders>
            <w:shd w:val="clear" w:color="auto" w:fill="EEEEEE"/>
          </w:tcPr>
          <w:p>
            <w:pPr>
              <w:spacing w:after="0"/>
              <w:rPr>
                <w:sz w:val="6"/>
                <w:szCs w:val="6"/>
                <w:color w:val="auto"/>
              </w:rPr>
            </w:pPr>
          </w:p>
        </w:tc>
        <w:tc>
          <w:tcPr>
            <w:tcW w:w="540" w:type="dxa"/>
            <w:vAlign w:val="bottom"/>
            <w:shd w:val="clear" w:color="auto" w:fill="EEEEEE"/>
          </w:tcPr>
          <w:p>
            <w:pPr>
              <w:spacing w:after="0"/>
              <w:rPr>
                <w:sz w:val="6"/>
                <w:szCs w:val="6"/>
                <w:color w:val="auto"/>
              </w:rPr>
            </w:pPr>
          </w:p>
        </w:tc>
        <w:tc>
          <w:tcPr>
            <w:tcW w:w="320" w:type="dxa"/>
            <w:vAlign w:val="bottom"/>
            <w:shd w:val="clear" w:color="auto" w:fill="EEEEEE"/>
          </w:tcPr>
          <w:p>
            <w:pPr>
              <w:spacing w:after="0"/>
              <w:rPr>
                <w:sz w:val="6"/>
                <w:szCs w:val="6"/>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Earnings Per Share</w:t>
      </w:r>
    </w:p>
    <w:p>
      <w:pPr>
        <w:spacing w:after="0" w:line="22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other potentially dilutive securities. In calculating diluted earnings per share, the dilutive effect of stock options is computed using the average market price for the period. In the first quarter of fiscal 2002, 9,246,720 shares related to convertible debt financing and 14,245,642 shares related to outstanding stock options were excluded from the earnings per share calculation because the effect would be anti-dilutive, but these options could be dilutive in the future. In the first quarter of fiscal 2001, 9,246,720 shares related to convertible debt financing were excluded from the earnings per share calculation because the effect would be anti-dilutive. The following table sets forth the computation of basic and diluted earnings per share:</w:t>
      </w:r>
    </w:p>
    <w:p>
      <w:pPr>
        <w:spacing w:after="0" w:line="200" w:lineRule="exact"/>
        <w:rPr>
          <w:sz w:val="20"/>
          <w:szCs w:val="20"/>
          <w:color w:val="auto"/>
        </w:rPr>
      </w:pP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95"/>
        </w:trPr>
        <w:tc>
          <w:tcPr>
            <w:tcW w:w="5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263"/>
        </w:trPr>
        <w:tc>
          <w:tcPr>
            <w:tcW w:w="5380" w:type="dxa"/>
            <w:vAlign w:val="bottom"/>
          </w:tcPr>
          <w:p>
            <w:pPr>
              <w:spacing w:after="0"/>
              <w:rPr>
                <w:sz w:val="22"/>
                <w:szCs w:val="22"/>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February 2, 2002</w:t>
            </w:r>
          </w:p>
        </w:tc>
        <w:tc>
          <w:tcPr>
            <w:tcW w:w="320" w:type="dxa"/>
            <w:vAlign w:val="bottom"/>
          </w:tcPr>
          <w:p>
            <w:pPr>
              <w:spacing w:after="0"/>
              <w:rPr>
                <w:sz w:val="22"/>
                <w:szCs w:val="22"/>
                <w:color w:val="auto"/>
              </w:rPr>
            </w:pPr>
          </w:p>
        </w:tc>
        <w:tc>
          <w:tcPr>
            <w:tcW w:w="14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3, 2001</w:t>
            </w:r>
          </w:p>
        </w:tc>
      </w:tr>
      <w:tr>
        <w:trPr>
          <w:trHeight w:val="95"/>
        </w:trPr>
        <w:tc>
          <w:tcPr>
            <w:tcW w:w="5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102"/>
        </w:trPr>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5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r>
      <w:tr>
        <w:trPr>
          <w:trHeight w:val="228"/>
        </w:trPr>
        <w:tc>
          <w:tcPr>
            <w:tcW w:w="5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500" w:type="dxa"/>
            <w:vAlign w:val="bottom"/>
          </w:tcPr>
          <w:p>
            <w:pPr>
              <w:spacing w:after="0"/>
              <w:rPr>
                <w:sz w:val="19"/>
                <w:szCs w:val="19"/>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190,377</w:t>
            </w:r>
          </w:p>
        </w:tc>
        <w:tc>
          <w:tcPr>
            <w:tcW w:w="480" w:type="dxa"/>
            <w:vAlign w:val="bottom"/>
          </w:tcPr>
          <w:p>
            <w:pPr>
              <w:spacing w:after="0"/>
              <w:rPr>
                <w:sz w:val="19"/>
                <w:szCs w:val="19"/>
                <w:color w:val="auto"/>
              </w:rPr>
            </w:pPr>
          </w:p>
        </w:tc>
      </w:tr>
      <w:tr>
        <w:trPr>
          <w:trHeight w:val="96"/>
        </w:trPr>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102"/>
        </w:trPr>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538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Weighted shares outstanding</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363,147</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357,070</w:t>
            </w:r>
          </w:p>
        </w:tc>
        <w:tc>
          <w:tcPr>
            <w:tcW w:w="480" w:type="dxa"/>
            <w:vAlign w:val="bottom"/>
            <w:shd w:val="clear" w:color="auto" w:fill="EEEEEE"/>
          </w:tcPr>
          <w:p>
            <w:pPr>
              <w:spacing w:after="0"/>
              <w:rPr>
                <w:sz w:val="18"/>
                <w:szCs w:val="18"/>
                <w:color w:val="auto"/>
              </w:rPr>
            </w:pPr>
          </w:p>
        </w:tc>
      </w:tr>
      <w:tr>
        <w:trPr>
          <w:trHeight w:val="108"/>
        </w:trPr>
        <w:tc>
          <w:tcPr>
            <w:tcW w:w="5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r>
      <w:tr>
        <w:trPr>
          <w:trHeight w:val="316"/>
        </w:trPr>
        <w:tc>
          <w:tcPr>
            <w:tcW w:w="5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tcPr>
          <w:p>
            <w:pPr>
              <w:spacing w:after="0"/>
              <w:rPr>
                <w:sz w:val="24"/>
                <w:szCs w:val="24"/>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80" w:type="dxa"/>
            <w:vAlign w:val="bottom"/>
          </w:tcPr>
          <w:p>
            <w:pPr>
              <w:spacing w:after="0"/>
              <w:rPr>
                <w:sz w:val="24"/>
                <w:szCs w:val="24"/>
                <w:color w:val="auto"/>
              </w:rPr>
            </w:pPr>
          </w:p>
        </w:tc>
      </w:tr>
      <w:tr>
        <w:trPr>
          <w:trHeight w:val="107"/>
        </w:trPr>
        <w:tc>
          <w:tcPr>
            <w:tcW w:w="5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61"/>
        </w:trPr>
        <w:tc>
          <w:tcPr>
            <w:tcW w:w="5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r>
      <w:tr>
        <w:trPr>
          <w:trHeight w:val="105"/>
        </w:trPr>
        <w:tc>
          <w:tcPr>
            <w:tcW w:w="5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16"/>
        </w:trPr>
        <w:tc>
          <w:tcPr>
            <w:tcW w:w="5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r>
      <w:tr>
        <w:trPr>
          <w:trHeight w:val="228"/>
        </w:trPr>
        <w:tc>
          <w:tcPr>
            <w:tcW w:w="5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500" w:type="dxa"/>
            <w:vAlign w:val="bottom"/>
          </w:tcPr>
          <w:p>
            <w:pPr>
              <w:spacing w:after="0"/>
              <w:rPr>
                <w:sz w:val="19"/>
                <w:szCs w:val="19"/>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190,377</w:t>
            </w:r>
          </w:p>
        </w:tc>
        <w:tc>
          <w:tcPr>
            <w:tcW w:w="480" w:type="dxa"/>
            <w:vAlign w:val="bottom"/>
          </w:tcPr>
          <w:p>
            <w:pPr>
              <w:spacing w:after="0"/>
              <w:rPr>
                <w:sz w:val="19"/>
                <w:szCs w:val="19"/>
                <w:color w:val="auto"/>
              </w:rPr>
            </w:pPr>
          </w:p>
        </w:tc>
      </w:tr>
      <w:tr>
        <w:trPr>
          <w:trHeight w:val="92"/>
        </w:trPr>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61"/>
        </w:trPr>
        <w:tc>
          <w:tcPr>
            <w:tcW w:w="5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r>
      <w:tr>
        <w:trPr>
          <w:trHeight w:val="105"/>
        </w:trPr>
        <w:tc>
          <w:tcPr>
            <w:tcW w:w="5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16"/>
        </w:trPr>
        <w:tc>
          <w:tcPr>
            <w:tcW w:w="538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Weighted shares outstanding</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363,147</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357,070</w:t>
            </w:r>
          </w:p>
        </w:tc>
        <w:tc>
          <w:tcPr>
            <w:tcW w:w="480" w:type="dxa"/>
            <w:vAlign w:val="bottom"/>
            <w:shd w:val="clear" w:color="auto" w:fill="EEEEEE"/>
          </w:tcPr>
          <w:p>
            <w:pPr>
              <w:spacing w:after="0"/>
              <w:rPr>
                <w:sz w:val="18"/>
                <w:szCs w:val="18"/>
                <w:color w:val="auto"/>
              </w:rPr>
            </w:pPr>
          </w:p>
        </w:tc>
      </w:tr>
      <w:tr>
        <w:trPr>
          <w:trHeight w:val="228"/>
        </w:trPr>
        <w:tc>
          <w:tcPr>
            <w:tcW w:w="5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w:t>
            </w:r>
          </w:p>
        </w:tc>
        <w:tc>
          <w:tcPr>
            <w:tcW w:w="480" w:type="dxa"/>
            <w:vAlign w:val="bottom"/>
          </w:tcPr>
          <w:p>
            <w:pPr>
              <w:spacing w:after="0"/>
              <w:rPr>
                <w:sz w:val="19"/>
                <w:szCs w:val="19"/>
                <w:color w:val="auto"/>
              </w:rPr>
            </w:pPr>
          </w:p>
        </w:tc>
      </w:tr>
      <w:tr>
        <w:trPr>
          <w:trHeight w:val="96"/>
        </w:trPr>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102"/>
        </w:trPr>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538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383,471</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383,392</w:t>
            </w:r>
          </w:p>
        </w:tc>
        <w:tc>
          <w:tcPr>
            <w:tcW w:w="480" w:type="dxa"/>
            <w:vAlign w:val="bottom"/>
            <w:shd w:val="clear" w:color="auto" w:fill="EEEEEE"/>
          </w:tcPr>
          <w:p>
            <w:pPr>
              <w:spacing w:after="0"/>
              <w:rPr>
                <w:sz w:val="18"/>
                <w:szCs w:val="18"/>
                <w:color w:val="auto"/>
              </w:rPr>
            </w:pPr>
          </w:p>
        </w:tc>
      </w:tr>
      <w:tr>
        <w:trPr>
          <w:trHeight w:val="105"/>
        </w:trPr>
        <w:tc>
          <w:tcPr>
            <w:tcW w:w="5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61"/>
        </w:trPr>
        <w:tc>
          <w:tcPr>
            <w:tcW w:w="5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Borders>
              <w:right w:val="single" w:sz="8" w:color="808080"/>
            </w:tcBorders>
            <w:gridSpan w:val="2"/>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r>
      <w:tr>
        <w:trPr>
          <w:trHeight w:val="319"/>
        </w:trPr>
        <w:tc>
          <w:tcPr>
            <w:tcW w:w="5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tcPr>
          <w:p>
            <w:pPr>
              <w:spacing w:after="0"/>
              <w:rPr>
                <w:sz w:val="24"/>
                <w:szCs w:val="24"/>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80" w:type="dxa"/>
            <w:vAlign w:val="bottom"/>
          </w:tcPr>
          <w:p>
            <w:pPr>
              <w:spacing w:after="0"/>
              <w:rPr>
                <w:sz w:val="24"/>
                <w:szCs w:val="24"/>
                <w:color w:val="auto"/>
              </w:rPr>
            </w:pPr>
          </w:p>
        </w:tc>
      </w:tr>
      <w:tr>
        <w:trPr>
          <w:trHeight w:val="107"/>
        </w:trPr>
        <w:tc>
          <w:tcPr>
            <w:tcW w:w="5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61"/>
        </w:trPr>
        <w:tc>
          <w:tcPr>
            <w:tcW w:w="5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Investments</w:t>
      </w:r>
    </w:p>
    <w:p>
      <w:pPr>
        <w:spacing w:after="0" w:line="225" w:lineRule="exact"/>
        <w:rPr>
          <w:sz w:val="20"/>
          <w:szCs w:val="20"/>
          <w:color w:val="auto"/>
        </w:rPr>
      </w:pPr>
    </w:p>
    <w:p>
      <w:pPr>
        <w:ind w:right="540"/>
        <w:spacing w:after="0" w:line="339" w:lineRule="auto"/>
        <w:rPr>
          <w:sz w:val="20"/>
          <w:szCs w:val="20"/>
          <w:color w:val="auto"/>
        </w:rPr>
      </w:pPr>
      <w:r>
        <w:rPr>
          <w:rFonts w:ascii="Times New Roman" w:cs="Times New Roman" w:eastAsia="Times New Roman" w:hAnsi="Times New Roman"/>
          <w:sz w:val="16"/>
          <w:szCs w:val="16"/>
          <w:color w:val="auto"/>
        </w:rPr>
        <w:t>On December 27, 2000, the Company sold its investment in WaferTech, LLC to Taiwan Semiconductor Manufacturing Company. The Company received approximately $61 million in cash and realized a pretax gain of approximately $28 million. The realized gain is included in other nonoperating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Acquisitions</w:t>
      </w:r>
    </w:p>
    <w:p>
      <w:pPr>
        <w:spacing w:after="0" w:line="22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During the first quarter of fiscal 2001, we completed several acquisitions. On October 31, 2000, we acquired Thomas Neuroth AG (Neuroth) of Vienna, Austria for approximately $4.5 million in cash, with additional contingent cash consideration of up to</w:t>
      </w:r>
    </w:p>
    <w:p>
      <w:pPr>
        <w:sectPr>
          <w:pgSz w:w="11900" w:h="16838" w:orient="portrait"/>
          <w:cols w:equalWidth="0" w:num="1">
            <w:col w:w="11360"/>
          </w:cols>
          <w:pgMar w:left="240" w:top="415" w:right="299" w:bottom="1440" w:gutter="0" w:footer="0" w:header="0"/>
        </w:sectPr>
      </w:pP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$4 million payable if certain operational objectives are achieved, of which $1 million of the contingent consideration has been paid and charged to operations in fiscal 2001. The remaining $3 million of contingent consideration will be accounted for as goodwill. Neuroth is a developer of highly integrated circuits for symmetric DSL broadband access.</w:t>
      </w:r>
    </w:p>
    <w:p>
      <w:pPr>
        <w:spacing w:after="0" w:line="18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 November 10, 2000, we acquired Signal Processing Associates Pty. Ltd., (SPA) of Victoria, Australia for approximately $3.8 million in cash, with additional contingent cash consideration of up to $0.5 million payable if certain operational objectives are achieved. The contingent consideration will be recorded as compensation expense. SPA is a developer and supplier of voice processing and fax/data relay software for telecommunications applications.</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18, 2000, we acquired Integrated Micro Instruments, Inc. (IMI) of Berkeley, California for approximately $1.1 million in cash and 13,750 shares of our common stock valued at approximately $0.8 million. An additional 50,000 shares of common stock valued at a fixed amount of approximately $2.7 million are issuable over the next five years upon the satisfaction of certain conditions. The contingent consideration will be recorded as compensation expense. As of February 2, 2002, 10,000 of these shares valued at approximately $0.5 million have been issued. IMI develops MEMS process designs.</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January 4, 2001, we acquired ChipLogic, Inc. (ChipLogic) of Santa Clara, California. The total purchase price of $68.3 million consisted of cash of approximately $4 million, approximately 1 million shares of our common stock valued at $60.2 million and the assumption of $4.1 million of outstanding ChipLogic stock options. Approximately $9.5 million represented the purchase price of in-process technology that had not yet reached technological feasibility, had no alternative future use and was charged to operations during the first quarter of fiscal 2001. An additional $8 million of cash consideration and 489,375 shares of common stock is due if certain operational objectives are achieved and will be accounted for as compensation expense. Of these shares, 249,375 contingent shares have a fixed value of approximately $13 million, which is being charged to operations over a five-year period. The remaining 240,000 shares are subject to performance-based criteria. During fiscal 2001, approximately $4.2 million of expense was recorded related to the issuance of 117,592 shares of common stock associated with the achievement of certain of these objectives. An additional $4.1 million of expense was recorded in the first quarter of fiscal 2002 related to the issuance of 92,408 of these shares. The remaining performance-based shares had a value of approximately $0.9 million as of February 2, 2002. To the extent that the remaining criteria are met, our stock price at that time will be used to measure the amount of compensation expense to be recorded. ChipLogic is a developer of high-performance integrated circuits and software focused on the convergence of voice, broadband access and network protocol processing.</w:t>
      </w:r>
    </w:p>
    <w:p>
      <w:pPr>
        <w:spacing w:after="0" w:line="20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16, 2001, the Company acquired Staccato Systems, Inc. (Staccato) of Mountain View, California. The total purchase price of $23.8 million consisted of $23 million in cash and the assumption of $0.8 million of outstanding Staccato stock options. Additional contingent cash consideration of up to $7 million is payable if certain operational objectives are achieved and will be accounted for as additional goodwill. Approximately $5 million of the contingent consideration has been paid as of February 2, 2002. Staccato is in the field of audio synthesis technology.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Segment Information</w:t>
      </w:r>
    </w:p>
    <w:p>
      <w:pPr>
        <w:spacing w:after="0" w:line="225"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The Company operates in two segments: the design, manufacture and marketing of a broad range of integrated circuits, which comprises approximately 98% of the Company’s revenue, and the design, manufacture and marketing of a range of assembled products, which accounts for the remaining 2% of the Company’s revenue. Effectively, the Company operates in one reportable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New Accounting Standards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&amp; Goodwill and Other Intangible Assets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2001 the Financial Accounting Standards Board issued Statements of Financial Accounting Standards No. 141, (FAS 141), “Business Combinations” and No. 142, (FAS 142), “Goodwill and Other Intangible Assets.” FAS 141 requires that all business combinations initiated after June 30, 2001 be accounted for using the purchase method of accounting. Under FAS 142, which is effective for fiscal years beginning after December 15, 2001, goodwill and intangible assets deemed to have indefinite lives will no longer be amortized but will be subject to annual impairment tests in accordance with the Statement. Other intangible assets will continue to be amortized over their estimated useful lives. We must adopt these new pronouncements no later than November 2002 with earlier adoption permitted. Application of the non-amortization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provisions of FAS 142 is expected to result in an increase in annual net income of approximately $54 million, beginning in fiscal 2003. We will apply the new rules on accounting for goodwill and other intangible assets beginning in the first quarter of fiscal 2003 and have not yet determined what effect, if any, the adoption of FAS 141 and 142 will have on our financial position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227"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In June 2001, the Financial Accounting Standards Board issued Statement of Financial Accounting Standards No. 143, (FAS 143), “Accounting for Asset Retirement Obligations,” which addresses financial accounting and reporting for obligations associated with the retirement of tangible long-lived assets and the associated asset retirement costs. It also applies to legal obligations associated with the retirement of long-lived assets that result from the acquisition, construction, development and (or) the normal operation of a long-lived asset, except for certain obligations of lessees. We are required to adopt FAS 143 in the first quarter of fiscal 2003 and we do not believe that the adoption of FAS 143 will have a material effect on our financial position or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or Disposal of Long-Lived Assets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August 2001, the Financial Accounting Standards Board issued Statement of Financial Accounting Standards No. 144,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of APB Opinion No. 30, “Reporting the Results of Operations-Reporting the Effects of Disposal of a Segment of a Business, and Extraordinary, Unusual and Infrequently Occurring Events and Transactions.” We are required to adopt FAS 144 in the first quarter of fiscal 2003 and we have not yet determined what effect, if any, the adoption of FAS 144 will have on our financial position or results of operations.</w:t>
      </w:r>
    </w:p>
    <w:p>
      <w:pPr>
        <w:spacing w:after="0" w:line="1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5" w:right="3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Item 1 of this Quarterly Report and the audited consolidated financial statements and related notes and Management Analysis contained in our Annual Report on Form 10-K for the fiscal year ended November 3, 2001.</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may contain forward-looking statements. Such statements are subject to certain risks and uncertainties, including those discussed below or in our Annual Report on Form 10-K for the fiscal year ended November 3, 2001, which could cause actual results to differ materially from our expectations. Readers are cautioned not to place undue reliance on any forward-looking statements, as they reflect management’s current analysis. We undertake no obligation to release the results of any revision to these forward-looking statements that may be made to reflect events or circumstances after the date of this report or to reflect the occurrence of unanticipated events.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sales for the first quarter of fiscal 2002 were $393 million, a decrease of 49% from the $772 million reported for the first quarter of fiscal 2001. The decrease in net sales was attributable to declining demand in several markets that we serve, particularly the communications market, as well as an overall decline in the semiconductor industry and the economy generally. Our analog IC product sales decreased by 49% from the same quarter in fiscal 2001 due primarily to a major downturn in the demand for semiconductor products that occurred during fiscal 2001. Sales of DSP IC products declined 51% in the first quarter of fiscal year 2002 from the same prior year quarter primarily due to significant order cancellations and adjustments particularly from telecommunications customers and contract manufacturers.</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Sales declined in all geographic regions in the first quarter of fiscal 2002 as compared to the first quarter of fiscal 2001, with sales in North America experiencing the largest decline. International sales in the first quarter of fiscal 2002 represented 64% of total sales compared to 56% in the first quarter of fiscal 2001. The decline in North American sales as a percentage of total sales was principally attributable to an overall decline in the communications market as well as a cyclical downturn in the semiconductor industry.</w:t>
      </w:r>
    </w:p>
    <w:p>
      <w:pPr>
        <w:spacing w:after="0" w:line="19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Gross margin was 51.9% for the first quarter of fiscal 2002, a decrease of 670 basis points from the 58.6% gross margin achieved in the first quarter of fiscal 2001. The deterioration in gross margin was due to reduced revenue levels and low utilization at our internal fabs. The gross margin decline was minimized by several actions taken over the past 12 months to reduce manufacturing costs, including scheduled periodic shutdowns of manufacturing operations worldwide, reductions in force in many of our manufacturing locations, the outsourcing of production for many of the products which have experienced the most significant decline in revenue and efforts to reduce all discretionary spending.</w:t>
      </w:r>
    </w:p>
    <w:p>
      <w:pPr>
        <w:spacing w:after="0" w:line="1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were $105 million for the first quarter of fiscal 2002 compared to $122 million for the first quarter of fiscal 2001. R&amp;D expense for the first quarter of fiscal 2002 includes approximately $6 million of acquisition-related charges. As a result of the decline in revenue from the first quarter of fiscal 2001 to the first quarter of fiscal 2002, R&amp;D spending as a percentage of sales increased to 26.6% from 15.8% in the first quarter of fiscal 2001. At any point in time we have hundreds of R&amp;D projects underway, and we do not believe that any one of these projects is material to our business. We expect to continue the development of innovative technologies and processes for new products targeted for broadband and wireless communications applications, imaging, audio and high-performance power and thermal management products for computer and consumer product applications. We believe that a continued commitment to research and development is essential in order to maintain product leadership with our existing products and to provide innovative new product offerings, and therefore we expect to continue to make significant R&amp;D investments in the future.</w:t>
      </w:r>
    </w:p>
    <w:p>
      <w:pPr>
        <w:spacing w:after="0" w:line="192"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6"/>
          <w:szCs w:val="16"/>
          <w:color w:val="auto"/>
        </w:rPr>
        <w:t>During the first quarter of fiscal 2001, we recorded a charge of $9.5 million in connection with the acquisition of ChipLogic, Inc. of Santa Clara, California for the write-off of in-process technology that had not yet reached technological feasibility and had no alternative future use. The total purchase price of</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$68.3 million consisted of cash of approximately $4 million, approximately 1 million shares of our commons stock valued at $60.2 million and the assumption of $4.1 million of outstanding ChipLogic stock options.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310" w:lineRule="auto"/>
        <w:rPr>
          <w:sz w:val="20"/>
          <w:szCs w:val="20"/>
          <w:color w:val="auto"/>
        </w:rPr>
      </w:pPr>
      <w:r>
        <w:rPr>
          <w:rFonts w:ascii="Times New Roman" w:cs="Times New Roman" w:eastAsia="Times New Roman" w:hAnsi="Times New Roman"/>
          <w:sz w:val="16"/>
          <w:szCs w:val="16"/>
          <w:color w:val="auto"/>
        </w:rPr>
        <w:t>Amortization of intangibles was $14 million in the first quarter of fiscal 2002 compared to $10 million in the first quarter of fiscal 2001. The increase in amortization expense was attributable to a full quarter of amortization in fiscal 2002 relating to the acquisitions of Thomas Neuroth AG, Signal Processing Associates Pty. Ltd., Integrated Micro Instruments, Inc., ChipLogic, Inc. and Staccato Systems, Inc. completed in the first quarter of fiscal 2001.</w:t>
      </w:r>
    </w:p>
    <w:p>
      <w:pPr>
        <w:spacing w:after="0" w:line="15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Selling, marketing, general &amp; administrative (SMG&amp;A) expenses for the first quarter of fiscal 2002 were $58 million, a decrease of $28 million from the $86 million reported for the first quarter of fiscal 2001. In the first quarter of fiscal 2002, SMG&amp;A expenses as a percentage of sales increased to 15% from 11% for the same period in the prior year primarily as a result of reduced sales levels.</w:t>
      </w:r>
    </w:p>
    <w:p>
      <w:pPr>
        <w:spacing w:after="0" w:line="18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R&amp;D and SMG&amp;A expenses in the first quarter of fiscal 2002 were 21% lower than the same period of fiscal 2001 as a result of several actions taken to reduce certain of our engineering and administrative expenses, including eliminating bonuses, reducing compensation for our higher paid employees and continued tight control over discretionary expenses.</w:t>
      </w:r>
    </w:p>
    <w:p>
      <w:pPr>
        <w:spacing w:after="0" w:line="18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Our operating income was $27 million, or 7% of sales in the first quarter of fiscal 2002 compared to $225 million, or 29% of sales in the same period of fiscal 2001.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$14 million for the first quarter of fiscal 2002 compared to $17 for the first quarter of fiscal 2001.</w:t>
      </w:r>
    </w:p>
    <w:p>
      <w:pPr>
        <w:spacing w:after="0" w:line="225"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Interest income was $20 million for the first quarter of fiscal 2002 and $41 million for the first quarter of fiscal 2001. The decrease in interest income was attributable to less income earned on our invested cash balances due to the decline in interest rates over the past year.</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income was $1 million for the first quarter of fiscal 2002 and $28 million for the first quarter of fiscal 2001. The decrease in other income was due to a gain in the first quarter of fiscal 2001 on the sale of our remaining investment in WaferTech, LLC to Taiwan Semiconductor Manufacturing Company for approximately $61 million in cash. We recorded a pretax realized gain on the sale of this investment of approximately $28 million, which is included in other nonoperating income.</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was no ineffectiveness recognized in earnings as a result of our hedging programs in the first quarter of fiscal 2002 or fiscal 2001. We use derivative financial instruments to hedge certain risk exposures including sales and purchase transactions denominated in foreign currencies and the fair value of our long-term debt. These derivatives qualify for hedge accounting as discussed in detail in Note 4 to our condensed consolidated financial statements. While not entirely within the Company’s control, we anticipate that our derivatives will continue to meet the conditions for hedge accounting. If hedges cease to remain highly effective or if we come to believe that forecasted transactions may not occur, the changes in the fair value of the derivatives currently used as hedges would be reflected in earnings on a quarterly basis and the changes in fair value could be significant. We do not believe we are exposed to more than a nominal amount of credit risk in our interest rate and foreign currency hedges as the counterparties are established, well-capitalized financial institutions. Our exposures are in liquid currencies (Euros, British pounds, and Japanese Yen), so we believe there is minimal risk that appropriate derivatives to maintain our hedging program would not be available in the future.</w:t>
      </w:r>
    </w:p>
    <w:p>
      <w:pPr>
        <w:spacing w:after="0" w:line="197"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Our effective income tax rate for the first quarter of fiscal 2002 was 28% compared to 31% for the same period in the prior year. The decrease in the effective tax rate was due principally to our decline in income, a shift in the mix of worldwide profits and the impact in the first quarter of fiscal 2001 of a taxable gain on the sale of our WaferTech investment.</w:t>
      </w:r>
    </w:p>
    <w:p>
      <w:pPr>
        <w:spacing w:after="0" w:line="18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Net income for the first quarter of fiscal 2002 was $25 million, or 6% of sales, and diluted earnings per share was $0.06 compared to net income of $190 million, or 25% of sales, and diluted earnings per share of $0.50 for the same period in fiscal 2001. The decrease in net income was primarily due to reduced revenue levels.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Outlook</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net sales for the first quarter of fiscal 2002 decreased 7% from the fourth quarter of fiscal 2001 as a result of continued deteriorating market conditions. However, it appears that inventory levels in both the OEM and distributor channels may have stabilized during the first quarter of fiscal 2002, resulting in our customers beginning to order product for current requirements. We anticipate a 3% to 5% sequential revenue increase for our second quarter of fiscal 2002, with sequential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growth in both our analog and DSP businesses. If that revenue level is achieved, assuming no unusual items, we would expect our second quarter of 2002 diluted earnings per share to increase by $0.01 to $0.02 from the first quarter of fiscal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At February 2, 2002, cash, cash equivalents and short-term investments totaled $2,895 million, an increase of $101 million from the fourth quarter of fiscal 2001 and an increase of $544 million from the first quarter of fiscal 2001. The increase in cash, cash equivalents and short-term investments from the fourth quarter of fiscal 2001 was primarily due to increased operating cash flows, partially offset by capital expenditures. The increase in cash, cash equivalents and short-term investments from the first quarter of fiscal 2001 was due to increased operating cash flows, partially offset by capital expenditures and payments for acquisitions.</w:t>
      </w:r>
    </w:p>
    <w:p>
      <w:pPr>
        <w:spacing w:after="0" w:line="1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Accounts receivable totaled $198 million at the end of the first quarter of fiscal 2002, a decrease of $21 million from the fourth quarter of fiscal 2001 primarily due to a 7% sequential decline in sales. Days sales outstanding improved from 46 days at November 3, 2001 to 45 days at February 2, 2002. Accounts receivable decreased $224 million from the first quarter of fiscal 2001 due to a 49% decline in sales. Days sales outstanding improved from 49 days at February 3, 2001 to 45 days at February 2, 2002.</w:t>
      </w:r>
    </w:p>
    <w:p>
      <w:pPr>
        <w:spacing w:after="0" w:line="19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Inventories of $241 million at February 2, 2002 were $6 million lower than the inventory levels at November 3, 2001 and $116 million lower than at the end of the first quarter of fiscal 2001. The sequential inventory reduction was attributable to lower production levels. The decrease in inventory from the first quarter of fiscal 2001 was primarily due to lower production levels in response to reduced demand for our products as well as an increase in inventory reserves and a sharp curtailment of spending on wafers supplied by external foundries. At February 2, 2002, days cost of sales in inventory increased to 115 days from 111 days at November 3, 2001 and 102 days at February 3, 2001. We employ a variety of consistent methodologies to determine the amount of inventory reserves necessary. Inventory reserves are determined via reference to the age of inventory, lower of cost or market calculations and calculations based on projected future demand for our inventory over the next twelve months. While projected future demand takes into account current bookings trends as well as backlog on hand, an element of judgment is required to arrive at total projected demand for the next twelve months. Although we believe that we have used our best efforts and information to estimate future demand, due to the uncertain economic times and the difficulty inherent in predicting future results, it is possible that actual demand for our products will differ from our estimates. If actual demand for products is less than our estimates, additional reserves for existing inventories may need to be reflected in future periods.</w:t>
      </w:r>
    </w:p>
    <w:p>
      <w:pPr>
        <w:spacing w:after="0" w:line="19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During the first quarter of fiscal 2001, we completed the sale of our remaining investment in WaferTech, LLC to Taiwan Semiconductor Manufacturing Company for approximately $61 million in cash. We recorded a pretax realized gain on the sale of this investment of approximately $28 million.</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additions to property, plant and equipment of $12 million for the first quarter of fiscal 2002 were funded by a combination of cash on hand and cash generated from operations. Capital spending in the first quarter of fiscal 2002 was down substantially from the $139 million spent in the first three months of fiscal 2001. Because of the recent slowdown in our served markets, we have substantially reduced our capital spending. We currently plan to make capital expenditures of approximately $70 million during fiscal 2002. Depreciation expense is expected to be $171 million in fiscal 2002.</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2001, we completed several acquisitions. On October 31, 2000, we acquired Thomas Neuroth AG (Neuroth) of Vienna, Austria for approximately $4.5 million in cash, with additional contingent cash consideration of up to $4 million payable if certain operational objectives are achieved, of which $1 million of the contingent consideration has been paid and charged to operations in fiscal 2001. The remaining $3 million of contingent consideration will be accounted for as goodwill. Neuroth is a developer of highly integrated circuits for symmetric DSL broadband access.</w:t>
      </w:r>
    </w:p>
    <w:p>
      <w:pPr>
        <w:spacing w:after="0" w:line="19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 November 10, 2000, we acquired Signal Processing Associates Pty. Ltd., (SPA) of Victoria, Australia for approximately $3.8 million in cash, with additional contingent cash consideration of up to $0.5 million payable if certain operational objectives are achieved. The contingent consideration will be recorded as compensation expense. SPA is a developer and supplier of voice processing and fax/data relay software for telecommunications applications.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18, 2000, we acquired Integrated Micro Instruments, Inc. (IMI) of Berkeley, California for approximately $1.1 million in cash and 13,750 shares of our common stock valued at approximately $0.8 million. An additional 50,000 shares of common stock valued at a fixed amount of approximately $2.7 million are issuable over the next five years upon the satisfaction of certain conditions. The contingent consideration will be recorded as compensation expense. As of February 2, 2002, 10,000 of these shares valued at approximately $0.5 million have been issued. IMI develops MEMS process designs.</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January 4, 2001, we acquired ChipLogic, Inc. (ChipLogic) of Santa Clara, California. The total purchase price of $68.3 million consisted of cash of approximately $4 million, approximately 1 million shares of our common stock valued at $60.2 million and the assumption of $4.1 million of outstanding ChipLogic stock options. Approximately $9.5 million represented the purchase price of in-process technology that had not yet reached technological feasibility, had no alternative future use and was charged to operations during the first quarter of fiscal 2001. An additional $8 million of cash consideration and 489,375 shares of common stock is due if certain operational objectives are achieved and will be accounted for as compensation expense. Of these shares, 249,375 contingent shares have a fixed value of approximately $13 million, which is being charged to operations over a five-year period. The remaining 240,000 shares are subject to performance-based criteria. During fiscal 2001, approximately $4.2 million of expense was recorded related to the issuance of 117,592 shares of common stock associated with the achievement of certain of these objectives. An additional $4.1 million of expense was recorded in the first quarter of fiscal 2002 related to the issuance of 92,408 of these shares. The remaining performance-based shares had a value of approximately $0.9 million as of February 2, 2002. To the extent that the remaining criteria are met, our stock price at that time will be used to measure the amount of compensation expense to be recorded. ChipLogic is a developer of high-performance integrated circuits and software focused on the convergence of voice, broadband access and network protocol processing.</w:t>
      </w:r>
    </w:p>
    <w:p>
      <w:pPr>
        <w:spacing w:after="0" w:line="20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16, 2001, the Company acquired Staccato Systems, Inc. (Staccato) of Mountain View, California. The total purchase price of $23.8 million consisted of $23 million in cash and the assumption of $0.8 million of outstanding Staccato stock options. Additional contingent cash consideration of up to $7 million is payable if certain operational objectives are achieved and will be accounted for as additional goodwill. Approximately $5 million of the contingent consideration has been paid as of February 2, 2002. Staccato is in the field of audio synthesis technology.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2, 2002, our principal sources of liquidity were $2,895 million of cash, cash equivalents and short-term investments.</w:t>
      </w:r>
    </w:p>
    <w:p>
      <w:pPr>
        <w:spacing w:after="0" w:line="22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Which May Affect Future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operating results are difficult to predict and may materially fluctuate.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availability of adequate wafers and manufacturing capacity, the risk that our backlog could decline significantly, our ability to hire, retain and motivate adequate numbers of engineers and other qualified employees to meet the demands of our largest customers, changes in product mix, and the effect of adverse changes in economic conditions in the United States and international markets. In addition, the semiconductor market has historically been cyclical and subject to significant economic downturns at various times, including the recent decline in demand experienced during fiscal 2001.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success depends upon our ability to develop and market new products and enter new markets.</w:t>
      </w:r>
    </w:p>
    <w:p>
      <w:pPr>
        <w:spacing w:after="0" w:line="2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Our future success depends on our continued ability to develop and market new products. There can be no assurance that we will be able to develop and introduce new products in a timely manner or that new products, if developed, will achieve market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compete successfully in the semiconductor industry in the future.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satisfy increasing demand for our products, and increased production may lead to overcapacity and lower prices.</w:t>
      </w:r>
    </w:p>
    <w:p>
      <w:pPr>
        <w:spacing w:after="0" w:line="227"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6"/>
          <w:szCs w:val="16"/>
          <w:color w:val="auto"/>
        </w:rPr>
        <w:t>The cyclical nature of the semiconductor industry has resulted in sustained or short-term periods when demand for our products has increased or decreased rapidly. We and the semiconductor industry experienced a period of rapid decreases in demand in fiscal 2001. As a result we have overcapacity due to the expansion of our production facilities and increased access to third-party foundries. However, we cannot be sure that we will not encounter unanticipated production problems at either our own facilities or at third-party foundries, or that our capacity will be sufficient to satisfy demand for our products. We believe that other semiconductor manufacturers have expanded their production capacity over the past several years. This expansion by us and our competitors and the continuation of the decline in the demand for semiconductor products that began in early fiscal 2001, has led to overcapacity in our target markets, which has resulted in a year over year decline in our revenue rate and could lead to price erosion that would adversely affect our operating results.</w:t>
      </w:r>
    </w:p>
    <w:p>
      <w:pPr>
        <w:spacing w:after="0" w:line="165"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17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revenues may not increase enough to offset the expense of additional capacity.</w:t>
      </w:r>
    </w:p>
    <w:p>
      <w:pPr>
        <w:spacing w:after="0" w:line="22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manufacturing capacity located in geologically unstable areas, which could affect the availability of supplies and services.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 recently experienced intermittent interruption in the availability of electricity. To date, the impact on us has been negligible. However, electricity is a critical resource for us, without which our products could not be manufactured at factories exposed to continued lengthy power interruptions.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economic, political and other risks through our significant worldwide operations.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During the first quarter of fiscal 2002, 64%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and their impact on the U.S. economy in general, including the risks associated with ongoing uncertainties and political and economic instability in many countries around the world as well as the economic disruption from acts of terrorism, particularly in the aftermath of the terrorist attacks of September 11, 2001 and the response to them of the United States and its allies. These risks include air transportation disruptions, expropriation, currency controls and changes in currency exchange rates, tax and tariff rates and freight rates, and social and political unrest.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164"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1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10 of the Notes to our Consolidated Financial Statements for the fiscal year ended November 3, 2001 for information concerning pending litigation. An adverse outcome in this litigation could have a material adverse effect on our consolidated financial position or on our consolidated results of operations or cash flows in the period in which the litigation is resolved.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Leverage and debt service obligations may adversely affect our cash flow.</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 substantial amount of outstanding indebtedness.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22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Company’s market risk has not changed significantly from the risks disclosed in ITEM 7A. “Qualitative and Quantitative Disclosures about Market Risk” set forth on pages 20 through 21 of our Annual Report on Form 10-K for the year ended November 3, 2001.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4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 and reports on Form 8-K</w:t>
      </w:r>
    </w:p>
    <w:p>
      <w:pPr>
        <w:spacing w:after="0" w:line="225" w:lineRule="exact"/>
        <w:rPr>
          <w:sz w:val="20"/>
          <w:szCs w:val="20"/>
          <w:color w:val="auto"/>
        </w:rPr>
      </w:pPr>
    </w:p>
    <w:p>
      <w:pPr>
        <w:ind w:left="880" w:right="8739" w:hanging="548"/>
        <w:spacing w:after="0" w:line="56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 None</w:t>
      </w:r>
    </w:p>
    <w:p>
      <w:pPr>
        <w:spacing w:after="0" w:line="1" w:lineRule="exact"/>
        <w:rPr>
          <w:rFonts w:ascii="Times New Roman" w:cs="Times New Roman" w:eastAsia="Times New Roman" w:hAnsi="Times New Roman"/>
          <w:sz w:val="16"/>
          <w:szCs w:val="16"/>
          <w:color w:val="auto"/>
        </w:rPr>
      </w:pPr>
    </w:p>
    <w:p>
      <w:pPr>
        <w:ind w:left="880" w:hanging="548"/>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Form 8-K</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2, 3, 4 and 5 of PART II are not applicable and have been omitted.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74930</wp:posOffset>
            </wp:positionV>
            <wp:extent cx="24523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ind w:left="300"/>
        <w:spacing w:after="0"/>
        <w:tabs>
          <w:tab w:leader="none" w:pos="5740" w:val="left"/>
        </w:tabs>
        <w:rPr>
          <w:sz w:val="20"/>
          <w:szCs w:val="20"/>
          <w:color w:val="auto"/>
        </w:rPr>
      </w:pPr>
      <w:r>
        <w:rPr>
          <w:rFonts w:ascii="Times New Roman" w:cs="Times New Roman" w:eastAsia="Times New Roman" w:hAnsi="Times New Roman"/>
          <w:sz w:val="18"/>
          <w:szCs w:val="18"/>
          <w:color w:val="auto"/>
        </w:rPr>
        <w:t>Date: March 7, 2002</w:t>
      </w:r>
      <w:r>
        <w:rPr>
          <w:sz w:val="20"/>
          <w:szCs w:val="20"/>
          <w:color w:val="auto"/>
        </w:rPr>
        <w:tab/>
      </w:r>
      <w:r>
        <w:rPr>
          <w:rFonts w:ascii="Times New Roman" w:cs="Times New Roman" w:eastAsia="Times New Roman" w:hAnsi="Times New Roman"/>
          <w:sz w:val="16"/>
          <w:szCs w:val="16"/>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74930</wp:posOffset>
            </wp:positionV>
            <wp:extent cx="22726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Jerald G. Fishman</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3" w:lineRule="exact"/>
        <w:rPr>
          <w:sz w:val="20"/>
          <w:szCs w:val="20"/>
          <w:color w:val="auto"/>
        </w:rPr>
      </w:pPr>
    </w:p>
    <w:p>
      <w:pPr>
        <w:ind w:left="300"/>
        <w:spacing w:after="0"/>
        <w:tabs>
          <w:tab w:leader="none" w:pos="5740" w:val="left"/>
        </w:tabs>
        <w:rPr>
          <w:sz w:val="20"/>
          <w:szCs w:val="20"/>
          <w:color w:val="auto"/>
        </w:rPr>
      </w:pPr>
      <w:r>
        <w:rPr>
          <w:rFonts w:ascii="Times New Roman" w:cs="Times New Roman" w:eastAsia="Times New Roman" w:hAnsi="Times New Roman"/>
          <w:sz w:val="18"/>
          <w:szCs w:val="18"/>
          <w:color w:val="auto"/>
        </w:rPr>
        <w:t>Date: March 7, 2002</w:t>
      </w:r>
      <w:r>
        <w:rPr>
          <w:sz w:val="20"/>
          <w:szCs w:val="20"/>
          <w:color w:val="auto"/>
        </w:rPr>
        <w:tab/>
      </w:r>
      <w:r>
        <w:rPr>
          <w:rFonts w:ascii="Times New Roman" w:cs="Times New Roman" w:eastAsia="Times New Roman" w:hAnsi="Times New Roman"/>
          <w:sz w:val="16"/>
          <w:szCs w:val="16"/>
          <w:color w:val="auto"/>
        </w:rPr>
        <w:t>By: /s/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74930</wp:posOffset>
            </wp:positionV>
            <wp:extent cx="22726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Joseph E. McDonough</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President-Finance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0980"/>
      </w:cols>
      <w:pgMar w:left="240" w:top="41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2019-12-20T05:12:48Z</dcterms:created>
  <dcterms:modified xsi:type="dcterms:W3CDTF">2019-12-20T05:12:48Z</dcterms:modified>
</cp:coreProperties>
</file>