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 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ANALOG DEVICES</w:t>
      </w:r>
    </w:p>
    <w:p>
      <w:pPr>
        <w:spacing w:after="0" w:line="238" w:lineRule="auto"/>
        <w:rPr>
          <w:sz w:val="20"/>
          <w:szCs w:val="20"/>
          <w:color w:val="auto"/>
        </w:rPr>
      </w:pPr>
      <w:r>
        <w:rPr>
          <w:rFonts w:ascii="Courier New" w:cs="Courier New" w:eastAsia="Courier New" w:hAnsi="Courier New"/>
          <w:sz w:val="18"/>
          <w:szCs w:val="18"/>
          <w:color w:val="auto"/>
        </w:rPr>
        <w:t>(Name of Issuer)</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87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32654105 (CUSIP Number)</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December 30, 2006</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3899" w:firstLine="8"/>
        <w:spacing w:after="0" w:line="237"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Potential persons who are to respond to the collection of information contained in this form are not required to respond unless the form displays a currently valid OMB control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 and I.R.S. Identification No.</w:t>
      </w:r>
    </w:p>
    <w:p>
      <w:pPr>
        <w:spacing w:after="0" w:line="207"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UBS AG (for the benefit and on behalf of the UBS Global Asset Management business group of UBS AG (see Item 7)</w:t>
      </w:r>
    </w:p>
    <w:p>
      <w:pPr>
        <w:spacing w:after="0" w:line="203"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Check the Appropriate Box if a Member of a Group</w:t>
      </w:r>
    </w:p>
    <w:p>
      <w:pPr>
        <w:spacing w:after="0" w:line="202" w:lineRule="exact"/>
        <w:rPr>
          <w:sz w:val="24"/>
          <w:szCs w:val="24"/>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See Item 8 of attached schedule</w:t>
      </w: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Switzerland</w:t>
      </w:r>
    </w:p>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16,742,665</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w:t>
            </w:r>
          </w:p>
        </w:tc>
        <w:tc>
          <w:tcPr>
            <w:tcW w:w="2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20,709,378</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38" w:lineRule="auto"/>
        <w:rPr>
          <w:sz w:val="20"/>
          <w:szCs w:val="20"/>
          <w:color w:val="auto"/>
        </w:rPr>
      </w:pPr>
      <w:r>
        <w:rPr>
          <w:rFonts w:ascii="Courier New" w:cs="Courier New" w:eastAsia="Courier New" w:hAnsi="Courier New"/>
          <w:sz w:val="18"/>
          <w:szCs w:val="18"/>
          <w:color w:val="auto"/>
        </w:rPr>
        <w:t>Person With:</w:t>
      </w: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 w:lineRule="exact"/>
        <w:rPr>
          <w:rFonts w:ascii="Courier New" w:cs="Courier New" w:eastAsia="Courier New" w:hAnsi="Courier New"/>
          <w:sz w:val="18"/>
          <w:szCs w:val="18"/>
          <w:color w:val="auto"/>
        </w:rPr>
      </w:pPr>
    </w:p>
    <w:p>
      <w:pPr>
        <w:ind w:right="4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 Aggregate Amount Beneficially Owned by Each Reporting Person:</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20,709,378 shares*</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if the Aggregate Amount in Row 9 Excludes Certain</w:t>
      </w:r>
    </w:p>
    <w:p>
      <w:pPr>
        <w:sectPr>
          <w:pgSz w:w="11900" w:h="16855" w:orient="portrait"/>
          <w:cols w:equalWidth="0" w:num="1">
            <w:col w:w="10219"/>
          </w:cols>
          <w:pgMar w:left="240" w:top="244" w:right="1440" w:bottom="0" w:gutter="0" w:footer="0" w:header="0"/>
        </w:sectPr>
      </w:pPr>
    </w:p>
    <w:bookmarkStart w:id="1" w:name="page2"/>
    <w:bookmarkEnd w:id="1"/>
    <w:p>
      <w:pPr>
        <w:spacing w:after="0"/>
        <w:tabs>
          <w:tab w:leader="none" w:pos="840" w:val="left"/>
        </w:tabs>
        <w:rPr>
          <w:sz w:val="20"/>
          <w:szCs w:val="20"/>
          <w:color w:val="auto"/>
        </w:rPr>
      </w:pPr>
      <w:r>
        <w:rPr>
          <w:rFonts w:ascii="Courier New" w:cs="Courier New" w:eastAsia="Courier New" w:hAnsi="Courier New"/>
          <w:sz w:val="18"/>
          <w:szCs w:val="18"/>
          <w:color w:val="auto"/>
        </w:rPr>
        <w:t>Shares</w:t>
        <w:tab/>
        <w:t>/ /</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11.2%</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 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4319"/>
        <w:spacing w:after="0" w:line="271" w:lineRule="auto"/>
        <w:rPr>
          <w:sz w:val="20"/>
          <w:szCs w:val="20"/>
          <w:color w:val="auto"/>
        </w:rPr>
      </w:pPr>
      <w:r>
        <w:rPr>
          <w:rFonts w:ascii="Courier New" w:cs="Courier New" w:eastAsia="Courier New" w:hAnsi="Courier New"/>
          <w:sz w:val="16"/>
          <w:szCs w:val="16"/>
          <w:color w:val="auto"/>
        </w:rPr>
        <w:t>UBS AG disclaims beneficial ownership of such securities pursuant to Rule 13d-4 under the Securities Exchange Act of 1934. In accordance with SEC Release No. 34-395-538 (January 12, 1998), this filing reflects the securities beneficially owned by the UBS Global Asset Management business group of UBS AG and its subsidiaries and affiliates on behalf of its clients (collectively, UBS). This filing does not reflect securities, if any, beneficially owned by any other division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business group of UBS.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 of 5 pages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32654105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ANALOG DEVICES</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One Technology Way</w:t>
      </w:r>
    </w:p>
    <w:p>
      <w:pPr>
        <w:spacing w:after="0"/>
        <w:tabs>
          <w:tab w:leader="none" w:pos="1260" w:val="left"/>
        </w:tabs>
        <w:rPr>
          <w:sz w:val="20"/>
          <w:szCs w:val="20"/>
          <w:color w:val="auto"/>
        </w:rPr>
      </w:pPr>
      <w:r>
        <w:rPr>
          <w:rFonts w:ascii="Courier New" w:cs="Courier New" w:eastAsia="Courier New" w:hAnsi="Courier New"/>
          <w:sz w:val="18"/>
          <w:szCs w:val="18"/>
          <w:color w:val="auto"/>
        </w:rPr>
        <w:t>Norwood MA</w:t>
      </w:r>
      <w:r>
        <w:rPr>
          <w:sz w:val="20"/>
          <w:szCs w:val="20"/>
          <w:color w:val="auto"/>
        </w:rPr>
        <w:tab/>
      </w:r>
      <w:r>
        <w:rPr>
          <w:rFonts w:ascii="Courier New" w:cs="Courier New" w:eastAsia="Courier New" w:hAnsi="Courier New"/>
          <w:sz w:val="16"/>
          <w:szCs w:val="16"/>
          <w:color w:val="auto"/>
        </w:rPr>
        <w:t>02062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UBS AG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w:t>
      </w:r>
    </w:p>
    <w:p>
      <w:pPr>
        <w:spacing w:after="0" w:line="238" w:lineRule="auto"/>
        <w:rPr>
          <w:sz w:val="20"/>
          <w:szCs w:val="20"/>
          <w:color w:val="auto"/>
        </w:rPr>
      </w:pPr>
      <w:r>
        <w:rPr>
          <w:rFonts w:ascii="Courier New" w:cs="Courier New" w:eastAsia="Courier New" w:hAnsi="Courier New"/>
          <w:sz w:val="18"/>
          <w:szCs w:val="18"/>
          <w:color w:val="auto"/>
        </w:rPr>
        <w:t>Residence: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AG's principal business office is:</w:t>
      </w:r>
    </w:p>
    <w:p>
      <w:pPr>
        <w:spacing w:after="0" w:line="238" w:lineRule="auto"/>
        <w:rPr>
          <w:sz w:val="20"/>
          <w:szCs w:val="20"/>
          <w:color w:val="auto"/>
        </w:rPr>
      </w:pPr>
      <w:r>
        <w:rPr>
          <w:rFonts w:ascii="Courier New" w:cs="Courier New" w:eastAsia="Courier New" w:hAnsi="Courier New"/>
          <w:sz w:val="18"/>
          <w:szCs w:val="18"/>
          <w:color w:val="auto"/>
        </w:rPr>
        <w:t>Bahnhofstrasse 45</w:t>
      </w:r>
    </w:p>
    <w:p>
      <w:pPr>
        <w:spacing w:after="0"/>
        <w:rPr>
          <w:sz w:val="20"/>
          <w:szCs w:val="20"/>
          <w:color w:val="auto"/>
        </w:rPr>
      </w:pPr>
      <w:r>
        <w:rPr>
          <w:rFonts w:ascii="Courier New" w:cs="Courier New" w:eastAsia="Courier New" w:hAnsi="Courier New"/>
          <w:sz w:val="18"/>
          <w:szCs w:val="18"/>
          <w:color w:val="auto"/>
        </w:rPr>
        <w:t>PO Box CH-8021</w:t>
      </w:r>
    </w:p>
    <w:p>
      <w:pPr>
        <w:spacing w:after="0" w:line="237" w:lineRule="auto"/>
        <w:rPr>
          <w:sz w:val="20"/>
          <w:szCs w:val="20"/>
          <w:color w:val="auto"/>
        </w:rPr>
      </w:pPr>
      <w:r>
        <w:rPr>
          <w:rFonts w:ascii="Courier New" w:cs="Courier New" w:eastAsia="Courier New" w:hAnsi="Courier New"/>
          <w:sz w:val="18"/>
          <w:szCs w:val="18"/>
          <w:color w:val="auto"/>
        </w:rPr>
        <w:t>Zurich, Switzerland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38" w:lineRule="auto"/>
        <w:rPr>
          <w:sz w:val="20"/>
          <w:szCs w:val="20"/>
          <w:color w:val="auto"/>
        </w:rPr>
      </w:pPr>
      <w:r>
        <w:rPr>
          <w:rFonts w:ascii="Courier New" w:cs="Courier New" w:eastAsia="Courier New" w:hAnsi="Courier New"/>
          <w:sz w:val="18"/>
          <w:szCs w:val="18"/>
          <w:color w:val="auto"/>
        </w:rPr>
        <w:t>Incorporated by reference to Item 4 of the cover pages.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38" w:lineRule="auto"/>
        <w:rPr>
          <w:sz w:val="20"/>
          <w:szCs w:val="20"/>
          <w:color w:val="auto"/>
        </w:rPr>
      </w:pPr>
      <w:r>
        <w:rPr>
          <w:rFonts w:ascii="Courier New" w:cs="Courier New" w:eastAsia="Courier New" w:hAnsi="Courier New"/>
          <w:sz w:val="18"/>
          <w:szCs w:val="18"/>
          <w:color w:val="auto"/>
        </w:rPr>
        <w:t>Common Stock (the "Common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38" w:lineRule="auto"/>
        <w:rPr>
          <w:sz w:val="20"/>
          <w:szCs w:val="20"/>
          <w:color w:val="auto"/>
        </w:rPr>
      </w:pPr>
      <w:r>
        <w:rPr>
          <w:rFonts w:ascii="Courier New" w:cs="Courier New" w:eastAsia="Courier New" w:hAnsi="Courier New"/>
          <w:sz w:val="18"/>
          <w:szCs w:val="18"/>
          <w:color w:val="auto"/>
        </w:rPr>
        <w:t>32654105</w:t>
      </w:r>
    </w:p>
    <w:p>
      <w:pPr>
        <w:spacing w:after="0" w:line="5"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3.  Type of Person Filing:</w:t>
      </w:r>
    </w:p>
    <w:p>
      <w:pPr>
        <w:spacing w:after="0" w:line="207" w:lineRule="exact"/>
        <w:rPr>
          <w:sz w:val="20"/>
          <w:szCs w:val="20"/>
          <w:color w:val="auto"/>
        </w:rPr>
      </w:pPr>
    </w:p>
    <w:p>
      <w:pPr>
        <w:jc w:val="both"/>
        <w:ind w:right="3899"/>
        <w:spacing w:after="0" w:line="236" w:lineRule="auto"/>
        <w:rPr>
          <w:sz w:val="20"/>
          <w:szCs w:val="20"/>
          <w:color w:val="auto"/>
        </w:rPr>
      </w:pPr>
      <w:r>
        <w:rPr>
          <w:rFonts w:ascii="Courier New" w:cs="Courier New" w:eastAsia="Courier New" w:hAnsi="Courier New"/>
          <w:sz w:val="18"/>
          <w:szCs w:val="18"/>
          <w:color w:val="auto"/>
        </w:rPr>
        <w:t>UBS AG is classified as a Bank as defined in section 3(a)(6) of the Act pursuant to no action relief granted by the staff of the Securities and Exchange Commission.</w:t>
      </w:r>
    </w:p>
    <w:p>
      <w:pPr>
        <w:spacing w:after="0" w:line="6"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4 (a)-(c)(iv).  Ownership:</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Incorporated by reference to Items 5-11 of the cover pages.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5 pages</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32654105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jc w:val="both"/>
        <w:ind w:right="389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securities, check the following / /.</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4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Accounts managed on a discretionary basis by the UBS Global Asset Management business group of UBS AG have the right to receive or the power to direct the receipt of dividends from, or the proceeds from the sale of, the Common Stock. To the best of our knowledge, no account holds more than 5 percent of the outstanding Common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jc w:val="both"/>
        <w:ind w:right="38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Identification:</w:t>
      </w:r>
      <w:r>
        <w:rPr>
          <w:sz w:val="20"/>
          <w:szCs w:val="20"/>
          <w:color w:val="auto"/>
        </w:rPr>
        <w:tab/>
      </w:r>
      <w:r>
        <w:rPr>
          <w:rFonts w:ascii="Courier New" w:cs="Courier New" w:eastAsia="Courier New" w:hAnsi="Courier New"/>
          <w:sz w:val="16"/>
          <w:szCs w:val="16"/>
          <w:color w:val="auto"/>
        </w:rPr>
        <w:t>UBS Global Asset Management (Americas) Inc.</w:t>
      </w:r>
    </w:p>
    <w:p>
      <w:pPr>
        <w:spacing w:after="0" w:line="238" w:lineRule="auto"/>
        <w:rPr>
          <w:sz w:val="20"/>
          <w:szCs w:val="20"/>
          <w:color w:val="auto"/>
        </w:rPr>
      </w:pPr>
      <w:r>
        <w:rPr>
          <w:rFonts w:ascii="Courier New" w:cs="Courier New" w:eastAsia="Courier New" w:hAnsi="Courier New"/>
          <w:sz w:val="18"/>
          <w:szCs w:val="18"/>
          <w:color w:val="auto"/>
        </w:rPr>
        <w:t>(UBS Global AM)</w:t>
      </w:r>
    </w:p>
    <w:p>
      <w:pPr>
        <w:spacing w:after="0"/>
        <w:tabs>
          <w:tab w:leader="none" w:pos="1780" w:val="left"/>
        </w:tabs>
        <w:rPr>
          <w:sz w:val="20"/>
          <w:szCs w:val="20"/>
          <w:color w:val="auto"/>
        </w:rPr>
      </w:pPr>
      <w:r>
        <w:rPr>
          <w:rFonts w:ascii="Courier New" w:cs="Courier New" w:eastAsia="Courier New" w:hAnsi="Courier New"/>
          <w:sz w:val="18"/>
          <w:szCs w:val="18"/>
          <w:color w:val="auto"/>
        </w:rPr>
        <w:t>Classification:</w:t>
      </w:r>
      <w:r>
        <w:rPr>
          <w:sz w:val="20"/>
          <w:szCs w:val="20"/>
          <w:color w:val="auto"/>
        </w:rPr>
        <w:tab/>
      </w:r>
      <w:r>
        <w:rPr>
          <w:rFonts w:ascii="Courier New" w:cs="Courier New" w:eastAsia="Courier New" w:hAnsi="Courier New"/>
          <w:sz w:val="16"/>
          <w:szCs w:val="16"/>
          <w:color w:val="auto"/>
        </w:rPr>
        <w:t>IA</w:t>
      </w:r>
    </w:p>
    <w:p>
      <w:pPr>
        <w:spacing w:after="0" w:line="206"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In addition to UBS and UBS Global AM, the following UBS affiliates and subsidiaries are part of the UBS Global Asset Management business group included in this filing: UBS Global Asset Management (US) Inc., UBS Global Asset Management Trust Company, UBS Global Asset Management International Limited, UBS Global Asset Management (Canada) Co., UBS International, Inc., UBS Global Asset Management (Australia) Ltd., UBS Global Asset Management (Hong Kong) Limited, UBS (Trust &amp; Banking) Limited, UBS Global Asset Management (Japan) Ltd., UBS Global Asset Management (Singapore) Ltd., UBS Global Asset Management (Taiwan) Ltd., UBS Global Asset Management (France) SA, UBS Global Asset Management (Deutschland) GmbH, UBS Global Asset Management (Italia) Sim Spa, UBS Espana S.A., UBS Global Asset Management (UK) Ltd.</w:t>
      </w:r>
    </w:p>
    <w:p>
      <w:pPr>
        <w:spacing w:after="0" w:line="202"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8 Identification and Classification of Members of the Group:</w:t>
      </w:r>
    </w:p>
    <w:p>
      <w:pPr>
        <w:spacing w:after="0" w:line="208"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UBS AG is reporting direct and indirect beneficial ownership of holdings. None of the reporting persons affirm the existence of a group within the meaning of Rule 13d-5(b)(1).</w:t>
      </w:r>
    </w:p>
    <w:p>
      <w:pPr>
        <w:spacing w:after="0" w:line="1"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Page 4 of 5 pages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32654105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6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Notice of Dissolution of Group: Not Applicable</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10 Certification:</w:t>
      </w:r>
    </w:p>
    <w:p>
      <w:pPr>
        <w:spacing w:after="0" w:line="4" w:lineRule="exact"/>
        <w:rPr>
          <w:rFonts w:ascii="Courier New" w:cs="Courier New" w:eastAsia="Courier New" w:hAnsi="Courier New"/>
          <w:sz w:val="16"/>
          <w:szCs w:val="16"/>
          <w:color w:val="auto"/>
        </w:rPr>
      </w:pPr>
    </w:p>
    <w:p>
      <w:pPr>
        <w:ind w:right="3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2007</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UBS AG</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Per Dyrvik</w:t>
      </w:r>
    </w:p>
    <w:p>
      <w:pPr>
        <w:ind w:left="3160"/>
        <w:spacing w:after="0" w:line="238" w:lineRule="auto"/>
        <w:rPr>
          <w:sz w:val="20"/>
          <w:szCs w:val="20"/>
          <w:color w:val="auto"/>
        </w:rPr>
      </w:pPr>
      <w:r>
        <w:rPr>
          <w:rFonts w:ascii="Courier New" w:cs="Courier New" w:eastAsia="Courier New" w:hAnsi="Courier New"/>
          <w:sz w:val="18"/>
          <w:szCs w:val="18"/>
          <w:color w:val="auto"/>
        </w:rPr>
        <w:t>Per Dyrvik, Managing Director</w:t>
      </w:r>
    </w:p>
    <w:p>
      <w:pPr>
        <w:spacing w:after="0" w:line="202"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Teresa Ressel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Teresa Ressel, Managing Director</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Page 5 of 5 pages</w:t>
      </w:r>
    </w:p>
    <w:sectPr>
      <w:pgSz w:w="11900" w:h="16838" w:orient="portrait"/>
      <w:cols w:equalWidth="0" w:num="1">
        <w:col w:w="10219"/>
      </w:cols>
      <w:pgMar w:left="2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a"/>
      <w:numFmt w:val="bullet"/>
      <w:start w:val="1"/>
    </w:lvl>
  </w:abstractNum>
  <w:abstractNum w:abstractNumId="5">
    <w:nsid w:val="1F16E9E8"/>
    <w:multiLevelType w:val="hybridMultilevel"/>
    <w:lvl w:ilvl="0">
      <w:lvlJc w:val="left"/>
      <w:lvlText w:val="b"/>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2019-12-19T22:36:50Z</dcterms:created>
  <dcterms:modified xsi:type="dcterms:W3CDTF">2019-12-19T22:36:50Z</dcterms:modified>
</cp:coreProperties>
</file>