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18"/>
          <w:szCs w:val="18"/>
          <w:color w:val="auto"/>
        </w:rPr>
        <w:t>As filed with the Securities and Exchange Commission on August 26, 2021</w:t>
      </w:r>
    </w:p>
    <w:p>
      <w:pPr>
        <w:spacing w:after="0" w:line="23" w:lineRule="exact"/>
        <w:rPr>
          <w:sz w:val="24"/>
          <w:szCs w:val="24"/>
          <w:color w:val="auto"/>
        </w:rPr>
      </w:pPr>
    </w:p>
    <w:p>
      <w:pPr>
        <w:ind w:left="8724"/>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-19050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9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REGISTRATION STATEMENT</w:t>
      </w:r>
    </w:p>
    <w:p>
      <w:pPr>
        <w:jc w:val="center"/>
        <w:ind w:right="16"/>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4" w:type="dxa"/>
        <w:tblCellMar>
          <w:top w:w="0" w:type="dxa"/>
          <w:left w:w="0" w:type="dxa"/>
          <w:bottom w:w="0" w:type="dxa"/>
          <w:right w:w="0" w:type="dxa"/>
        </w:tblCellMar>
      </w:tblPr>
      <w:tr>
        <w:trPr>
          <w:trHeight w:val="220"/>
        </w:trPr>
        <w:tc>
          <w:tcPr>
            <w:tcW w:w="4320" w:type="dxa"/>
            <w:vAlign w:val="bottom"/>
          </w:tcPr>
          <w:p>
            <w:pPr>
              <w:jc w:val="center"/>
              <w:ind w:right="1756"/>
              <w:spacing w:after="0"/>
              <w:rPr>
                <w:sz w:val="20"/>
                <w:szCs w:val="20"/>
                <w:color w:val="auto"/>
              </w:rPr>
            </w:pPr>
            <w:r>
              <w:rPr>
                <w:rFonts w:ascii="Arial" w:cs="Arial" w:eastAsia="Arial" w:hAnsi="Arial"/>
                <w:sz w:val="18"/>
                <w:szCs w:val="18"/>
                <w:b w:val="1"/>
                <w:bCs w:val="1"/>
                <w:color w:val="auto"/>
                <w:w w:val="86"/>
              </w:rPr>
              <w:t>Massachusetts</w:t>
            </w:r>
          </w:p>
        </w:tc>
        <w:tc>
          <w:tcPr>
            <w:tcW w:w="3120" w:type="dxa"/>
            <w:vAlign w:val="bottom"/>
          </w:tcPr>
          <w:p>
            <w:pPr>
              <w:jc w:val="right"/>
              <w:ind w:right="117"/>
              <w:spacing w:after="0"/>
              <w:rPr>
                <w:sz w:val="20"/>
                <w:szCs w:val="20"/>
                <w:color w:val="auto"/>
              </w:rPr>
            </w:pPr>
            <w:r>
              <w:rPr>
                <w:rFonts w:ascii="Arial" w:cs="Arial" w:eastAsia="Arial" w:hAnsi="Arial"/>
                <w:sz w:val="18"/>
                <w:szCs w:val="18"/>
                <w:b w:val="1"/>
                <w:bCs w:val="1"/>
                <w:color w:val="auto"/>
              </w:rPr>
              <w:t>04-2348234</w:t>
            </w:r>
          </w:p>
        </w:tc>
      </w:tr>
      <w:tr>
        <w:trPr>
          <w:trHeight w:val="203"/>
        </w:trPr>
        <w:tc>
          <w:tcPr>
            <w:tcW w:w="4320" w:type="dxa"/>
            <w:vAlign w:val="bottom"/>
          </w:tcPr>
          <w:p>
            <w:pPr>
              <w:jc w:val="center"/>
              <w:ind w:right="1756"/>
              <w:spacing w:after="0"/>
              <w:rPr>
                <w:sz w:val="20"/>
                <w:szCs w:val="20"/>
                <w:color w:val="auto"/>
              </w:rPr>
            </w:pPr>
            <w:r>
              <w:rPr>
                <w:rFonts w:ascii="Arial" w:cs="Arial" w:eastAsia="Arial" w:hAnsi="Arial"/>
                <w:sz w:val="16"/>
                <w:szCs w:val="16"/>
                <w:b w:val="1"/>
                <w:bCs w:val="1"/>
                <w:color w:val="auto"/>
                <w:w w:val="91"/>
              </w:rPr>
              <w:t>(State or other jurisdiction</w:t>
            </w:r>
          </w:p>
        </w:tc>
        <w:tc>
          <w:tcPr>
            <w:tcW w:w="3120" w:type="dxa"/>
            <w:vAlign w:val="bottom"/>
          </w:tcPr>
          <w:p>
            <w:pPr>
              <w:jc w:val="center"/>
              <w:ind w:left="1757"/>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320" w:type="dxa"/>
            <w:vAlign w:val="bottom"/>
          </w:tcPr>
          <w:p>
            <w:pPr>
              <w:jc w:val="center"/>
              <w:ind w:right="1756"/>
              <w:spacing w:after="0"/>
              <w:rPr>
                <w:sz w:val="20"/>
                <w:szCs w:val="20"/>
                <w:color w:val="auto"/>
              </w:rPr>
            </w:pPr>
            <w:r>
              <w:rPr>
                <w:rFonts w:ascii="Arial" w:cs="Arial" w:eastAsia="Arial" w:hAnsi="Arial"/>
                <w:sz w:val="16"/>
                <w:szCs w:val="16"/>
                <w:b w:val="1"/>
                <w:bCs w:val="1"/>
                <w:color w:val="auto"/>
                <w:w w:val="91"/>
              </w:rPr>
              <w:t>of incorporation or organization)</w:t>
            </w:r>
          </w:p>
        </w:tc>
        <w:tc>
          <w:tcPr>
            <w:tcW w:w="3120" w:type="dxa"/>
            <w:vAlign w:val="bottom"/>
          </w:tcPr>
          <w:p>
            <w:pPr>
              <w:jc w:val="center"/>
              <w:ind w:left="1757"/>
              <w:spacing w:after="0"/>
              <w:rPr>
                <w:sz w:val="20"/>
                <w:szCs w:val="20"/>
                <w:color w:val="auto"/>
              </w:rPr>
            </w:pPr>
            <w:r>
              <w:rPr>
                <w:rFonts w:ascii="Arial" w:cs="Arial" w:eastAsia="Arial" w:hAnsi="Arial"/>
                <w:sz w:val="16"/>
                <w:szCs w:val="16"/>
                <w:b w:val="1"/>
                <w:bCs w:val="1"/>
                <w:color w:val="auto"/>
                <w:w w:val="94"/>
              </w:rPr>
              <w:t>Identification No.)</w:t>
            </w:r>
          </w:p>
        </w:tc>
      </w:tr>
      <w:tr>
        <w:trPr>
          <w:trHeight w:val="433"/>
        </w:trPr>
        <w:tc>
          <w:tcPr>
            <w:tcW w:w="4320" w:type="dxa"/>
            <w:vAlign w:val="bottom"/>
          </w:tcPr>
          <w:p>
            <w:pPr>
              <w:jc w:val="center"/>
              <w:ind w:right="1776"/>
              <w:spacing w:after="0"/>
              <w:rPr>
                <w:sz w:val="20"/>
                <w:szCs w:val="20"/>
                <w:color w:val="auto"/>
              </w:rPr>
            </w:pPr>
            <w:r>
              <w:rPr>
                <w:rFonts w:ascii="Arial" w:cs="Arial" w:eastAsia="Arial" w:hAnsi="Arial"/>
                <w:sz w:val="18"/>
                <w:szCs w:val="18"/>
                <w:b w:val="1"/>
                <w:bCs w:val="1"/>
                <w:color w:val="auto"/>
                <w:w w:val="90"/>
              </w:rPr>
              <w:t>One Analog Way,</w:t>
            </w:r>
          </w:p>
        </w:tc>
        <w:tc>
          <w:tcPr>
            <w:tcW w:w="3120" w:type="dxa"/>
            <w:vAlign w:val="bottom"/>
          </w:tcPr>
          <w:p>
            <w:pPr>
              <w:spacing w:after="0"/>
              <w:rPr>
                <w:sz w:val="24"/>
                <w:szCs w:val="24"/>
                <w:color w:val="auto"/>
              </w:rPr>
            </w:pPr>
          </w:p>
        </w:tc>
      </w:tr>
      <w:tr>
        <w:trPr>
          <w:trHeight w:val="225"/>
        </w:trPr>
        <w:tc>
          <w:tcPr>
            <w:tcW w:w="4320" w:type="dxa"/>
            <w:vAlign w:val="bottom"/>
          </w:tcPr>
          <w:p>
            <w:pPr>
              <w:jc w:val="center"/>
              <w:ind w:right="1756"/>
              <w:spacing w:after="0"/>
              <w:rPr>
                <w:sz w:val="20"/>
                <w:szCs w:val="20"/>
                <w:color w:val="auto"/>
              </w:rPr>
            </w:pPr>
            <w:r>
              <w:rPr>
                <w:rFonts w:ascii="Arial" w:cs="Arial" w:eastAsia="Arial" w:hAnsi="Arial"/>
                <w:sz w:val="18"/>
                <w:szCs w:val="18"/>
                <w:b w:val="1"/>
                <w:bCs w:val="1"/>
                <w:color w:val="auto"/>
                <w:w w:val="97"/>
              </w:rPr>
              <w:t>Wilmington, MA</w:t>
            </w:r>
          </w:p>
        </w:tc>
        <w:tc>
          <w:tcPr>
            <w:tcW w:w="3120" w:type="dxa"/>
            <w:vAlign w:val="bottom"/>
          </w:tcPr>
          <w:p>
            <w:pPr>
              <w:jc w:val="right"/>
              <w:ind w:right="337"/>
              <w:spacing w:after="0"/>
              <w:rPr>
                <w:sz w:val="20"/>
                <w:szCs w:val="20"/>
                <w:color w:val="auto"/>
              </w:rPr>
            </w:pPr>
            <w:r>
              <w:rPr>
                <w:rFonts w:ascii="Arial" w:cs="Arial" w:eastAsia="Arial" w:hAnsi="Arial"/>
                <w:sz w:val="18"/>
                <w:szCs w:val="18"/>
                <w:b w:val="1"/>
                <w:bCs w:val="1"/>
                <w:color w:val="auto"/>
              </w:rPr>
              <w:t>01887</w:t>
            </w:r>
          </w:p>
        </w:tc>
      </w:tr>
      <w:tr>
        <w:trPr>
          <w:trHeight w:val="186"/>
        </w:trPr>
        <w:tc>
          <w:tcPr>
            <w:tcW w:w="4320" w:type="dxa"/>
            <w:vAlign w:val="bottom"/>
          </w:tcPr>
          <w:p>
            <w:pPr>
              <w:jc w:val="center"/>
              <w:ind w:right="1776"/>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757"/>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ANALOG DEVICES, INC. AMENDED AND RESTATED 1996 STOCK INCENTIVE PLAN</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Senior Vice President, Chief People Officer and Chief Legal Officer</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One Analog Way</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Wilmington, MA 01887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Telephone number, including area code, of agent for service: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024"/>
          </w:cols>
          <w:pgMar w:left="436" w:top="233" w:right="439" w:bottom="1440" w:gutter="0" w:footer="0" w:header="0"/>
        </w:sectPr>
      </w:pPr>
    </w:p>
    <w:p>
      <w:pPr>
        <w:spacing w:after="0" w:line="173" w:lineRule="exact"/>
        <w:rPr>
          <w:sz w:val="24"/>
          <w:szCs w:val="24"/>
          <w:color w:val="auto"/>
        </w:rPr>
      </w:pPr>
    </w:p>
    <w:p>
      <w:pPr>
        <w:ind w:left="4"/>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4" w:space="380"/>
            <w:col w:w="5660" w:space="720"/>
            <w:col w:w="1700" w:space="720"/>
            <w:col w:w="220"/>
          </w:cols>
          <w:pgMar w:left="436" w:top="233" w:right="439" w:bottom="1440" w:gutter="0" w:footer="0" w:header="0"/>
          <w:type w:val="continuous"/>
        </w:sectPr>
      </w:pPr>
    </w:p>
    <w:p>
      <w:pPr>
        <w:spacing w:after="0" w:line="33" w:lineRule="exact"/>
        <w:rPr>
          <w:sz w:val="24"/>
          <w:szCs w:val="24"/>
          <w:color w:val="auto"/>
        </w:rPr>
      </w:pPr>
    </w:p>
    <w:p>
      <w:pPr>
        <w:ind w:left="4"/>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-2562860</wp:posOffset>
            </wp:positionH>
            <wp:positionV relativeFrom="paragraph">
              <wp:posOffset>466725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24" w:space="480"/>
            <w:col w:w="5660" w:space="720"/>
            <w:col w:w="1960" w:space="460"/>
            <w:col w:w="220"/>
          </w:cols>
          <w:pgMar w:left="436" w:top="233"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r>
              <w:rPr>
                <w:rFonts w:ascii="Arial" w:cs="Arial" w:eastAsia="Arial" w:hAnsi="Arial"/>
                <w:sz w:val="12"/>
                <w:szCs w:val="12"/>
                <w:b w:val="1"/>
                <w:bCs w:val="1"/>
                <w:color w:val="auto"/>
                <w:w w:val="92"/>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$0.16 2/3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11,990,184</w:t>
            </w:r>
            <w:r>
              <w:rPr>
                <w:rFonts w:ascii="Arial" w:cs="Arial" w:eastAsia="Arial" w:hAnsi="Arial"/>
                <w:sz w:val="15"/>
                <w:szCs w:val="15"/>
                <w:color w:val="auto"/>
                <w:w w:val="92"/>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$165.47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$1,984,015,746</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$216,456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40" w:hanging="424"/>
        <w:spacing w:after="0" w:line="267"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7"/>
          <w:szCs w:val="17"/>
          <w:color w:val="auto"/>
        </w:rPr>
        <w:t>In accordance with Rule 416 under the Securities Act of 1933, as amended, this registration statement shall be deemed to cover any additional shares of common stock $0.16 2/3 par value per share (the “Common Stock”) of Analog Devices, Inc. (“Analog Devices” or the “Registrant”) that become issuable under the Maxim Integrated Products, Inc. Amended and Restated 1996 Stock Incentive Plan, as amended and restated effective as of the Effective Time (as defined below) as the Analog Devices, Inc. Amended and Restated 1996 Stock Incentive Plan (as it may be further amended, restated or modified from time to time, the “1996 Plan”), by reason of any stock split, stock dividend, recapitalization or other similar transaction that results in an increase in the number of outstanding shares of Common Stock.</w:t>
      </w:r>
    </w:p>
    <w:p>
      <w:pPr>
        <w:spacing w:after="0" w:line="4" w:lineRule="exact"/>
        <w:rPr>
          <w:rFonts w:ascii="Arial" w:cs="Arial" w:eastAsia="Arial" w:hAnsi="Arial"/>
          <w:sz w:val="14"/>
          <w:szCs w:val="14"/>
          <w:color w:val="auto"/>
        </w:rPr>
      </w:pPr>
    </w:p>
    <w:p>
      <w:pPr>
        <w:ind w:left="424" w:right="40" w:hanging="424"/>
        <w:spacing w:after="0" w:line="290"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7"/>
          <w:szCs w:val="17"/>
          <w:color w:val="auto"/>
        </w:rPr>
        <w:t>Estimated solely for the purpose of calculating the registration fee, based, in accordance with Rules 457(c) and 457(h) under the Securities Act, on the average of the high and low prices of Common Stock as reported on the Nasdaq Global Select Market on August 25, 2021.</w:t>
      </w:r>
    </w:p>
    <w:p>
      <w:pPr>
        <w:sectPr>
          <w:pgSz w:w="11900" w:h="16838" w:orient="portrait"/>
          <w:cols w:equalWidth="0" w:num="1">
            <w:col w:w="11024"/>
          </w:cols>
          <w:pgMar w:left="436" w:top="233" w:right="439" w:bottom="1440" w:gutter="0" w:footer="0" w:header="0"/>
          <w:type w:val="continuous"/>
        </w:sectPr>
      </w:pPr>
    </w:p>
    <w:bookmarkStart w:id="1" w:name="page2"/>
    <w:bookmarkEnd w:id="1"/>
    <w:p>
      <w:pPr>
        <w:ind w:left="424" w:hanging="424"/>
        <w:spacing w:after="0" w:line="253"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Represents (i) 181,000 shares of Common Stock issuable under the 1996 Plan pursuant to restricted stock awards of Maxim Integrated Products, Inc. (“Maxim”) outstanding immediately prior to the effective time (the “Effective Time”) of the merger of Magneto Corp., a wholly owned subsidiary of Analog Devices (“Merger Sub”), with and into Maxim pursuant to that certain Agreement and Plan of Merger, dated as of July 12, 2020 (the “Merger Agreement”), by and among Analog Devices, Merger Sub and Maxim (the “Merger”) that were converted into restricted stock awards with respect to Common Stock at the Effective Time, (ii) 3,500,000 shares of Common Stock issuable under the 1996 Plan pursuant to restricted stock unit awards into which the restricted stock unit awards and performance stock units of Maxim outstanding immediately prior to the Effective Time were converted at the Effective Time, and (iii) 8,309,184 shares of Common Stock issuable in respect of shares previously reserved for issuance under the 1996 Plan, which plan and the share reserve thereunder was assumed by Analog Devices on August 26, 2021 in connection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9"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Reference is made herein to the Merger Agreement by and among (i) the Registrant, (ii) Merger Sub, and (iii) Maxim. Pursuant to the terms of the Merger Agreement, on August 26, 2021 at the Effective Time, Merger Sub merged with and into Maxim, with Maxim surviving as a wholly owned subsidiary of the Registrant.</w:t>
      </w:r>
    </w:p>
    <w:p>
      <w:pPr>
        <w:spacing w:after="0" w:line="184"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At the Effective Time, the Registrant assumed Maxim’s outstanding equity awards and Maxim’s Amended and Restated 1996 Stock Incentive Plan for the purpose of granting future equity awards relating to the Common Stock to employees who were employed by Maxim immediately prior to the Effective Time, or who are hired after the Merger. At the Effective Time, (i) all Maxim restricted stock units and Maxim restricted shares (excluding any Maxim restricted stock units and Maxim restricted shares that by their terms became vested and settled upon the Effective Time) outstanding as of immediately prior to the Effective Time were automatically converted into restricted stock units or restricted shares, as applicable, denominated in shares of the Registrant’s Common Stock based on the exchange ratio of 0.6300 (the “Exchange Ratio”) and (ii) all Maxim performance-based market stock units (“Maxim MSUs”) outstanding as of immediately prior to the Effective Time (other than any Maxim MSUs that by their terms vested and settled immediately prior to the Effective Time) were automatically converted into time-based restricted stock unit awards denominated in shares of the Registrant’s Common Stock based on (x) the number of shares of Maxim common stock subject to each Maxim MSU after giving effect to any applicable provisions in the award agreement governing the Maxim MSU with respect to a “change in control” and (y) the Exchange Ratio. Other than the foregoing adjustments, the awards governing such converted restricted stock units or restricted shares (the “Assumed Awards”), as applicable, will generally remain subject to the same vesting and other terms and conditions that applied to the awards immediately prior to the Effective Time.</w:t>
      </w:r>
    </w:p>
    <w:p>
      <w:pPr>
        <w:spacing w:after="0" w:line="168"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This Registration Statement has been filed for the purpose of registering up to 11,990,184 shares of Common Stock issuable pursuant to the Assumed Awards as well as awards to be granted after the date hereof under the Amended and Restated 1996 Stock Incentive Plan.</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The documents containing the information specified in this Part I of this Registration Statement will be sent or given to employees as specified by Rule 428(b)(1) under the Securities Act of 1933, as amended. In accordance with the rules and regulations of the Securities and Exchange Commission (the “Commission”) and the instructions to Form S-8, such documents are not being filed with the Commission as part of this Registration Statement.</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filed with the Commission by the Registrant are incorporated in this Registration Statement by reference:</w:t>
      </w:r>
    </w:p>
    <w:p>
      <w:pPr>
        <w:spacing w:after="0" w:line="131" w:lineRule="exact"/>
        <w:rPr>
          <w:sz w:val="20"/>
          <w:szCs w:val="20"/>
          <w:color w:val="auto"/>
        </w:rPr>
      </w:pPr>
    </w:p>
    <w:p>
      <w:pPr>
        <w:ind w:left="960" w:right="26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October 31, 2020, filed with the Commission on November 24, 2020;</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Registrant’s Quarterly Report on Form 10-Q for the quarter ended January 30, 2021, filed with the Commission on </w:t>
      </w:r>
      <w:hyperlink r:id="rId20">
        <w:r>
          <w:rPr>
            <w:rFonts w:ascii="Arial" w:cs="Arial" w:eastAsia="Arial" w:hAnsi="Arial"/>
            <w:sz w:val="16"/>
            <w:szCs w:val="16"/>
            <w:u w:val="single" w:color="auto"/>
            <w:color w:val="0000EE"/>
          </w:rPr>
          <w:t>February 17, 2021</w:t>
        </w:r>
      </w:hyperlink>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Form 10-Q for the quarter ended May 1, 2021, filed with the Commission on </w:t>
      </w:r>
      <w:hyperlink r:id="rId21">
        <w:r>
          <w:rPr>
            <w:rFonts w:ascii="Arial" w:cs="Arial" w:eastAsia="Arial" w:hAnsi="Arial"/>
            <w:sz w:val="17"/>
            <w:szCs w:val="17"/>
            <w:u w:val="single" w:color="auto"/>
            <w:color w:val="0000EE"/>
          </w:rPr>
          <w:t>May 19, 2021</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Form 10-Q for the quarter ended July 31, 2021, filed with the Commission on </w:t>
      </w:r>
      <w:hyperlink r:id="rId22">
        <w:r>
          <w:rPr>
            <w:rFonts w:ascii="Arial" w:cs="Arial" w:eastAsia="Arial" w:hAnsi="Arial"/>
            <w:sz w:val="17"/>
            <w:szCs w:val="17"/>
            <w:u w:val="single" w:color="auto"/>
            <w:color w:val="0000EE"/>
          </w:rPr>
          <w:t>August 18, 2021</w:t>
        </w:r>
      </w:hyperlink>
      <w:r>
        <w:rPr>
          <w:rFonts w:ascii="Arial" w:cs="Arial" w:eastAsia="Arial" w:hAnsi="Arial"/>
          <w:sz w:val="17"/>
          <w:szCs w:val="17"/>
          <w:color w:val="auto"/>
        </w:rPr>
        <w:t>;</w:t>
      </w:r>
    </w:p>
    <w:p>
      <w:pPr>
        <w:sectPr>
          <w:pgSz w:w="11900" w:h="16838" w:orient="portrait"/>
          <w:cols w:equalWidth="0" w:num="1">
            <w:col w:w="10980"/>
          </w:cols>
          <w:pgMar w:left="440" w:top="270" w:right="479" w:bottom="1440" w:gutter="0" w:footer="0" w:header="0"/>
        </w:sectPr>
      </w:pPr>
    </w:p>
    <w:bookmarkStart w:id="3" w:name="page4"/>
    <w:bookmarkEnd w:id="3"/>
    <w:p>
      <w:pPr>
        <w:ind w:left="960" w:right="60" w:hanging="532"/>
        <w:spacing w:after="0" w:line="277" w:lineRule="auto"/>
        <w:tabs>
          <w:tab w:leader="none" w:pos="960" w:val="left"/>
        </w:tabs>
        <w:numPr>
          <w:ilvl w:val="0"/>
          <w:numId w:val="4"/>
        </w:numPr>
        <w:rPr>
          <w:rFonts w:ascii="Arial" w:cs="Arial" w:eastAsia="Arial" w:hAnsi="Arial"/>
          <w:sz w:val="18"/>
          <w:szCs w:val="18"/>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Registrant’s Current Reports on Form 8-K filed with the Commission on </w:t>
      </w:r>
      <w:hyperlink r:id="rId24">
        <w:r>
          <w:rPr>
            <w:rFonts w:ascii="Arial" w:cs="Arial" w:eastAsia="Arial" w:hAnsi="Arial"/>
            <w:sz w:val="18"/>
            <w:szCs w:val="18"/>
            <w:u w:val="single" w:color="auto"/>
            <w:color w:val="0000EE"/>
          </w:rPr>
          <w:t>November 6, 2020</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December 17, 2020</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January 27, 2021</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February 17,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8">
        <w:r>
          <w:rPr>
            <w:rFonts w:ascii="Arial" w:cs="Arial" w:eastAsia="Arial" w:hAnsi="Arial"/>
            <w:sz w:val="18"/>
            <w:szCs w:val="18"/>
            <w:u w:val="single" w:color="auto"/>
            <w:color w:val="0000EE"/>
          </w:rPr>
          <w:t>March 2,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March 11,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 xml:space="preserve">June 23,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August 23,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960" w:right="32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contained in the Registrant’s </w:t>
      </w:r>
      <w:hyperlink r:id="rId32">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Commission on March 21, 2012, and any amendment or report filed for the purpose of updating such description.</w:t>
      </w:r>
    </w:p>
    <w:p>
      <w:pPr>
        <w:spacing w:after="0" w:line="170" w:lineRule="exact"/>
        <w:rPr>
          <w:rFonts w:ascii="Arial" w:cs="Arial" w:eastAsia="Arial" w:hAnsi="Arial"/>
          <w:sz w:val="18"/>
          <w:szCs w:val="18"/>
          <w:color w:val="0000EE"/>
        </w:rPr>
      </w:pPr>
    </w:p>
    <w:p>
      <w:pPr>
        <w:ind w:right="80" w:firstLine="440"/>
        <w:spacing w:after="0" w:line="255" w:lineRule="auto"/>
        <w:rPr>
          <w:sz w:val="20"/>
          <w:szCs w:val="20"/>
          <w:color w:val="auto"/>
        </w:rPr>
      </w:pPr>
      <w:r>
        <w:rPr>
          <w:rFonts w:ascii="Arial" w:cs="Arial" w:eastAsia="Arial" w:hAnsi="Arial"/>
          <w:sz w:val="18"/>
          <w:szCs w:val="18"/>
          <w:color w:val="auto"/>
        </w:rPr>
        <w:t>All documents subsequently filed by the Registrant pursuant to Sections 13(a), 13(c), 14 or 15(d) of the Securities Exchange Act of 1934, as amended (the “Exchange Act”) subsequent to the filing of this Registration Statement (other than any such documents or portions thereof that are furnished under Item 2.02 or Item 7.01 of Form 8-K, unless otherwise indicated therein, including any exhibits included with such Items)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such documents.</w:t>
      </w:r>
    </w:p>
    <w:p>
      <w:pPr>
        <w:spacing w:after="0" w:line="192" w:lineRule="exact"/>
        <w:rPr>
          <w:rFonts w:ascii="Arial" w:cs="Arial" w:eastAsia="Arial" w:hAnsi="Arial"/>
          <w:sz w:val="18"/>
          <w:szCs w:val="18"/>
          <w:color w:val="0000EE"/>
        </w:rPr>
      </w:pPr>
    </w:p>
    <w:p>
      <w:pPr>
        <w:ind w:right="16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other subsequently filed document that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02"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OFFICERS AND DIRECTORS.</w:t>
      </w:r>
    </w:p>
    <w:p>
      <w:pPr>
        <w:spacing w:after="0" w:line="121" w:lineRule="exact"/>
        <w:rPr>
          <w:rFonts w:ascii="Arial" w:cs="Arial" w:eastAsia="Arial" w:hAnsi="Arial"/>
          <w:sz w:val="18"/>
          <w:szCs w:val="18"/>
          <w:color w:val="0000EE"/>
        </w:rPr>
      </w:pPr>
    </w:p>
    <w:p>
      <w:pPr>
        <w:ind w:firstLine="440"/>
        <w:spacing w:after="0" w:line="286" w:lineRule="auto"/>
        <w:rPr>
          <w:sz w:val="20"/>
          <w:szCs w:val="20"/>
          <w:color w:val="auto"/>
        </w:rPr>
      </w:pPr>
      <w:r>
        <w:rPr>
          <w:rFonts w:ascii="Arial" w:cs="Arial" w:eastAsia="Arial" w:hAnsi="Arial"/>
          <w:sz w:val="16"/>
          <w:szCs w:val="16"/>
          <w:color w:val="auto"/>
        </w:rPr>
        <w:t>Article 6A of the Registrant’s charter provides that the Registrant will indemnify each person who is, or was, a director or officer of the Registrant or who is or was a director or employee of the Registrant and is serving or has served as a director or officer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 Article 6A further provides that the Registrant will provide no indemnification with respect to any matter as to which any director or officer is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Registrant’s board of directors that such settlement or compromise is not in the best interests of the Registrant or, if the matter relates to an employee benefit plan, the participants or beneficiaries of such employee benefit plan.</w:t>
      </w:r>
    </w:p>
    <w:p>
      <w:pPr>
        <w:spacing w:after="0" w:line="174" w:lineRule="exact"/>
        <w:rPr>
          <w:rFonts w:ascii="Arial" w:cs="Arial" w:eastAsia="Arial" w:hAnsi="Arial"/>
          <w:sz w:val="18"/>
          <w:szCs w:val="18"/>
          <w:color w:val="0000EE"/>
        </w:rPr>
      </w:pPr>
    </w:p>
    <w:p>
      <w:pPr>
        <w:jc w:val="both"/>
        <w:ind w:right="20" w:firstLine="440"/>
        <w:spacing w:after="0" w:line="311" w:lineRule="auto"/>
        <w:rPr>
          <w:sz w:val="20"/>
          <w:szCs w:val="20"/>
          <w:color w:val="auto"/>
        </w:rPr>
      </w:pPr>
      <w:r>
        <w:rPr>
          <w:rFonts w:ascii="Arial" w:cs="Arial" w:eastAsia="Arial" w:hAnsi="Arial"/>
          <w:sz w:val="16"/>
          <w:szCs w:val="16"/>
          <w:color w:val="auto"/>
        </w:rPr>
        <w:t>Article 6A of the Registrant’s charter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Analog Devices charter. However, no</w:t>
      </w:r>
    </w:p>
    <w:p>
      <w:pPr>
        <w:spacing w:after="0" w:line="81"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 w:name="page5"/>
    <w:bookmarkEnd w:id="4"/>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 may be made if the Registrant’s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Analog Devices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7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Under Article 6A of the Registrant’s charter, if an individual is entitled under any provision of Article 6 of the Registrant’s charter to indemnification by the Registrant for some or a portion of the liabilities or expenses imposed upon or incurred by such individual in the investigation, defense, appeal or settlement of any action, suit or proceeding but not, however, for the total amount thereof, the Registrant will nevertheless indemnify such individual for the portion of such liabilities or expenses to which such individual is entitled. the Registrant’s obligation to provide indemnification under the Registrant’s charter will be offset to the extent of any other source of indemnification or any otherwise applicable insurance coverage under a policy maintained by the Registrant or any other person.</w:t>
      </w:r>
    </w:p>
    <w:p>
      <w:pPr>
        <w:spacing w:after="0" w:line="19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Under Article 6D of the Registrant’s charter, to the fullest extent permitted by the Massachusetts Business Corporation Act, as may be amended from time to time, no director will be personally liable to Analog Devices or its stockholders for monetary damages for breach of his fiduciary duty as a director, notwithstanding any provision of law imposing such liability.</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ind w:left="880" w:right="320" w:hanging="64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34">
        <w:r>
          <w:rPr>
            <w:rFonts w:ascii="Arial" w:cs="Arial" w:eastAsia="Arial" w:hAnsi="Arial"/>
            <w:sz w:val="18"/>
            <w:szCs w:val="18"/>
            <w:u w:val="single" w:color="auto"/>
            <w:color w:val="0000EE"/>
          </w:rPr>
          <w:t>Restated Articles of Organization of Analog Devices, Inc., as amended (incorporated by reference to Exhibit 3.1 to the Analog Devices,</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Inc.’s Quarterly Report on Form 10-Q for the quarter ended May 3, 2008).</w:t>
        </w:r>
      </w:hyperlink>
    </w:p>
    <w:p>
      <w:pPr>
        <w:spacing w:after="0" w:line="62" w:lineRule="exact"/>
        <w:rPr>
          <w:sz w:val="20"/>
          <w:szCs w:val="20"/>
          <w:color w:val="auto"/>
        </w:rPr>
      </w:pPr>
    </w:p>
    <w:p>
      <w:pPr>
        <w:ind w:left="880" w:right="400" w:hanging="64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5">
        <w:r>
          <w:rPr>
            <w:rFonts w:ascii="Arial" w:cs="Arial" w:eastAsia="Arial" w:hAnsi="Arial"/>
            <w:sz w:val="18"/>
            <w:szCs w:val="18"/>
            <w:u w:val="single" w:color="auto"/>
            <w:color w:val="0000EE"/>
          </w:rPr>
          <w:t>Amendment to Restated Articles of Organization of Analog Devices, Inc. (incorporated by reference to Exhibit 3.1 to Analog Devices,</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Inc.’s Current Report on Form 8-K filed on December 8, 2008).</w:t>
        </w:r>
      </w:hyperlink>
    </w:p>
    <w:p>
      <w:pPr>
        <w:spacing w:after="0" w:line="62" w:lineRule="exact"/>
        <w:rPr>
          <w:sz w:val="20"/>
          <w:szCs w:val="20"/>
          <w:color w:val="auto"/>
        </w:rPr>
      </w:pPr>
    </w:p>
    <w:p>
      <w:pPr>
        <w:ind w:left="880" w:hanging="64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36">
        <w:r>
          <w:rPr>
            <w:rFonts w:ascii="Arial" w:cs="Arial" w:eastAsia="Arial" w:hAnsi="Arial"/>
            <w:sz w:val="18"/>
            <w:szCs w:val="18"/>
            <w:u w:val="single" w:color="auto"/>
            <w:color w:val="0000EE"/>
          </w:rPr>
          <w:t>Amended and Restated By-Laws of Analog Devices, Inc. (incorporated by reference to Exhibit 3.1 to Analog Devices, Inc.’s Current Report</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on Form 8-K filed on December 17, 2018).</w:t>
        </w:r>
      </w:hyperlink>
    </w:p>
    <w:p>
      <w:pPr>
        <w:spacing w:after="0" w:line="62" w:lineRule="exact"/>
        <w:rPr>
          <w:sz w:val="20"/>
          <w:szCs w:val="20"/>
          <w:color w:val="auto"/>
        </w:rPr>
      </w:pPr>
    </w:p>
    <w:p>
      <w:pPr>
        <w:ind w:left="880" w:right="140" w:hanging="647"/>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37">
        <w:r>
          <w:rPr>
            <w:rFonts w:ascii="Arial" w:cs="Arial" w:eastAsia="Arial" w:hAnsi="Arial"/>
            <w:sz w:val="18"/>
            <w:szCs w:val="18"/>
            <w:u w:val="single" w:color="auto"/>
            <w:color w:val="0000EE"/>
          </w:rPr>
          <w:t>Maxim Integrated Products, Inc. Amended and Restated 1996 Stock Incentive Plan, as amended and restated (incorporated by reference to</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Appendix B of Maxim Integrated Products, Inc.’s Definitive Proxy Statement on Schedule 14A, filed with the Commission on</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September 30, 2016).</w:t>
        </w:r>
      </w:hyperlink>
    </w:p>
    <w:p>
      <w:pPr>
        <w:spacing w:after="0" w:line="76" w:lineRule="exact"/>
        <w:rPr>
          <w:rFonts w:ascii="Arial" w:cs="Arial" w:eastAsia="Arial" w:hAnsi="Arial"/>
          <w:sz w:val="18"/>
          <w:szCs w:val="18"/>
          <w:u w:val="single" w:color="auto"/>
          <w:color w:val="0000EE"/>
        </w:rPr>
      </w:pPr>
    </w:p>
    <w:p>
      <w:pPr>
        <w:ind w:left="22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0">
        <w:r>
          <w:rPr>
            <w:rFonts w:ascii="Arial" w:cs="Arial" w:eastAsia="Arial" w:hAnsi="Arial"/>
            <w:sz w:val="16"/>
            <w:szCs w:val="16"/>
            <w:u w:val="single" w:color="auto"/>
            <w:color w:val="0000EE"/>
          </w:rPr>
          <w:t>Opinion of Wilmer Cutler Pickering Hale and Dorr LLP, counsel to the Registrant.</w:t>
        </w:r>
      </w:hyperlink>
    </w:p>
    <w:p>
      <w:pPr>
        <w:spacing w:after="0" w:line="117" w:lineRule="exact"/>
        <w:rPr>
          <w:rFonts w:ascii="Arial" w:cs="Arial" w:eastAsia="Arial" w:hAnsi="Arial"/>
          <w:sz w:val="18"/>
          <w:szCs w:val="18"/>
          <w:u w:val="single" w:color="auto"/>
          <w:color w:val="0000EE"/>
        </w:rPr>
      </w:pPr>
    </w:p>
    <w:p>
      <w:pPr>
        <w:ind w:left="22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
        <w:r>
          <w:rPr>
            <w:rFonts w:ascii="Arial" w:cs="Arial" w:eastAsia="Arial" w:hAnsi="Arial"/>
            <w:sz w:val="16"/>
            <w:szCs w:val="16"/>
            <w:u w:val="single" w:color="auto"/>
            <w:color w:val="0000EE"/>
          </w:rPr>
          <w:t>Consent of Wilmer Cutler Pickering Hale and Dorr LLP (included in Exhibit 5.1).</w:t>
        </w:r>
      </w:hyperlink>
    </w:p>
    <w:p>
      <w:pPr>
        <w:spacing w:after="0" w:line="117" w:lineRule="exact"/>
        <w:rPr>
          <w:rFonts w:ascii="Arial" w:cs="Arial" w:eastAsia="Arial" w:hAnsi="Arial"/>
          <w:sz w:val="18"/>
          <w:szCs w:val="18"/>
          <w:u w:val="single" w:color="auto"/>
          <w:color w:val="0000EE"/>
        </w:rPr>
      </w:pPr>
    </w:p>
    <w:p>
      <w:pPr>
        <w:ind w:left="22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12">
        <w:r>
          <w:rPr>
            <w:rFonts w:ascii="Arial" w:cs="Arial" w:eastAsia="Arial" w:hAnsi="Arial"/>
            <w:sz w:val="16"/>
            <w:szCs w:val="16"/>
            <w:u w:val="single" w:color="auto"/>
            <w:color w:val="0000EE"/>
          </w:rPr>
          <w:t>Consent of Ernst &amp; Young LLP.</w:t>
        </w:r>
      </w:hyperlink>
    </w:p>
    <w:p>
      <w:pPr>
        <w:spacing w:after="0" w:line="117" w:lineRule="exact"/>
        <w:rPr>
          <w:rFonts w:ascii="Arial" w:cs="Arial" w:eastAsia="Arial" w:hAnsi="Arial"/>
          <w:sz w:val="18"/>
          <w:szCs w:val="18"/>
          <w:u w:val="single" w:color="auto"/>
          <w:color w:val="0000EE"/>
        </w:rPr>
      </w:pPr>
    </w:p>
    <w:p>
      <w:pPr>
        <w:ind w:left="22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8">
        <w:r>
          <w:rPr>
            <w:rFonts w:ascii="Arial" w:cs="Arial" w:eastAsia="Arial" w:hAnsi="Arial"/>
            <w:sz w:val="16"/>
            <w:szCs w:val="16"/>
            <w:u w:val="single" w:color="auto"/>
            <w:color w:val="0000EE"/>
          </w:rPr>
          <w:t>Power of Attorney (included on the signature page of this Registration Statement).</w:t>
        </w:r>
      </w:hyperlink>
    </w:p>
    <w:p>
      <w:pPr>
        <w:spacing w:after="0" w:line="158"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left="680" w:hanging="24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0" w:right="60" w:firstLine="408"/>
        <w:spacing w:after="0" w:line="272" w:lineRule="auto"/>
        <w:tabs>
          <w:tab w:leader="none" w:pos="1646"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80" w:right="60" w:firstLine="408"/>
        <w:spacing w:after="0" w:line="277" w:lineRule="auto"/>
        <w:tabs>
          <w:tab w:leader="none" w:pos="1696"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0" w:right="40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76" w:lineRule="exact"/>
        <w:rPr>
          <w:sz w:val="20"/>
          <w:szCs w:val="20"/>
          <w:color w:val="auto"/>
        </w:rPr>
      </w:pPr>
    </w:p>
    <w:p>
      <w:pPr>
        <w:ind w:left="440" w:right="80" w:firstLine="419"/>
        <w:spacing w:after="0" w:line="263" w:lineRule="auto"/>
        <w:tabs>
          <w:tab w:leader="none" w:pos="111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firstLine="436"/>
        <w:spacing w:after="0" w:line="25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right="120" w:firstLine="436"/>
        <w:spacing w:after="0" w:line="259"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Wilmington, Commonwealth of Massachusetts, on this 26th day of August,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the undersigned officers and directors of Analog Devices, Inc., hereby severally constitute and appoint Vincent Roche, Prashanth Mahendra-Rajah and Margaret K. Seif,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1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Ray Stata</w:t>
            </w:r>
          </w:p>
        </w:tc>
        <w:tc>
          <w:tcPr>
            <w:tcW w:w="120" w:type="dxa"/>
            <w:vAlign w:val="bottom"/>
          </w:tcPr>
          <w:p>
            <w:pPr>
              <w:spacing w:after="0"/>
              <w:rPr>
                <w:sz w:val="24"/>
                <w:szCs w:val="24"/>
                <w:color w:val="auto"/>
              </w:rPr>
            </w:pPr>
          </w:p>
        </w:tc>
        <w:tc>
          <w:tcPr>
            <w:tcW w:w="5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c>
          <w:tcPr>
            <w:tcW w:w="0" w:type="dxa"/>
            <w:vAlign w:val="bottom"/>
          </w:tcPr>
          <w:p>
            <w:pPr>
              <w:spacing w:after="0"/>
              <w:rPr>
                <w:sz w:val="1"/>
                <w:szCs w:val="1"/>
                <w:color w:val="auto"/>
              </w:rPr>
            </w:pP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88"/>
              </w:rPr>
              <w:t>Ray Stata</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Vincent Roche</w:t>
            </w:r>
          </w:p>
        </w:tc>
        <w:tc>
          <w:tcPr>
            <w:tcW w:w="120" w:type="dxa"/>
            <w:vAlign w:val="bottom"/>
          </w:tcPr>
          <w:p>
            <w:pPr>
              <w:spacing w:after="0"/>
              <w:rPr>
                <w:sz w:val="24"/>
                <w:szCs w:val="24"/>
                <w:color w:val="auto"/>
              </w:rPr>
            </w:pPr>
          </w:p>
        </w:tc>
        <w:tc>
          <w:tcPr>
            <w:tcW w:w="5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and Chief Executive Officer and 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c>
          <w:tcPr>
            <w:tcW w:w="0" w:type="dxa"/>
            <w:vAlign w:val="bottom"/>
          </w:tcPr>
          <w:p>
            <w:pPr>
              <w:spacing w:after="0"/>
              <w:rPr>
                <w:sz w:val="1"/>
                <w:szCs w:val="1"/>
                <w:color w:val="auto"/>
              </w:rPr>
            </w:pP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0"/>
              </w:rPr>
              <w:t>Vincent Roche</w:t>
            </w:r>
          </w:p>
        </w:tc>
        <w:tc>
          <w:tcPr>
            <w:tcW w:w="120" w:type="dxa"/>
            <w:vAlign w:val="bottom"/>
          </w:tcPr>
          <w:p>
            <w:pPr>
              <w:spacing w:after="0"/>
              <w:rPr>
                <w:sz w:val="19"/>
                <w:szCs w:val="19"/>
                <w:color w:val="auto"/>
              </w:rPr>
            </w:pPr>
          </w:p>
        </w:tc>
        <w:tc>
          <w:tcPr>
            <w:tcW w:w="5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Prashanth Mahendra-Rajah</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Senior Vice President, Finance and Chief Financial Officer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c>
          <w:tcPr>
            <w:tcW w:w="0" w:type="dxa"/>
            <w:vAlign w:val="bottom"/>
          </w:tcPr>
          <w:p>
            <w:pPr>
              <w:spacing w:after="0"/>
              <w:rPr>
                <w:sz w:val="1"/>
                <w:szCs w:val="1"/>
                <w:color w:val="auto"/>
              </w:rPr>
            </w:pP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88"/>
              </w:rPr>
              <w:t>Prashanth Mahendra-Rajah</w:t>
            </w:r>
          </w:p>
        </w:tc>
        <w:tc>
          <w:tcPr>
            <w:tcW w:w="120" w:type="dxa"/>
            <w:vAlign w:val="bottom"/>
          </w:tcPr>
          <w:p>
            <w:pPr>
              <w:spacing w:after="0"/>
              <w:rPr>
                <w:sz w:val="19"/>
                <w:szCs w:val="19"/>
                <w:color w:val="auto"/>
              </w:rPr>
            </w:pPr>
          </w:p>
        </w:tc>
        <w:tc>
          <w:tcPr>
            <w:tcW w:w="5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Financial Officer)</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1"/>
              </w:rPr>
              <w:t>/s/ Michael Sondel</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c>
          <w:tcPr>
            <w:tcW w:w="0" w:type="dxa"/>
            <w:vAlign w:val="bottom"/>
          </w:tcPr>
          <w:p>
            <w:pPr>
              <w:spacing w:after="0"/>
              <w:rPr>
                <w:sz w:val="1"/>
                <w:szCs w:val="1"/>
                <w:color w:val="auto"/>
              </w:rPr>
            </w:pPr>
          </w:p>
        </w:tc>
      </w:tr>
      <w:tr>
        <w:trPr>
          <w:trHeight w:val="114"/>
        </w:trPr>
        <w:tc>
          <w:tcPr>
            <w:tcW w:w="28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53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Accounting Officer</w:t>
            </w: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2"/>
              </w:rPr>
              <w:t>Michael Sondel</w:t>
            </w:r>
          </w:p>
        </w:tc>
        <w:tc>
          <w:tcPr>
            <w:tcW w:w="12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3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380" w:type="dxa"/>
            <w:vAlign w:val="bottom"/>
            <w:gridSpan w:val="2"/>
            <w:vMerge w:val="continue"/>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A. Champy</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c>
          <w:tcPr>
            <w:tcW w:w="0" w:type="dxa"/>
            <w:vAlign w:val="bottom"/>
          </w:tcPr>
          <w:p>
            <w:pPr>
              <w:spacing w:after="0"/>
              <w:rPr>
                <w:sz w:val="1"/>
                <w:szCs w:val="1"/>
                <w:color w:val="auto"/>
              </w:rPr>
            </w:pP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James A. Champy</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880" w:type="dxa"/>
            <w:vAlign w:val="bottom"/>
          </w:tcPr>
          <w:p>
            <w:pPr>
              <w:spacing w:after="0"/>
              <w:rPr>
                <w:sz w:val="24"/>
                <w:szCs w:val="24"/>
                <w:color w:val="auto"/>
              </w:rPr>
            </w:pPr>
          </w:p>
        </w:tc>
        <w:tc>
          <w:tcPr>
            <w:tcW w:w="5400" w:type="dxa"/>
            <w:vAlign w:val="bottom"/>
            <w:gridSpan w:val="2"/>
          </w:tcPr>
          <w:p>
            <w:pPr>
              <w:jc w:val="right"/>
              <w:ind w:right="259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Anantha P. Chandrakasan</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87"/>
              </w:rPr>
              <w:t>Anantha P. Chandrakasan</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2"/>
              </w:rPr>
              <w:t>Tunç Doluca</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Bruce R. Evans</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89"/>
              </w:rPr>
              <w:t>Bruce R. Evans</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H. Frank</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1"/>
              </w:rPr>
              <w:t>Edward H. Frank</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Dr. Laurie H. Glimcher</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3"/>
              </w:rPr>
              <w:t>Dr. Laurie H. Glimcher</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Karen M. Golz</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3"/>
              </w:rPr>
              <w:t>Karen M. Golz</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88"/>
              </w:rPr>
              <w:t>Mercedes Johnson</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Little</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8"/>
              </w:rPr>
              <w:t>Mark Little</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Kenton J. Sicchitano</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1"/>
              </w:rPr>
              <w:t>Kenton J. Sicchitano</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Susie Wee</w:t>
            </w:r>
          </w:p>
        </w:tc>
        <w:tc>
          <w:tcPr>
            <w:tcW w:w="120" w:type="dxa"/>
            <w:vAlign w:val="bottom"/>
          </w:tcPr>
          <w:p>
            <w:pPr>
              <w:spacing w:after="0"/>
              <w:rPr>
                <w:sz w:val="24"/>
                <w:szCs w:val="24"/>
                <w:color w:val="auto"/>
              </w:rPr>
            </w:pPr>
          </w:p>
        </w:tc>
        <w:tc>
          <w:tcPr>
            <w:tcW w:w="5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84"/>
              </w:rPr>
              <w:t>Susie Wee</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64"/>
        </w:trPr>
        <w:tc>
          <w:tcPr>
            <w:tcW w:w="2880" w:type="dxa"/>
            <w:vAlign w:val="bottom"/>
          </w:tcPr>
          <w:p>
            <w:pPr>
              <w:spacing w:after="0"/>
              <w:rPr>
                <w:sz w:val="24"/>
                <w:szCs w:val="24"/>
                <w:color w:val="auto"/>
              </w:rPr>
            </w:pPr>
          </w:p>
        </w:tc>
        <w:tc>
          <w:tcPr>
            <w:tcW w:w="5400" w:type="dxa"/>
            <w:vAlign w:val="bottom"/>
            <w:gridSpan w:val="2"/>
          </w:tcPr>
          <w:p>
            <w:pPr>
              <w:jc w:val="right"/>
              <w:ind w:right="259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c>
          <w:tcPr>
            <w:tcW w:w="0" w:type="dxa"/>
            <w:vAlign w:val="bottom"/>
          </w:tcPr>
          <w:p>
            <w:pPr>
              <w:spacing w:after="0"/>
              <w:rPr>
                <w:sz w:val="1"/>
                <w:szCs w:val="1"/>
                <w:color w:val="auto"/>
              </w:rPr>
            </w:pPr>
          </w:p>
        </w:tc>
      </w:tr>
      <w:tr>
        <w:trPr>
          <w:trHeight w:val="891"/>
        </w:trPr>
        <w:tc>
          <w:tcPr>
            <w:tcW w:w="3020" w:type="dxa"/>
            <w:vAlign w:val="bottom"/>
            <w:gridSpan w:val="2"/>
          </w:tcPr>
          <w:p>
            <w:pPr>
              <w:spacing w:after="0"/>
              <w:rPr>
                <w:sz w:val="20"/>
                <w:szCs w:val="20"/>
                <w:color w:val="auto"/>
              </w:rPr>
            </w:pPr>
            <w:r>
              <w:rPr>
                <w:rFonts w:ascii="Arial" w:cs="Arial" w:eastAsia="Arial" w:hAnsi="Arial"/>
                <w:sz w:val="18"/>
                <w:szCs w:val="18"/>
                <w:color w:val="auto"/>
              </w:rPr>
              <w:t>August 26, 2021</w:t>
            </w:r>
          </w:p>
        </w:tc>
        <w:tc>
          <w:tcPr>
            <w:tcW w:w="8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0" w:type="dxa"/>
            <w:vAlign w:val="bottom"/>
          </w:tcPr>
          <w:p>
            <w:pPr>
              <w:jc w:val="right"/>
              <w:spacing w:after="0"/>
              <w:rPr>
                <w:sz w:val="20"/>
                <w:szCs w:val="20"/>
                <w:color w:val="auto"/>
              </w:rPr>
            </w:pPr>
            <w:r>
              <w:rPr>
                <w:rFonts w:ascii="Arial" w:cs="Arial" w:eastAsia="Arial" w:hAnsi="Arial"/>
                <w:sz w:val="18"/>
                <w:szCs w:val="18"/>
                <w:b w:val="1"/>
                <w:bCs w:val="1"/>
                <w:color w:val="auto"/>
              </w:rPr>
              <w:t>Joseph B. Conahan</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8000" w:type="dxa"/>
            <w:vAlign w:val="bottom"/>
            <w:vMerge w:val="restart"/>
          </w:tcPr>
          <w:p>
            <w:pPr>
              <w:jc w:val="right"/>
              <w:spacing w:after="0"/>
              <w:rPr>
                <w:sz w:val="20"/>
                <w:szCs w:val="20"/>
                <w:color w:val="auto"/>
              </w:rPr>
            </w:pPr>
            <w:r>
              <w:rPr>
                <w:rFonts w:ascii="Arial" w:cs="Arial" w:eastAsia="Arial" w:hAnsi="Arial"/>
                <w:sz w:val="18"/>
                <w:szCs w:val="18"/>
                <w:color w:val="auto"/>
              </w:rPr>
              <w:t>+1 617 526 6000 (t)</w:t>
            </w:r>
          </w:p>
        </w:tc>
        <w:tc>
          <w:tcPr>
            <w:tcW w:w="0" w:type="dxa"/>
            <w:vAlign w:val="bottom"/>
          </w:tcPr>
          <w:p>
            <w:pPr>
              <w:spacing w:after="0"/>
              <w:rPr>
                <w:sz w:val="1"/>
                <w:szCs w:val="1"/>
                <w:color w:val="auto"/>
              </w:rPr>
            </w:pPr>
          </w:p>
        </w:tc>
      </w:tr>
      <w:tr>
        <w:trPr>
          <w:trHeight w:val="95"/>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One Analog Way</w:t>
            </w:r>
          </w:p>
        </w:tc>
        <w:tc>
          <w:tcPr>
            <w:tcW w:w="8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20" w:type="dxa"/>
            <w:vAlign w:val="bottom"/>
            <w:gridSpan w:val="2"/>
            <w:vMerge w:val="continue"/>
          </w:tcPr>
          <w:p>
            <w:pPr>
              <w:spacing w:after="0"/>
              <w:rPr>
                <w:sz w:val="10"/>
                <w:szCs w:val="10"/>
                <w:color w:val="auto"/>
              </w:rPr>
            </w:pPr>
          </w:p>
        </w:tc>
        <w:tc>
          <w:tcPr>
            <w:tcW w:w="8000" w:type="dxa"/>
            <w:vAlign w:val="bottom"/>
            <w:vMerge w:val="restart"/>
          </w:tcPr>
          <w:p>
            <w:pPr>
              <w:jc w:val="right"/>
              <w:spacing w:after="0"/>
              <w:rPr>
                <w:sz w:val="20"/>
                <w:szCs w:val="20"/>
                <w:color w:val="auto"/>
              </w:rPr>
            </w:pPr>
            <w:r>
              <w:rPr>
                <w:rFonts w:ascii="Arial" w:cs="Arial" w:eastAsia="Arial" w:hAnsi="Arial"/>
                <w:sz w:val="18"/>
                <w:szCs w:val="18"/>
                <w:color w:val="auto"/>
              </w:rPr>
              <w:t>+1 617 526 5000 (f)</w:t>
            </w:r>
          </w:p>
        </w:tc>
        <w:tc>
          <w:tcPr>
            <w:tcW w:w="0" w:type="dxa"/>
            <w:vAlign w:val="bottom"/>
          </w:tcPr>
          <w:p>
            <w:pPr>
              <w:spacing w:after="0"/>
              <w:rPr>
                <w:sz w:val="1"/>
                <w:szCs w:val="1"/>
                <w:color w:val="auto"/>
              </w:rPr>
            </w:pPr>
          </w:p>
        </w:tc>
      </w:tr>
      <w:tr>
        <w:trPr>
          <w:trHeight w:val="95"/>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Wilmington, Massachusetts 01887</w:t>
            </w:r>
          </w:p>
        </w:tc>
        <w:tc>
          <w:tcPr>
            <w:tcW w:w="8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020" w:type="dxa"/>
            <w:vAlign w:val="bottom"/>
            <w:gridSpan w:val="2"/>
            <w:vMerge w:val="continue"/>
          </w:tcPr>
          <w:p>
            <w:pPr>
              <w:spacing w:after="0"/>
              <w:rPr>
                <w:sz w:val="11"/>
                <w:szCs w:val="11"/>
                <w:color w:val="auto"/>
              </w:rPr>
            </w:pPr>
          </w:p>
        </w:tc>
        <w:tc>
          <w:tcPr>
            <w:tcW w:w="8000" w:type="dxa"/>
            <w:vAlign w:val="bottom"/>
            <w:vMerge w:val="restart"/>
          </w:tcPr>
          <w:p>
            <w:pPr>
              <w:jc w:val="right"/>
              <w:spacing w:after="0"/>
              <w:rPr>
                <w:sz w:val="20"/>
                <w:szCs w:val="20"/>
                <w:color w:val="auto"/>
              </w:rPr>
            </w:pPr>
            <w:r>
              <w:rPr>
                <w:rFonts w:ascii="Arial" w:cs="Arial" w:eastAsia="Arial" w:hAnsi="Arial"/>
                <w:sz w:val="18"/>
                <w:szCs w:val="18"/>
                <w:color w:val="auto"/>
              </w:rPr>
              <w:t>wilmerhale.com</w:t>
            </w: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w w:val="91"/>
              </w:rPr>
              <w:t>Re:  Registration Statement on Form S-8</w:t>
            </w:r>
          </w:p>
        </w:tc>
        <w:tc>
          <w:tcPr>
            <w:tcW w:w="8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-1473835</wp:posOffset>
            </wp:positionV>
            <wp:extent cx="10541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05410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opinion is furnished to you in connection with a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by Analog Devices, Inc., a Massachusetts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an aggregate of 11,990,184 shares of common stock, $0.16 2/3 par value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issuable under the Analog Devices, Inc. Amended and Restated 1996 Stock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which was assumed by the Company in connection with the completion of the transactions contemplated by the Agreement and Plan of Merger, dated as of July 12, 2020,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Magneto Corp. and Maxim Integrated Products, Inc.</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examined the Articles of Organization and By-Laws of the Company, each as amended and restated to date, and originals, or copies certified to our satisfaction, of all pertinent records of the meetings of the directors of the Company, the Registration Statement, the Plan, the Merger Agreement and such other documents relating to the Company as we have deemed material for the purposes of this opinion.</w:t>
      </w:r>
    </w:p>
    <w:p>
      <w:pPr>
        <w:spacing w:after="0" w:line="16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176530</wp:posOffset>
            </wp:positionV>
            <wp:extent cx="533209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5332095" cy="22288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-121920</wp:posOffset>
            </wp:positionV>
            <wp:extent cx="105410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105410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3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Joseph B. Conahan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B. Conahan, a Partner</w:t>
      </w:r>
    </w:p>
    <w:p>
      <w:pPr>
        <w:sectPr>
          <w:pgSz w:w="11900" w:h="16838" w:orient="portrait"/>
          <w:cols w:equalWidth="0" w:num="1">
            <w:col w:w="10920"/>
          </w:cols>
          <w:pgMar w:left="440" w:top="274" w:right="5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Amended and Restated 1996 Stock Incentive Plan of Analog Devices, Inc. of our reports dated November 24, 2020, with respect to the consolidated financial statements and schedule of Analog Devices, Inc. and the effectiveness of internal control over financial reporting of Analog Devices, Inc. included in its Annual Report (Form 10-K) for the year ended October 31, 2020,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3"/>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33"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jpeg"/><Relationship Id="rId44" Type="http://schemas.openxmlformats.org/officeDocument/2006/relationships/image" Target="media/image20.jpeg"/><Relationship Id="rId45" Type="http://schemas.openxmlformats.org/officeDocument/2006/relationships/image" Target="media/image21.png"/><Relationship Id="rId46" Type="http://schemas.openxmlformats.org/officeDocument/2006/relationships/image" Target="media/image22.jpeg"/><Relationship Id="rId47" Type="http://schemas.openxmlformats.org/officeDocument/2006/relationships/image" Target="media/image23.png"/><Relationship Id="rId19" Type="http://schemas.openxmlformats.org/officeDocument/2006/relationships/hyperlink" Target="http://www.sec.gov/ix?doc=/Archives/edgar/data/6281/000000628120000156/adi-20201031.htm" TargetMode="External"/><Relationship Id="rId20" Type="http://schemas.openxmlformats.org/officeDocument/2006/relationships/hyperlink" Target="http://www.sec.gov/ix?doc=/Archives/edgar/data/6281/000000628121000022/adi-20210130.htm" TargetMode="External"/><Relationship Id="rId21" Type="http://schemas.openxmlformats.org/officeDocument/2006/relationships/hyperlink" Target="http://www.sec.gov/ix?doc=/Archives/edgar/data/6281/000000628121000169/adi-20210501.htm" TargetMode="External"/><Relationship Id="rId22" Type="http://schemas.openxmlformats.org/officeDocument/2006/relationships/hyperlink" Target="http://www.sec.gov/ix?doc=/Archives/edgar/data/6281/000000628121000197/adi-20210731.htm" TargetMode="External"/><Relationship Id="rId24" Type="http://schemas.openxmlformats.org/officeDocument/2006/relationships/hyperlink" Target="http://www.sec.gov/ix?doc=/Archives/edgar/data/6281/000000628120000147/adi-20201106.htm" TargetMode="External"/><Relationship Id="rId25" Type="http://schemas.openxmlformats.org/officeDocument/2006/relationships/hyperlink" Target="http://www.sec.gov/ix?doc=/Archives/edgar/data/6281/000119312520320093/d71361d8k.htm" TargetMode="External"/><Relationship Id="rId26" Type="http://schemas.openxmlformats.org/officeDocument/2006/relationships/hyperlink" Target="http://www.sec.gov/ix?doc=/Archives/edgar/data/6281/000000628121000011/adi-20210121.htm" TargetMode="External"/><Relationship Id="rId27" Type="http://schemas.openxmlformats.org/officeDocument/2006/relationships/hyperlink" Target="http://www.sec.gov/ix?doc=/Archives/edgar/data/6281/000000628121000020/adi-20210216.htm" TargetMode="External"/><Relationship Id="rId28" Type="http://schemas.openxmlformats.org/officeDocument/2006/relationships/hyperlink" Target="http://www.sec.gov/ix?doc=/Archives/edgar/data/6281/000000628121000031/adi-20210302.htm" TargetMode="External"/><Relationship Id="rId29" Type="http://schemas.openxmlformats.org/officeDocument/2006/relationships/hyperlink" Target="http://www.sec.gov/ix?doc=/Archives/edgar/data/6281/000000628121000041/adi-20210310.htm" TargetMode="External"/><Relationship Id="rId30" Type="http://schemas.openxmlformats.org/officeDocument/2006/relationships/hyperlink" Target="http://www.sec.gov/ix?doc=/Archives/edgar/data/6281/000119312521197254/d177040d8k.htm" TargetMode="External"/><Relationship Id="rId31" Type="http://schemas.openxmlformats.org/officeDocument/2006/relationships/hyperlink" Target="http://www.sec.gov/ix?doc=/Archives/edgar/data/6281/000119312521253971/d395467d8k.htm" TargetMode="External"/><Relationship Id="rId32" Type="http://schemas.openxmlformats.org/officeDocument/2006/relationships/hyperlink" Target="http://www.sec.gov/Archives/edgar/data/6281/000119312512124733/d319626d8a12b.htm" TargetMode="External"/><Relationship Id="rId34" Type="http://schemas.openxmlformats.org/officeDocument/2006/relationships/hyperlink" Target="http://www.sec.gov/Archives/edgar/data/6281/000095013508003842/b69749adexv3w1.htm" TargetMode="External"/><Relationship Id="rId35" Type="http://schemas.openxmlformats.org/officeDocument/2006/relationships/hyperlink" Target="http://www.sec.gov/Archives/edgar/data/6281/000095013508007881/b73171adexv3w1.htm" TargetMode="External"/><Relationship Id="rId36" Type="http://schemas.openxmlformats.org/officeDocument/2006/relationships/hyperlink" Target="http://www.sec.gov/Archives/edgar/data/6281/000000628118000132/exhibit31-restatedbylawsxf.htm" TargetMode="External"/><Relationship Id="rId37" Type="http://schemas.openxmlformats.org/officeDocument/2006/relationships/hyperlink" Target="http://www.sec.gov/Archives/edgar/data/743316/000119312516727550/d208760ddef14a.htm#toc208760_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2021-08-26T15:50:52Z</dcterms:created>
  <dcterms:modified xsi:type="dcterms:W3CDTF">2021-08-26T15:50:52Z</dcterms:modified>
</cp:coreProperties>
</file>