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_________________________________________________________________________</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w:t>
      </w:r>
    </w:p>
    <w:p>
      <w:pPr>
        <w:spacing w:after="0" w:line="1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2, 2021</w:t>
      </w:r>
    </w:p>
    <w:p>
      <w:pPr>
        <w:spacing w:after="0" w:line="21"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w:t>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Analog Devices,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6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w:t>
      </w:r>
    </w:p>
    <w:p>
      <w:pPr>
        <w:sectPr>
          <w:pgSz w:w="11900" w:h="16838" w:orient="portrait"/>
          <w:cols w:equalWidth="0" w:num="1">
            <w:col w:w="11300"/>
          </w:cols>
          <w:pgMar w:left="300" w:top="733" w:right="299" w:bottom="1440" w:gutter="0" w:footer="0" w:header="0"/>
        </w:sectPr>
      </w:pPr>
    </w:p>
    <w:p>
      <w:pPr>
        <w:spacing w:after="0" w:line="3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b w:val="1"/>
          <w:bCs w:val="1"/>
          <w:color w:val="auto"/>
        </w:rPr>
        <w:t>Massachusetts</w:t>
      </w:r>
    </w:p>
    <w:p>
      <w:pPr>
        <w:spacing w:after="0" w:line="21"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1-7819</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(Commission</w:t>
      </w:r>
    </w:p>
    <w:p>
      <w:pPr>
        <w:ind w:left="20"/>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04-2348234</w:t>
      </w:r>
    </w:p>
    <w:p>
      <w:pPr>
        <w:spacing w:after="0" w:line="1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211" w:lineRule="exact"/>
        <w:rPr>
          <w:sz w:val="24"/>
          <w:szCs w:val="24"/>
          <w:color w:val="auto"/>
        </w:rPr>
      </w:pPr>
    </w:p>
    <w:p>
      <w:pPr>
        <w:sectPr>
          <w:pgSz w:w="11900" w:h="16838" w:orient="portrait"/>
          <w:cols w:equalWidth="0" w:num="3">
            <w:col w:w="4580" w:space="720"/>
            <w:col w:w="3060" w:space="720"/>
            <w:col w:w="2220"/>
          </w:cols>
          <w:pgMar w:left="300" w:top="733" w:right="299" w:bottom="1440" w:gutter="0" w:footer="0" w:header="0"/>
          <w:type w:val="continuous"/>
        </w:sectPr>
      </w:pPr>
    </w:p>
    <w:p>
      <w:pPr>
        <w:spacing w:after="0" w:line="51" w:lineRule="exact"/>
        <w:rPr>
          <w:sz w:val="24"/>
          <w:szCs w:val="24"/>
          <w:color w:val="auto"/>
        </w:rPr>
      </w:pPr>
    </w:p>
    <w:p>
      <w:pPr>
        <w:jc w:val="right"/>
        <w:ind w:right="3660"/>
        <w:spacing w:after="0"/>
        <w:tabs>
          <w:tab w:leader="none" w:pos="4500" w:val="left"/>
        </w:tabs>
        <w:rPr>
          <w:sz w:val="20"/>
          <w:szCs w:val="20"/>
          <w:color w:val="auto"/>
        </w:rPr>
      </w:pPr>
      <w:r>
        <w:rPr>
          <w:rFonts w:ascii="Times New Roman" w:cs="Times New Roman" w:eastAsia="Times New Roman" w:hAnsi="Times New Roman"/>
          <w:sz w:val="12"/>
          <w:szCs w:val="12"/>
          <w:b w:val="1"/>
          <w:bCs w:val="1"/>
          <w:color w:val="auto"/>
        </w:rPr>
        <w:t>One Analog Way,</w:t>
      </w:r>
      <w:r>
        <w:rPr>
          <w:sz w:val="20"/>
          <w:szCs w:val="20"/>
          <w:color w:val="auto"/>
        </w:rPr>
        <w:tab/>
      </w:r>
      <w:r>
        <w:rPr>
          <w:rFonts w:ascii="Times New Roman" w:cs="Times New Roman" w:eastAsia="Times New Roman" w:hAnsi="Times New Roman"/>
          <w:sz w:val="11"/>
          <w:szCs w:val="11"/>
          <w:b w:val="1"/>
          <w:bCs w:val="1"/>
          <w:color w:val="auto"/>
        </w:rPr>
        <w:t>Wilmington, MA</w:t>
      </w:r>
    </w:p>
    <w:p>
      <w:pPr>
        <w:spacing w:after="0" w:line="21" w:lineRule="exact"/>
        <w:rPr>
          <w:sz w:val="24"/>
          <w:szCs w:val="24"/>
          <w:color w:val="auto"/>
        </w:rPr>
      </w:pPr>
    </w:p>
    <w:p>
      <w:pPr>
        <w:jc w:val="right"/>
        <w:ind w:right="368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jc w:val="center"/>
        <w:ind w:right="2900"/>
        <w:spacing w:after="0"/>
        <w:rPr>
          <w:sz w:val="20"/>
          <w:szCs w:val="20"/>
          <w:color w:val="auto"/>
        </w:rPr>
      </w:pPr>
      <w:r>
        <w:rPr>
          <w:rFonts w:ascii="Times New Roman" w:cs="Times New Roman" w:eastAsia="Times New Roman" w:hAnsi="Times New Roman"/>
          <w:sz w:val="12"/>
          <w:szCs w:val="12"/>
          <w:b w:val="1"/>
          <w:bCs w:val="1"/>
          <w:color w:val="auto"/>
        </w:rPr>
        <w:t>01887</w:t>
      </w:r>
    </w:p>
    <w:p>
      <w:pPr>
        <w:spacing w:after="0" w:line="21" w:lineRule="exact"/>
        <w:rPr>
          <w:sz w:val="24"/>
          <w:szCs w:val="24"/>
          <w:color w:val="auto"/>
        </w:rPr>
      </w:pPr>
    </w:p>
    <w:p>
      <w:pPr>
        <w:jc w:val="center"/>
        <w:ind w:right="2900"/>
        <w:spacing w:after="0"/>
        <w:rPr>
          <w:sz w:val="20"/>
          <w:szCs w:val="20"/>
          <w:color w:val="auto"/>
        </w:rPr>
      </w:pPr>
      <w:r>
        <w:rPr>
          <w:rFonts w:ascii="Times New Roman" w:cs="Times New Roman" w:eastAsia="Times New Roman" w:hAnsi="Times New Roman"/>
          <w:sz w:val="12"/>
          <w:szCs w:val="12"/>
          <w:color w:val="auto"/>
        </w:rPr>
        <w:t>(Zip Code)</w:t>
      </w:r>
    </w:p>
    <w:p>
      <w:pPr>
        <w:spacing w:after="0" w:line="72" w:lineRule="exact"/>
        <w:rPr>
          <w:sz w:val="24"/>
          <w:szCs w:val="24"/>
          <w:color w:val="auto"/>
        </w:rPr>
      </w:pPr>
    </w:p>
    <w:p>
      <w:pPr>
        <w:sectPr>
          <w:pgSz w:w="11900" w:h="16838" w:orient="portrait"/>
          <w:cols w:equalWidth="0" w:num="2">
            <w:col w:w="7140" w:space="720"/>
            <w:col w:w="3440"/>
          </w:cols>
          <w:pgMar w:left="300" w:top="733" w:right="299" w:bottom="144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(781) 329-4700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74"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7" w:lineRule="exact"/>
        <w:rPr>
          <w:sz w:val="24"/>
          <w:szCs w:val="24"/>
          <w:color w:val="auto"/>
        </w:rPr>
      </w:pPr>
    </w:p>
    <w:p>
      <w:pPr>
        <w:spacing w:after="0" w:line="161" w:lineRule="exact"/>
        <w:tabs>
          <w:tab w:leader="none" w:pos="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1"/>
          <w:szCs w:val="11"/>
          <w:color w:val="auto"/>
        </w:rPr>
        <w:t>Written communications pursuant to Rule 425 under the Securities Act (17 CFR 230.425)</w:t>
      </w:r>
    </w:p>
    <w:p>
      <w:pPr>
        <w:spacing w:after="0" w:line="11" w:lineRule="exact"/>
        <w:rPr>
          <w:sz w:val="24"/>
          <w:szCs w:val="24"/>
          <w:color w:val="auto"/>
        </w:rPr>
      </w:pPr>
    </w:p>
    <w:p>
      <w:pPr>
        <w:spacing w:after="0" w:line="161" w:lineRule="exact"/>
        <w:tabs>
          <w:tab w:leader="none" w:pos="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1"/>
          <w:szCs w:val="11"/>
          <w:color w:val="auto"/>
        </w:rPr>
        <w:t>Soliciting material pursuant to Rule 14a-12 under the Exchange Act (17 CFR 240.14a-12)</w:t>
      </w:r>
    </w:p>
    <w:p>
      <w:pPr>
        <w:spacing w:after="0" w:line="10" w:lineRule="exact"/>
        <w:rPr>
          <w:sz w:val="24"/>
          <w:szCs w:val="24"/>
          <w:color w:val="auto"/>
        </w:rPr>
      </w:pPr>
    </w:p>
    <w:p>
      <w:pPr>
        <w:spacing w:after="0" w:line="161" w:lineRule="exact"/>
        <w:tabs>
          <w:tab w:leader="none" w:pos="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1" w:lineRule="exact"/>
        <w:rPr>
          <w:sz w:val="24"/>
          <w:szCs w:val="24"/>
          <w:color w:val="auto"/>
        </w:rPr>
      </w:pPr>
    </w:p>
    <w:p>
      <w:pPr>
        <w:spacing w:after="0" w:line="161" w:lineRule="exact"/>
        <w:tabs>
          <w:tab w:leader="none" w:pos="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7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7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2640" w:type="dxa"/>
            <w:vAlign w:val="bottom"/>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c>
          <w:tcPr>
            <w:tcW w:w="0" w:type="dxa"/>
            <w:vAlign w:val="bottom"/>
          </w:tcPr>
          <w:p>
            <w:pPr>
              <w:spacing w:after="0"/>
              <w:rPr>
                <w:sz w:val="1"/>
                <w:szCs w:val="1"/>
                <w:color w:val="auto"/>
              </w:rPr>
            </w:pPr>
          </w:p>
        </w:tc>
      </w:tr>
      <w:tr>
        <w:trPr>
          <w:trHeight w:val="151"/>
        </w:trPr>
        <w:tc>
          <w:tcPr>
            <w:tcW w:w="4300" w:type="dxa"/>
            <w:vAlign w:val="bottom"/>
            <w:vMerge w:val="continue"/>
          </w:tcPr>
          <w:p>
            <w:pPr>
              <w:spacing w:after="0"/>
              <w:rPr>
                <w:sz w:val="13"/>
                <w:szCs w:val="13"/>
                <w:color w:val="auto"/>
              </w:rPr>
            </w:pPr>
          </w:p>
        </w:tc>
        <w:tc>
          <w:tcPr>
            <w:tcW w:w="278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2640" w:type="dxa"/>
            <w:vAlign w:val="bottom"/>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c>
          <w:tcPr>
            <w:tcW w:w="0" w:type="dxa"/>
            <w:vAlign w:val="bottom"/>
          </w:tcPr>
          <w:p>
            <w:pPr>
              <w:spacing w:after="0"/>
              <w:rPr>
                <w:sz w:val="1"/>
                <w:szCs w:val="1"/>
                <w:color w:val="auto"/>
              </w:rPr>
            </w:pPr>
          </w:p>
        </w:tc>
      </w:tr>
      <w:tr>
        <w:trPr>
          <w:trHeight w:val="155"/>
        </w:trPr>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Common Stock $0.16 2/3 par value per share</w:t>
            </w:r>
          </w:p>
        </w:tc>
        <w:tc>
          <w:tcPr>
            <w:tcW w:w="278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ADI</w:t>
            </w:r>
          </w:p>
        </w:tc>
        <w:tc>
          <w:tcPr>
            <w:tcW w:w="2640" w:type="dxa"/>
            <w:vAlign w:val="bottom"/>
          </w:tcPr>
          <w:p>
            <w:pPr>
              <w:jc w:val="center"/>
              <w:ind w:left="1160"/>
              <w:spacing w:after="0"/>
              <w:rPr>
                <w:sz w:val="20"/>
                <w:szCs w:val="20"/>
                <w:color w:val="auto"/>
              </w:rPr>
            </w:pPr>
            <w:r>
              <w:rPr>
                <w:rFonts w:ascii="Times New Roman" w:cs="Times New Roman" w:eastAsia="Times New Roman" w:hAnsi="Times New Roman"/>
                <w:sz w:val="12"/>
                <w:szCs w:val="12"/>
                <w:color w:val="auto"/>
              </w:rPr>
              <w:t>Nasdaq Global Select Market</w:t>
            </w:r>
          </w:p>
        </w:tc>
        <w:tc>
          <w:tcPr>
            <w:tcW w:w="0" w:type="dxa"/>
            <w:vAlign w:val="bottom"/>
          </w:tcPr>
          <w:p>
            <w:pPr>
              <w:spacing w:after="0"/>
              <w:rPr>
                <w:sz w:val="1"/>
                <w:szCs w:val="1"/>
                <w:color w:val="auto"/>
              </w:rPr>
            </w:pPr>
          </w:p>
        </w:tc>
      </w:tr>
    </w:tbl>
    <w:p>
      <w:pPr>
        <w:spacing w:after="0" w:line="223" w:lineRule="exact"/>
        <w:rPr>
          <w:sz w:val="24"/>
          <w:szCs w:val="24"/>
          <w:color w:val="auto"/>
        </w:rPr>
      </w:pPr>
    </w:p>
    <w:p>
      <w:pPr>
        <w:ind w:right="180"/>
        <w:spacing w:after="0" w:line="25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820"/>
        <w:spacing w:after="0" w:line="150"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3"/>
          <w:szCs w:val="13"/>
          <w:color w:val="auto"/>
        </w:rPr>
        <w:t>☐</w:t>
      </w:r>
    </w:p>
    <w:p>
      <w:pPr>
        <w:spacing w:after="0" w:line="173" w:lineRule="exact"/>
        <w:rPr>
          <w:sz w:val="24"/>
          <w:szCs w:val="24"/>
          <w:color w:val="auto"/>
        </w:rPr>
      </w:pPr>
    </w:p>
    <w:p>
      <w:pPr>
        <w:ind w:right="100"/>
        <w:spacing w:after="0" w:line="17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528955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7069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94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70694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9455" cy="571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280" w:firstLine="432"/>
        <w:spacing w:after="0" w:line="264" w:lineRule="auto"/>
        <w:rPr>
          <w:sz w:val="20"/>
          <w:szCs w:val="20"/>
          <w:color w:val="auto"/>
        </w:rPr>
      </w:pPr>
      <w:r>
        <w:rPr>
          <w:rFonts w:ascii="Times New Roman" w:cs="Times New Roman" w:eastAsia="Times New Roman" w:hAnsi="Times New Roman"/>
          <w:sz w:val="12"/>
          <w:szCs w:val="12"/>
          <w:color w:val="auto"/>
        </w:rPr>
        <w:t>On March 2, 2021, Analog Devices, Inc., a Massachusetts corporation (the "Company") intends to make a presentation at the Raymond James Institutional Investors Conference (the "Presentation"), a copy of which is furnished as Exhibit 99.1 hereto and is incorporated herein by reference. The Presentation will also be available on the Company's website at www.analog.com.</w:t>
      </w:r>
    </w:p>
    <w:p>
      <w:pPr>
        <w:spacing w:after="0" w:line="128" w:lineRule="exact"/>
        <w:rPr>
          <w:sz w:val="20"/>
          <w:szCs w:val="20"/>
          <w:color w:val="auto"/>
        </w:rPr>
      </w:pPr>
    </w:p>
    <w:p>
      <w:pPr>
        <w:ind w:firstLine="432"/>
        <w:spacing w:after="0" w:line="283" w:lineRule="auto"/>
        <w:rPr>
          <w:sz w:val="20"/>
          <w:szCs w:val="20"/>
          <w:color w:val="auto"/>
        </w:rPr>
      </w:pPr>
      <w:r>
        <w:rPr>
          <w:rFonts w:ascii="Times New Roman" w:cs="Times New Roman" w:eastAsia="Times New Roman" w:hAnsi="Times New Roman"/>
          <w:sz w:val="11"/>
          <w:szCs w:val="11"/>
          <w:color w:val="auto"/>
        </w:rPr>
        <w:t>The information in this Item 7.01 and in Exhibit 99.1 attached hereto shall not be deemed to be “filed” for purposes of Section 18 of the Securities Exchange Act of 1934, as amended, or otherwise subject to the liabilities of that section. The information contained in this Item 7.01 and in Exhibit 99.1 attached hereto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60" w:type="dxa"/>
            <w:vAlign w:val="bottom"/>
            <w:gridSpan w:val="3"/>
          </w:tcPr>
          <w:p>
            <w:pPr>
              <w:jc w:val="center"/>
              <w:ind w:right="1200"/>
              <w:spacing w:after="0"/>
              <w:rPr>
                <w:sz w:val="20"/>
                <w:szCs w:val="20"/>
                <w:color w:val="auto"/>
              </w:rPr>
            </w:pPr>
            <w:r>
              <w:rPr>
                <w:rFonts w:ascii="Times New Roman" w:cs="Times New Roman" w:eastAsia="Times New Roman" w:hAnsi="Times New Roman"/>
                <w:sz w:val="12"/>
                <w:szCs w:val="12"/>
                <w:color w:val="auto"/>
              </w:rPr>
              <w:t>(d) Exhibits</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40" w:type="dxa"/>
            <w:vAlign w:val="bottom"/>
          </w:tcPr>
          <w:p>
            <w:pPr>
              <w:spacing w:after="0"/>
              <w:rPr>
                <w:sz w:val="13"/>
                <w:szCs w:val="13"/>
                <w:color w:val="auto"/>
              </w:rPr>
            </w:pPr>
          </w:p>
        </w:tc>
      </w:tr>
      <w:tr>
        <w:trPr>
          <w:trHeight w:val="207"/>
        </w:trPr>
        <w:tc>
          <w:tcPr>
            <w:tcW w:w="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Exhibit No.</w:t>
            </w:r>
          </w:p>
        </w:tc>
        <w:tc>
          <w:tcPr>
            <w:tcW w:w="128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rPr>
              <w:t>99.1</w:t>
            </w:r>
          </w:p>
        </w:tc>
        <w:tc>
          <w:tcPr>
            <w:tcW w:w="6860" w:type="dxa"/>
            <w:vAlign w:val="bottom"/>
            <w:gridSpan w:val="3"/>
          </w:tcPr>
          <w:p>
            <w:pPr>
              <w:spacing w:after="0"/>
              <w:rPr>
                <w:rFonts w:ascii="Times New Roman" w:cs="Times New Roman" w:eastAsia="Times New Roman" w:hAnsi="Times New Roman"/>
                <w:sz w:val="12"/>
                <w:szCs w:val="12"/>
                <w:color w:val="0000FF"/>
              </w:rPr>
            </w:pPr>
            <w:hyperlink w:anchor="page4">
              <w:r>
                <w:rPr>
                  <w:rFonts w:ascii="Times New Roman" w:cs="Times New Roman" w:eastAsia="Times New Roman" w:hAnsi="Times New Roman"/>
                  <w:sz w:val="12"/>
                  <w:szCs w:val="12"/>
                  <w:color w:val="0000FF"/>
                </w:rPr>
                <w:t xml:space="preserve">Investor </w:t>
              </w:r>
            </w:hyperlink>
            <w:r>
              <w:rPr>
                <w:rFonts w:ascii="Times New Roman" w:cs="Times New Roman" w:eastAsia="Times New Roman" w:hAnsi="Times New Roman"/>
                <w:sz w:val="12"/>
                <w:szCs w:val="12"/>
                <w:color w:val="0000FF"/>
              </w:rPr>
              <w:t xml:space="preserve">Presentation </w:t>
            </w:r>
            <w:r>
              <w:rPr>
                <w:rFonts w:ascii="Times New Roman" w:cs="Times New Roman" w:eastAsia="Times New Roman" w:hAnsi="Times New Roman"/>
                <w:sz w:val="12"/>
                <w:szCs w:val="12"/>
                <w:color w:val="000000"/>
              </w:rPr>
              <w:t>dated as of March 2, 2021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ind w:right="700"/>
              <w:spacing w:after="0"/>
              <w:rPr>
                <w:sz w:val="20"/>
                <w:szCs w:val="20"/>
                <w:color w:val="auto"/>
              </w:rPr>
            </w:pPr>
            <w:r>
              <w:rPr>
                <w:rFonts w:ascii="Times New Roman" w:cs="Times New Roman" w:eastAsia="Times New Roman" w:hAnsi="Times New Roman"/>
                <w:sz w:val="12"/>
                <w:szCs w:val="12"/>
                <w:color w:val="auto"/>
                <w:w w:val="99"/>
              </w:rPr>
              <w:t>101.INS</w:t>
            </w: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The instance document does not appear in the Interactive Data File because its XBRL tags are embedded within the inline XBRL document.**</w:t>
            </w: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ind w:right="700"/>
              <w:spacing w:after="0"/>
              <w:rPr>
                <w:sz w:val="20"/>
                <w:szCs w:val="20"/>
                <w:color w:val="auto"/>
              </w:rPr>
            </w:pPr>
            <w:r>
              <w:rPr>
                <w:rFonts w:ascii="Times New Roman" w:cs="Times New Roman" w:eastAsia="Times New Roman" w:hAnsi="Times New Roman"/>
                <w:sz w:val="12"/>
                <w:szCs w:val="12"/>
                <w:color w:val="auto"/>
                <w:w w:val="99"/>
              </w:rPr>
              <w:t>101.SCH</w:t>
            </w: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Inline XBRL Schema Document.**</w:t>
            </w: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rPr>
              <w:t>101.CAL</w:t>
            </w: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Inline XBRL Calculation Linkbase Document.**</w:t>
            </w: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rPr>
              <w:t>101.LAB</w:t>
            </w: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Inline XBRL Labels Linkbase Document.**</w:t>
            </w: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w w:val="97"/>
              </w:rPr>
              <w:t>101.PRE</w:t>
            </w: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Inline XBRL Presentation Linkbase Document.**</w:t>
            </w: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ind w:right="700"/>
              <w:spacing w:after="0"/>
              <w:rPr>
                <w:sz w:val="20"/>
                <w:szCs w:val="20"/>
                <w:color w:val="auto"/>
              </w:rPr>
            </w:pPr>
            <w:r>
              <w:rPr>
                <w:rFonts w:ascii="Times New Roman" w:cs="Times New Roman" w:eastAsia="Times New Roman" w:hAnsi="Times New Roman"/>
                <w:sz w:val="12"/>
                <w:szCs w:val="12"/>
                <w:color w:val="auto"/>
              </w:rPr>
              <w:t>101.DEF</w:t>
            </w: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Inline XBRL Definition Linkbase Document.**</w:t>
            </w:r>
          </w:p>
        </w:tc>
      </w:tr>
      <w:tr>
        <w:trPr>
          <w:trHeight w:val="155"/>
        </w:trPr>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color w:val="auto"/>
              </w:rPr>
              <w:t>104</w:t>
            </w:r>
          </w:p>
        </w:tc>
        <w:tc>
          <w:tcPr>
            <w:tcW w:w="6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with applicable taxonomy extension information contained in Exhibits 101).</w:t>
            </w:r>
          </w:p>
        </w:tc>
      </w:tr>
    </w:tbl>
    <w:p>
      <w:pPr>
        <w:ind w:left="1860" w:hanging="1073"/>
        <w:spacing w:after="0"/>
        <w:tabs>
          <w:tab w:leader="none" w:pos="186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529590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00"/>
          </w:cols>
          <w:pgMar w:left="300" w:top="638" w:right="4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color w:val="auto"/>
        </w:rPr>
        <w:t>SIGNATURE</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20" w:val="left"/>
          <w:tab w:leader="none" w:pos="596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March 2, 2021</w:t>
      </w:r>
      <w:r>
        <w:rPr>
          <w:sz w:val="20"/>
          <w:szCs w:val="20"/>
          <w:color w:val="auto"/>
        </w:rPr>
        <w:tab/>
      </w:r>
      <w:r>
        <w:rPr>
          <w:rFonts w:ascii="Times New Roman" w:cs="Times New Roman" w:eastAsia="Times New Roman" w:hAnsi="Times New Roman"/>
          <w:sz w:val="11"/>
          <w:szCs w:val="11"/>
          <w:color w:val="auto"/>
        </w:rPr>
        <w:t>ANALOG DEVICES, INC.</w:t>
      </w:r>
    </w:p>
    <w:p>
      <w:pPr>
        <w:spacing w:after="0" w:line="132" w:lineRule="exact"/>
        <w:rPr>
          <w:sz w:val="20"/>
          <w:szCs w:val="20"/>
          <w:color w:val="auto"/>
        </w:rPr>
      </w:pPr>
    </w:p>
    <w:tbl>
      <w:tblPr>
        <w:tblLayout w:type="fixed"/>
        <w:tblInd w:w="598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Prashanth Mahendra-Rajah</w:t>
            </w:r>
          </w:p>
        </w:tc>
      </w:tr>
      <w:tr>
        <w:trPr>
          <w:trHeight w:val="140"/>
        </w:trPr>
        <w:tc>
          <w:tcPr>
            <w:tcW w:w="560" w:type="dxa"/>
            <w:vAlign w:val="bottom"/>
          </w:tcPr>
          <w:p>
            <w:pPr>
              <w:spacing w:after="0"/>
              <w:rPr>
                <w:sz w:val="12"/>
                <w:szCs w:val="12"/>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Prashanth Mahendra-Rajah</w:t>
            </w:r>
          </w:p>
        </w:tc>
      </w:tr>
      <w:tr>
        <w:trPr>
          <w:trHeight w:val="155"/>
        </w:trPr>
        <w:tc>
          <w:tcPr>
            <w:tcW w:w="56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Finance and Chief Financial Officer</w:t>
            </w:r>
          </w:p>
        </w:tc>
      </w:tr>
    </w:tbl>
    <w:p>
      <w:pPr>
        <w:sectPr>
          <w:pgSz w:w="11900" w:h="16838" w:orient="portrait"/>
          <w:cols w:equalWidth="0" w:num="1">
            <w:col w:w="10139"/>
          </w:cols>
          <w:pgMar w:left="320" w:top="70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2021-03-02T07:36:45Z</dcterms:created>
  <dcterms:modified xsi:type="dcterms:W3CDTF">2021-03-02T07:36:45Z</dcterms:modified>
</cp:coreProperties>
</file>